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332419">
      <w:pPr>
        <w:pStyle w:val="Heading2"/>
      </w:pPr>
      <w:bookmarkStart w:id="0" w:name="_Toc263408272"/>
      <w:bookmarkStart w:id="1" w:name="_GoBack"/>
      <w:bookmarkEnd w:id="1"/>
      <w:r>
        <w:t>17.1</w:t>
      </w:r>
      <w:r>
        <w:tab/>
        <w:t xml:space="preserve">LBMP Calculation </w:t>
      </w:r>
      <w:bookmarkEnd w:id="0"/>
    </w:p>
    <w:p w:rsidR="00A26C0D" w:rsidRDefault="00332419">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332419">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332419">
      <w:pPr>
        <w:pStyle w:val="Heading3"/>
      </w:pPr>
      <w:r>
        <w:lastRenderedPageBreak/>
        <w:t>17.1.1</w:t>
      </w:r>
      <w:r>
        <w:tab/>
        <w:t>LBMP Bus Calculation Method</w:t>
      </w:r>
    </w:p>
    <w:p w:rsidR="00A26C0D" w:rsidRDefault="00332419">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332419">
      <w:pPr>
        <w:pStyle w:val="Bodypara"/>
      </w:pPr>
      <w:r>
        <w:t>The LBMP at bus i can be written as:</w:t>
      </w:r>
    </w:p>
    <w:p w:rsidR="004B1951" w:rsidRDefault="00332419">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332419">
      <w:pPr>
        <w:rPr>
          <w:iCs/>
        </w:rPr>
      </w:pPr>
    </w:p>
    <w:p w:rsidR="00A26C0D" w:rsidRDefault="00332419">
      <w:r>
        <w:t>Where:</w:t>
      </w:r>
    </w:p>
    <w:p w:rsidR="00A26C0D" w:rsidRDefault="00332419"/>
    <w:p w:rsidR="00A26C0D" w:rsidRDefault="00332419">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332419">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332419"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332419" w:rsidP="00E7559F">
      <w:pPr>
        <w:spacing w:after="120"/>
        <w:ind w:left="1440" w:firstLine="720"/>
      </w:pPr>
      <w:r>
        <w:t xml:space="preserve">cost of losses at bus </w:t>
      </w:r>
      <w:r w:rsidRPr="00E7559F">
        <w:rPr>
          <w:i/>
        </w:rPr>
        <w:t>i</w:t>
      </w:r>
      <w:r>
        <w:t xml:space="preserve"> relative to the Reference Bus</w:t>
      </w:r>
    </w:p>
    <w:p w:rsidR="00A26C0D" w:rsidRDefault="00332419"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sidRPr="00E7559F">
        <w:rPr>
          <w:i/>
        </w:rPr>
        <w:t>i</w:t>
      </w:r>
      <w:r>
        <w:t xml:space="preserve"> which is the marginal cost of</w:t>
      </w:r>
    </w:p>
    <w:p w:rsidR="00A26C0D" w:rsidRDefault="00332419">
      <w:pPr>
        <w:tabs>
          <w:tab w:val="left" w:pos="1152"/>
        </w:tabs>
        <w:spacing w:after="120"/>
        <w:ind w:left="1152"/>
      </w:pPr>
      <w:r>
        <w:tab/>
      </w:r>
      <w:r>
        <w:tab/>
        <w:t xml:space="preserve">Congestion at bus </w:t>
      </w:r>
      <w:r w:rsidRPr="00E7559F">
        <w:rPr>
          <w:i/>
        </w:rPr>
        <w:t>i</w:t>
      </w:r>
      <w:r>
        <w:t xml:space="preserve"> relative to the Reference Bus</w:t>
      </w:r>
    </w:p>
    <w:p w:rsidR="00A26C0D" w:rsidRDefault="00332419">
      <w:pPr>
        <w:tabs>
          <w:tab w:val="right" w:pos="9360"/>
        </w:tabs>
      </w:pPr>
    </w:p>
    <w:p w:rsidR="00A26C0D" w:rsidRDefault="00332419">
      <w:pPr>
        <w:pStyle w:val="Bodypara"/>
      </w:pPr>
      <w:r>
        <w:t>The Marginal Losses Component of the LBMP at any bus i is calculated</w:t>
      </w:r>
      <w:r>
        <w:t xml:space="preserve"> using</w:t>
      </w:r>
    </w:p>
    <w:p w:rsidR="00A26C0D" w:rsidRDefault="00332419">
      <w:pPr>
        <w:pStyle w:val="Bodypara"/>
      </w:pPr>
      <w:r>
        <w:t>the equation:</w:t>
      </w:r>
    </w:p>
    <w:p w:rsidR="0071621B" w:rsidRPr="0071621B" w:rsidRDefault="00332419"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332419" w:rsidP="000F6658">
      <w:pPr>
        <w:rPr>
          <w:vertAlign w:val="superscript"/>
        </w:rPr>
      </w:pPr>
    </w:p>
    <w:p w:rsidR="00A26C0D" w:rsidRDefault="00332419">
      <w:pPr>
        <w:pStyle w:val="Bodypara"/>
      </w:pPr>
      <w:r>
        <w:t>Where:</w:t>
      </w:r>
    </w:p>
    <w:p w:rsidR="00A26C0D" w:rsidRDefault="00332419">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sidRPr="00E7559F">
        <w:rPr>
          <w:i/>
        </w:rPr>
        <w:t>i</w:t>
      </w:r>
      <w:r>
        <w:t xml:space="preserve"> to the system Reference Bus and:</w:t>
      </w:r>
    </w:p>
    <w:p w:rsidR="00A26C0D" w:rsidRDefault="00332419">
      <w:pPr>
        <w:jc w:val="center"/>
        <w:rPr>
          <w:iCs/>
        </w:rPr>
      </w:pPr>
    </w:p>
    <w:p w:rsidR="00A060D2" w:rsidRPr="0071621B" w:rsidRDefault="00332419">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332419">
      <w:pPr>
        <w:jc w:val="center"/>
        <w:rPr>
          <w:iCs/>
        </w:rPr>
      </w:pPr>
    </w:p>
    <w:p w:rsidR="00A26C0D" w:rsidRDefault="00332419">
      <w:pPr>
        <w:pStyle w:val="Bodypara"/>
      </w:pPr>
      <w:r>
        <w:t>Where:</w:t>
      </w:r>
    </w:p>
    <w:p w:rsidR="00A26C0D" w:rsidRDefault="00332419">
      <w:pPr>
        <w:pStyle w:val="equationtext"/>
      </w:pPr>
      <w:r w:rsidRPr="005C58E4">
        <w:rPr>
          <w:i/>
          <w:iCs/>
        </w:rPr>
        <w:t>L</w:t>
      </w:r>
      <w:r>
        <w:rPr>
          <w:iCs/>
        </w:rPr>
        <w:t xml:space="preserve"> </w:t>
      </w:r>
      <w:r>
        <w:rPr>
          <w:i/>
        </w:rPr>
        <w:tab/>
        <w:t>=</w:t>
      </w:r>
      <w:r>
        <w:tab/>
      </w:r>
      <w:r>
        <w:t xml:space="preserve">NYCA </w:t>
      </w:r>
      <w:r>
        <w:t>losses; and</w:t>
      </w:r>
    </w:p>
    <w:p w:rsidR="00A26C0D" w:rsidRDefault="00332419">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332419">
      <w:pPr>
        <w:jc w:val="both"/>
      </w:pPr>
    </w:p>
    <w:p w:rsidR="00A26C0D" w:rsidRDefault="00332419">
      <w:pPr>
        <w:pStyle w:val="Bodypara"/>
      </w:pPr>
      <w:r>
        <w:t xml:space="preserve">The Congestion Component of the LBMP at bus i is calculated </w:t>
      </w:r>
      <w:r>
        <w:t>using the equation:</w:t>
      </w:r>
    </w:p>
    <w:p w:rsidR="00A26C0D" w:rsidRDefault="00332419">
      <w:pPr>
        <w:ind w:firstLine="720"/>
        <w:jc w:val="center"/>
      </w:pPr>
    </w:p>
    <w:p w:rsidR="0026155D" w:rsidRPr="0026155D" w:rsidRDefault="00332419">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332419">
      <w:pPr>
        <w:ind w:firstLine="720"/>
        <w:jc w:val="center"/>
      </w:pPr>
    </w:p>
    <w:p w:rsidR="00A26C0D" w:rsidRDefault="00332419">
      <w:pPr>
        <w:pStyle w:val="Bodypara"/>
      </w:pPr>
      <w:r>
        <w:t>Where:</w:t>
      </w:r>
    </w:p>
    <w:p w:rsidR="00A26C0D" w:rsidRDefault="00332419">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332419"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332419">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332419"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332419" w:rsidP="005C58E4">
      <w:pPr>
        <w:ind w:left="1440" w:firstLine="720"/>
      </w:pPr>
      <w:r>
        <w:t xml:space="preserve">this </w:t>
      </w:r>
      <w:r>
        <w:t>Shadow Price</w:t>
      </w:r>
      <w:r>
        <w:t xml:space="preserve"> </w:t>
      </w:r>
      <w:r>
        <w:t>shall not exceed the Transmission Shortage Cost.</w:t>
      </w:r>
    </w:p>
    <w:p w:rsidR="00A26C0D" w:rsidRDefault="00332419"/>
    <w:p w:rsidR="00A26C0D" w:rsidRDefault="00332419">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332419">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332419"/>
    <w:p w:rsidR="00A26C0D" w:rsidRDefault="00332419">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332419" w:rsidP="006555CC">
      <w:pPr>
        <w:pStyle w:val="Heading4"/>
      </w:pPr>
      <w:r>
        <w:t>17.1.1.1</w:t>
      </w:r>
      <w:r>
        <w:tab/>
        <w:t>Determining Shift Factors and Incremental System Losses</w:t>
      </w:r>
    </w:p>
    <w:p w:rsidR="00364AED" w:rsidRDefault="00332419"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332419" w:rsidP="006555CC">
      <w:pPr>
        <w:pStyle w:val="Heading4"/>
        <w:rPr>
          <w:b w:val="0"/>
        </w:rPr>
      </w:pPr>
      <w:r>
        <w:t>17.1.1.</w:t>
      </w:r>
      <w:r>
        <w:t>1.</w:t>
      </w:r>
      <w:r>
        <w:t>1</w:t>
      </w:r>
      <w:r w:rsidRPr="00D438FA">
        <w:tab/>
        <w:t xml:space="preserve">Determining Expected </w:t>
      </w:r>
      <w:r w:rsidRPr="00D438FA">
        <w:t>Unscheduled Power Flows</w:t>
      </w:r>
    </w:p>
    <w:p w:rsidR="00EE5FCD" w:rsidRDefault="00332419"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332419"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332419" w:rsidP="006555CC">
      <w:pPr>
        <w:pStyle w:val="Heading4"/>
        <w:rPr>
          <w:b w:val="0"/>
        </w:rPr>
      </w:pPr>
      <w:r>
        <w:t>17.1.1.1.</w:t>
      </w:r>
      <w:r>
        <w:t>2</w:t>
      </w:r>
      <w:r w:rsidRPr="009C7200">
        <w:tab/>
        <w:t>Determining Expected Power Flows Resulting from NYISO Interchange Schedules</w:t>
      </w:r>
    </w:p>
    <w:p w:rsidR="009C7200" w:rsidRDefault="00332419"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332419" w:rsidP="006555CC">
      <w:pPr>
        <w:pStyle w:val="alphapara"/>
      </w:pPr>
      <w:r>
        <w:t>a.</w:t>
      </w:r>
      <w:r>
        <w:tab/>
        <w:t>Consolidated Edison Company of New York’s Day-Ahead Market hourly election under OATT Attachment CC, Schedule C;</w:t>
      </w:r>
    </w:p>
    <w:p w:rsidR="00E9199C" w:rsidRDefault="00332419"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332419"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332419"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332419" w:rsidP="00BC7612">
      <w:pPr>
        <w:pStyle w:val="Bodypara"/>
      </w:pPr>
      <w:r w:rsidRPr="002A0106">
        <w:t>The terms “ABC interface” and “JK interface” have the meaning ascribed to the</w:t>
      </w:r>
      <w:r w:rsidRPr="002A0106">
        <w:t xml:space="preserve">m in Schedule C to Attachment CC to the OATT.  </w:t>
      </w:r>
    </w:p>
    <w:p w:rsidR="00BC7612" w:rsidRDefault="00332419"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332419"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332419"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332419" w:rsidP="006555CC">
      <w:pPr>
        <w:pStyle w:val="Heading4"/>
        <w:rPr>
          <w:b w:val="0"/>
        </w:rPr>
      </w:pPr>
      <w:r>
        <w:t>17.1.1.1.3</w:t>
      </w:r>
      <w:r w:rsidRPr="00663D74">
        <w:tab/>
        <w:t>Scheduled Lines</w:t>
      </w:r>
      <w:r>
        <w:t xml:space="preserve"> and </w:t>
      </w:r>
      <w:r>
        <w:t>Chateauguay Interconnection with Hydro Quebec</w:t>
      </w:r>
    </w:p>
    <w:p w:rsidR="009C7200" w:rsidRDefault="00332419"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332419">
      <w:pPr>
        <w:pStyle w:val="Heading3"/>
      </w:pPr>
      <w:bookmarkStart w:id="2" w:name="_Toc263408273"/>
      <w:r>
        <w:t>17.1.2</w:t>
      </w:r>
      <w:r>
        <w:tab/>
        <w:t>Real-Time LBMP Calculation Procedures</w:t>
      </w:r>
      <w:bookmarkEnd w:id="2"/>
    </w:p>
    <w:p w:rsidR="001B1869" w:rsidRPr="00F00116" w:rsidRDefault="00332419"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332419">
      <w:pPr>
        <w:pStyle w:val="Heading4"/>
      </w:pPr>
      <w:bookmarkStart w:id="3" w:name="_Toc263408274"/>
      <w:r>
        <w:t>17.1.2.1</w:t>
      </w:r>
      <w:r>
        <w:tab/>
        <w:t>General Procedures</w:t>
      </w:r>
      <w:bookmarkEnd w:id="3"/>
    </w:p>
    <w:p w:rsidR="00A26C0D" w:rsidRDefault="00332419">
      <w:pPr>
        <w:pStyle w:val="Heading4"/>
      </w:pPr>
      <w:bookmarkStart w:id="4" w:name="_Toc263408275"/>
      <w:r>
        <w:t>17.1.2.1.1</w:t>
      </w:r>
      <w:r>
        <w:tab/>
        <w:t>Overview</w:t>
      </w:r>
      <w:bookmarkEnd w:id="4"/>
    </w:p>
    <w:p w:rsidR="00A26C0D" w:rsidRDefault="00332419">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332419">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332419">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332419">
      <w:pPr>
        <w:pStyle w:val="Heading4"/>
      </w:pPr>
      <w:bookmarkStart w:id="5" w:name="_Toc263408276"/>
      <w:r>
        <w:t>17.1.2.1.2</w:t>
      </w:r>
      <w:r>
        <w:tab/>
        <w:t xml:space="preserve">Description </w:t>
      </w:r>
      <w:r>
        <w:t>of the Real-Time Dispatch Process</w:t>
      </w:r>
      <w:bookmarkEnd w:id="5"/>
    </w:p>
    <w:p w:rsidR="00A26C0D" w:rsidRDefault="00332419">
      <w:pPr>
        <w:pStyle w:val="Heading4"/>
      </w:pPr>
      <w:bookmarkStart w:id="6" w:name="_Toc263408277"/>
      <w:r>
        <w:t>17.1.2.1.2.1</w:t>
      </w:r>
      <w:r>
        <w:tab/>
      </w:r>
      <w:r>
        <w:tab/>
      </w:r>
      <w:r>
        <w:t>The First Pass</w:t>
      </w:r>
      <w:bookmarkEnd w:id="6"/>
    </w:p>
    <w:p w:rsidR="00A26C0D" w:rsidRDefault="00332419">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332419">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332419">
      <w:pPr>
        <w:pStyle w:val="Heading4"/>
      </w:pPr>
      <w:bookmarkStart w:id="7" w:name="_Toc263408278"/>
      <w:r>
        <w:t>17.1.2.1.2.1.1</w:t>
      </w:r>
      <w:r>
        <w:tab/>
        <w:t xml:space="preserve">Upper and Lower Dispatch Limits for Dispatchable </w:t>
      </w:r>
      <w:r>
        <w:t>Resources Other Than Intermittent Power Resources That Depend on Wind as Their Fuel</w:t>
      </w:r>
      <w:bookmarkEnd w:id="7"/>
    </w:p>
    <w:p w:rsidR="00A26C0D" w:rsidRDefault="00332419">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332419">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332419">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332419">
      <w:pPr>
        <w:pStyle w:val="Bodypara"/>
      </w:pPr>
      <w:r>
        <w:t xml:space="preserve">The RTD Base Point Signals sent to Dispatchable Resources shall be the same as the physical base points determined above.  </w:t>
      </w:r>
    </w:p>
    <w:p w:rsidR="00A26C0D" w:rsidRDefault="00332419">
      <w:pPr>
        <w:pStyle w:val="Heading4"/>
      </w:pPr>
      <w:bookmarkStart w:id="8" w:name="_Toc263408279"/>
      <w:r>
        <w:t>17.1.2.1.2.1.2</w:t>
      </w:r>
      <w:r>
        <w:tab/>
        <w:t>Upper and Lower Dispatch Limits for Intermittent Power Resources That Depend on Wind as Their Fuel</w:t>
      </w:r>
      <w:bookmarkEnd w:id="8"/>
    </w:p>
    <w:p w:rsidR="00A26C0D" w:rsidRDefault="00332419">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332419">
      <w:pPr>
        <w:pStyle w:val="Heading4"/>
      </w:pPr>
      <w:bookmarkStart w:id="9" w:name="_Toc263408280"/>
      <w:r>
        <w:t>17.1.2.1.2.1.3.</w:t>
      </w:r>
      <w:r>
        <w:tab/>
        <w:t>Setting Physical Basepoints for Fixed Generators</w:t>
      </w:r>
      <w:bookmarkEnd w:id="9"/>
    </w:p>
    <w:p w:rsidR="00A26C0D" w:rsidRDefault="00332419">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332419">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332419">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332419">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332419">
      <w:pPr>
        <w:pStyle w:val="Heading4"/>
      </w:pPr>
      <w:bookmarkStart w:id="10" w:name="_Toc263408281"/>
      <w:r>
        <w:t>17.1.2.1.2.2</w:t>
      </w:r>
      <w:r>
        <w:t xml:space="preserve"> </w:t>
      </w:r>
      <w:r>
        <w:tab/>
        <w:t>The Second Pass</w:t>
      </w:r>
      <w:bookmarkEnd w:id="10"/>
    </w:p>
    <w:p w:rsidR="00A26C0D" w:rsidRDefault="00332419">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332419">
      <w:pPr>
        <w:pStyle w:val="Bodypara"/>
      </w:pPr>
      <w:r>
        <w:t>The upper and lower dispatch limits used for ISO-Committed Fixed and Self-Committed Fixed Resources shall be the same as the</w:t>
      </w:r>
      <w:r>
        <w:t xml:space="preserve"> physical base points calculated in the first pass.</w:t>
      </w:r>
    </w:p>
    <w:p w:rsidR="00A26C0D" w:rsidRDefault="00332419">
      <w:pPr>
        <w:pStyle w:val="Heading4"/>
      </w:pPr>
      <w:bookmarkStart w:id="11" w:name="_Toc263408282"/>
      <w:r>
        <w:t>17.1.2.1.2.2.1</w:t>
      </w:r>
      <w:r>
        <w:tab/>
        <w:t>Upper and Lower Dispatch Limits for Dispatchable Resources Other Than Intermittent Power Resources That Depend on Wind as Their Fuel</w:t>
      </w:r>
      <w:bookmarkEnd w:id="11"/>
    </w:p>
    <w:p w:rsidR="00A26C0D" w:rsidRDefault="00332419">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332419">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332419">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332419">
      <w:pPr>
        <w:pStyle w:val="Heading4"/>
      </w:pPr>
      <w:bookmarkStart w:id="12" w:name="_Toc263408283"/>
      <w:r>
        <w:t>17.1.2.1.2.2.2</w:t>
      </w:r>
      <w:r>
        <w:tab/>
        <w:t>Upper and Lower Dispatch Limits for Intermittent Power Resources That Depend on Wind as Their Fuel</w:t>
      </w:r>
      <w:bookmarkEnd w:id="12"/>
      <w:r>
        <w:t xml:space="preserve"> </w:t>
      </w:r>
    </w:p>
    <w:p w:rsidR="00A26C0D" w:rsidRDefault="00332419">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332419">
      <w:pPr>
        <w:pStyle w:val="Heading4"/>
      </w:pPr>
      <w:bookmarkStart w:id="13" w:name="_Toc263408284"/>
      <w:r>
        <w:t>17.1.2.1.2.3</w:t>
      </w:r>
      <w:r>
        <w:tab/>
      </w:r>
      <w:r>
        <w:t xml:space="preserve"> </w:t>
      </w:r>
      <w:r>
        <w:t>The Third Pass</w:t>
      </w:r>
      <w:bookmarkEnd w:id="13"/>
    </w:p>
    <w:p w:rsidR="00A26C0D" w:rsidRDefault="00332419" w:rsidP="00E013BF">
      <w:pPr>
        <w:pStyle w:val="Bodypara"/>
        <w:rPr>
          <w:b/>
          <w:bCs/>
        </w:rPr>
      </w:pPr>
      <w:r>
        <w:t xml:space="preserve">The third RTD pass is </w:t>
      </w:r>
      <w:r>
        <w:t>r</w:t>
      </w:r>
      <w:r>
        <w:t>eserved for future use</w:t>
      </w:r>
      <w:r>
        <w:t>.</w:t>
      </w:r>
    </w:p>
    <w:p w:rsidR="00A26C0D" w:rsidRDefault="00332419">
      <w:pPr>
        <w:pStyle w:val="Heading4"/>
      </w:pPr>
      <w:bookmarkStart w:id="14" w:name="_Toc263408285"/>
      <w:r>
        <w:t>17.1.2.1.3</w:t>
      </w:r>
      <w:r>
        <w:tab/>
        <w:t>Variations in RTD-CAM</w:t>
      </w:r>
      <w:bookmarkEnd w:id="14"/>
    </w:p>
    <w:p w:rsidR="00A26C0D" w:rsidRDefault="00332419">
      <w:pPr>
        <w:pStyle w:val="Bodypara"/>
      </w:pPr>
      <w:r>
        <w:t>When the ISO activates RTD-CAM, the following variations to the rules specified above in Sections 17.1.2.1.1 and 17.1.2.1.2 shall apply.</w:t>
      </w:r>
    </w:p>
    <w:p w:rsidR="00A26C0D" w:rsidRDefault="00332419">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332419">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332419">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332419">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332419">
      <w:pPr>
        <w:pStyle w:val="Bodypara"/>
      </w:pPr>
      <w:r>
        <w:t>Fifth, and finally, if the ISO enters re-se</w:t>
      </w:r>
      <w:r>
        <w:t xml:space="preserve">quencing mode it will solve for a ten-minute optimization period consisting of two five-minute time points. </w:t>
      </w:r>
    </w:p>
    <w:p w:rsidR="00A26C0D" w:rsidRDefault="00332419">
      <w:pPr>
        <w:pStyle w:val="Heading4"/>
      </w:pPr>
      <w:bookmarkStart w:id="15" w:name="_Toc263408287"/>
      <w:r>
        <w:t>17.1.2.1.4</w:t>
      </w:r>
      <w:r>
        <w:tab/>
        <w:t>The Real-Time Commitment (“RTC”) Process and Automated Mitigation</w:t>
      </w:r>
      <w:bookmarkEnd w:id="15"/>
    </w:p>
    <w:p w:rsidR="00A26C0D" w:rsidRDefault="00332419">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332419"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332419">
      <w:pPr>
        <w:pStyle w:val="Heading3"/>
      </w:pPr>
      <w:bookmarkStart w:id="16" w:name="_Toc263408290"/>
      <w:r>
        <w:t>17.1.3</w:t>
      </w:r>
      <w:r>
        <w:tab/>
        <w:t>Day-Ahead LBMP</w:t>
      </w:r>
      <w:r>
        <w:rPr>
          <w:i/>
          <w:iCs/>
        </w:rPr>
        <w:t xml:space="preserve"> </w:t>
      </w:r>
      <w:r>
        <w:t>Calculation Procedures</w:t>
      </w:r>
      <w:bookmarkEnd w:id="16"/>
    </w:p>
    <w:p w:rsidR="00A26C0D" w:rsidRDefault="00332419">
      <w:pPr>
        <w:pStyle w:val="Bodypara"/>
      </w:pPr>
      <w:r>
        <w:t>LBMPs in the Day-Ahead Market are calculated using five pa</w:t>
      </w:r>
      <w:r>
        <w:t xml:space="preserve">sses.  The first two passes are commitment and dispatch passes; the last three are dispatch only passes. </w:t>
      </w:r>
    </w:p>
    <w:p w:rsidR="00A26C0D" w:rsidRDefault="00332419">
      <w:pPr>
        <w:pStyle w:val="Bodypara"/>
      </w:pPr>
      <w:r>
        <w:t>Pass 1 consists of a least cost commitment and dispatch to meet Bid Load and reliable operation of the NYS Power System that includes Day-Ahead Reliab</w:t>
      </w:r>
      <w:r>
        <w:t>ility Units.</w:t>
      </w:r>
    </w:p>
    <w:p w:rsidR="00A26C0D" w:rsidRDefault="00332419">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332419">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332419">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332419">
      <w:pPr>
        <w:pStyle w:val="Bodypara"/>
      </w:pPr>
      <w:r>
        <w:t>All Demand Side Resources and non-Fixed Block Units committed in the final step of Pass 1 (which could be either step 1A, 1B, or 1C depending on activation of an</w:t>
      </w:r>
      <w:r>
        <w:t>d the AMP) are blocked on at least to minimum load in Passes 4 through 6.  The resources required to meet local system reliability are determined in Pass 1.</w:t>
      </w:r>
    </w:p>
    <w:p w:rsidR="00A26C0D" w:rsidRDefault="00332419">
      <w:pPr>
        <w:pStyle w:val="Bodypara"/>
      </w:pPr>
      <w:r>
        <w:t>Pass 2 consists of a least cost commitment and dispatch of Fixed Block Units, Imports, Exports, Dem</w:t>
      </w:r>
      <w:r>
        <w:t xml:space="preserve">and Side Resources and non-Fixed Block Units to meet forecast Load requirements in excess of Bid Load, considering the Wind Energy Forecast, that minimizes the cost of incremental Minimum Generation and Start Up Bids, given revenues for Minimum Generation </w:t>
      </w:r>
      <w:r>
        <w:t>Energy based on LBMPs calculated in Pass 1, and assumes all Fixed Block Units are dispatchable on a flexible basis.  Incremental Import Capacity needed to meet forecast Load requirements is determined in Pass 2.  Fixed Block Units committed in this pass ar</w:t>
      </w:r>
      <w:r>
        <w:t xml:space="preserve">e not included in the least cost dispatches of Passes 5 or 6.  Demand Side Resources and non-Fixed Block Units committed in this step are blocked on at least to minimum Load in Passes 4 through 6.  Intermittent Power Resources that depend on wind as their </w:t>
      </w:r>
      <w:r>
        <w:t>fuel committed in this pass as a result of the consideration of the Wind Energy Forecast are not blocked in Passes 5 or 6.</w:t>
      </w:r>
    </w:p>
    <w:p w:rsidR="00A26C0D" w:rsidRDefault="00332419">
      <w:pPr>
        <w:pStyle w:val="Bodypara"/>
      </w:pPr>
      <w:r>
        <w:t>Pass 3 is reserved for future use.</w:t>
      </w:r>
    </w:p>
    <w:p w:rsidR="00A26C0D" w:rsidRDefault="00332419">
      <w:pPr>
        <w:pStyle w:val="Bodypara"/>
      </w:pPr>
      <w:r>
        <w:t>Pass 4 consists of a least cost dispatch to forecast Load.  It is not used to set schedules or pri</w:t>
      </w:r>
      <w:r>
        <w:t>ces.  It is used for operational purposes and provides a dispatch of Fixed Block Units, Imports, Exports, Demand Side Resources and non-Fixed Block Units committed in Passes 1 or 2.  Incremental Import Capacity committed in Pass 2 is re-evaluated and may b</w:t>
      </w:r>
      <w:r>
        <w:t>e reduced if no longer required.</w:t>
      </w:r>
    </w:p>
    <w:p w:rsidR="00A26C0D" w:rsidRDefault="00332419">
      <w:pPr>
        <w:pStyle w:val="Bodypara"/>
      </w:pPr>
      <w:r>
        <w:t>Pass 5 consists of a least cost dispatch of Fixed Block Units, Imports, Exports, Virtual Supply, Virtual Load, Demand Side Resources and non-Fixed Block Units committed to meet Bid Load, based where appropriate on offer pri</w:t>
      </w:r>
      <w:r>
        <w:t>ces as mitigated in Pass 1.  Fixed Block Units are treated as dispatchable on a flexible basis.  LBMPs used to settle the Day-Ahead Market are calculated from this dispatch.  The Shadow Prices used to compute Day-Ahead Market clearing prices for Regulation</w:t>
      </w:r>
      <w:r>
        <w:t xml:space="preserve"> Service and for Operating Reserves in Rate Schedules 3 and 4 of this ISO Services Tariff are also calculated from this dispatch.  Final schedules for all Imports, Exports, Virtual Supply, Virtual Load, Demand Side Resources and non-Fixed Block Units in th</w:t>
      </w:r>
      <w:r>
        <w:t>e Day-Ahead Market are calculated from this dispatch.</w:t>
      </w:r>
    </w:p>
    <w:p w:rsidR="00A26C0D" w:rsidRDefault="00332419">
      <w:pPr>
        <w:pStyle w:val="Bodypara"/>
      </w:pPr>
      <w:r>
        <w:t xml:space="preserve">Pass 6 consists of a least cost dispatch of all Day-Ahead committed Resources, Imports, Exports, Virtual Supply, Virtual Load, based where appropriate on offer prices as mitigated in Pass 1, with the </w:t>
      </w:r>
      <w:r>
        <w:t>schedules of all Fixed Block Units committed in the final step of Pass 1 blocked on at maximum Capacity.  Final schedules for Fixed Block Units in the Day-Ahead Market are calculated from this dispatch.</w:t>
      </w:r>
    </w:p>
    <w:p w:rsidR="00A26C0D" w:rsidRDefault="00332419">
      <w:pPr>
        <w:pStyle w:val="Heading3"/>
      </w:pPr>
      <w:bookmarkStart w:id="17" w:name="_Toc263408292"/>
      <w:r>
        <w:t>17.1.4</w:t>
      </w:r>
      <w:r>
        <w:tab/>
        <w:t>Determination of Transmission Shortage Cost</w:t>
      </w:r>
      <w:bookmarkEnd w:id="17"/>
    </w:p>
    <w:p w:rsidR="00736033" w:rsidRDefault="00332419">
      <w:pPr>
        <w:pStyle w:val="Bodypara"/>
      </w:pPr>
      <w:r w:rsidRPr="00736033">
        <w:t>Th</w:t>
      </w:r>
      <w:r w:rsidRPr="00736033">
        <w:t>e applicable Transmission Shortage Cost depends on whether a particular transmission Constraint is associated with a transmission facility or Interface that includes a non-zero constraint reliability margin value.  The ISO shall establish constraint reliab</w:t>
      </w:r>
      <w:r w:rsidRPr="00736033">
        <w:t>ility margin values for transmission facilities and Interfaces.  Non-zero constraint reliability margin values established by the ISO shall be equal to or greater than 20 MW</w:t>
      </w:r>
      <w:r>
        <w:t>.</w:t>
      </w:r>
    </w:p>
    <w:p w:rsidR="00736033" w:rsidRDefault="00332419" w:rsidP="00736033">
      <w:pPr>
        <w:pStyle w:val="Bodypara"/>
      </w:pPr>
      <w:r>
        <w:t>For transmission facilities and Interfaces with a non-zero constraint reliability</w:t>
      </w:r>
      <w:r>
        <w:t xml:space="preserve"> margin value, SCUC, RTC and RTD shall include consideration of a two step demand curve consisting of up to an additional 5 MW of available resource capacity at a cost of $350/MWh and up to an additional 15 MW of available resource capacity at a cost of $1</w:t>
      </w:r>
      <w:r>
        <w:t xml:space="preserve">,175/MWh when evaluating transmission Constraints associated with such facilities and Interfaces.  In no event, however, shall the Shadow Price for such transmission Constraints exceed $4,000/MWh.  </w:t>
      </w:r>
    </w:p>
    <w:p w:rsidR="00736033" w:rsidRDefault="00332419" w:rsidP="00736033">
      <w:pPr>
        <w:pStyle w:val="Bodypara"/>
      </w:pPr>
      <w:r>
        <w:t>For transmission facilities and Interfaces with a constra</w:t>
      </w:r>
      <w:r>
        <w:t>int reliability margin value of zero, the Shadow Price for transmission Constraints associated with such facilities and Interfaces shall not exceed $4,000/MWh.  SCUC, RTC and RTD shall not include consideration of the available resource capacity provided b</w:t>
      </w:r>
      <w:r>
        <w:t>y the two step demand curve described above for such transmission Constraints.</w:t>
      </w:r>
    </w:p>
    <w:p w:rsidR="00A26C0D" w:rsidRDefault="00332419" w:rsidP="00736033">
      <w:pPr>
        <w:pStyle w:val="Bodypara"/>
      </w:pPr>
      <w:r>
        <w:t xml:space="preserve">In evaluating all transmission Constraints, the ISO will determine whether sufficient available resource capacity exists to solve each transmission Constraint at its applicable </w:t>
      </w:r>
      <w:r>
        <w:t>limit.  If sufficient available resource capacity does not exist to solve the transmission Constraint at its otherwise applicable limit, the ISO shall increase the applicable limit for such transmission Constraint to an amount achievable by the available r</w:t>
      </w:r>
      <w:r>
        <w:t>esource capacity plus 0.2 MW.  For transmission facilities and Interfaces with a non-zero constraint reliability margin value, the ISO shall account for the 20 MW of available resource capacity from the two step demand curve described above in determining:</w:t>
      </w:r>
      <w:r>
        <w:t xml:space="preserve"> (i) whether sufficient available resource capacity exists to solve transmission Constraints associated with such facilities and Interfaces at their otherwise applicable limit; and (ii) the extent of any limit adjustment required to solve such transmission</w:t>
      </w:r>
      <w:r>
        <w:t xml:space="preserve"> Constraints.       </w:t>
      </w:r>
    </w:p>
    <w:p w:rsidR="00A26C0D" w:rsidRDefault="00332419">
      <w:pPr>
        <w:pStyle w:val="Bodypara"/>
      </w:pPr>
      <w:r>
        <w:t>The ISO may periodically evaluate the Transmission Shortage Cost to determine whether it is necessary to modify the Transmission Shortage Cost to avoid future operational or reliability problems.  The ISO will consult with its Market M</w:t>
      </w:r>
      <w:r>
        <w:t>onitoring Unit after it conducts this evaluation.  If the ISO determines that it is necessary to modify the Transmission Shortage Cost</w:t>
      </w:r>
      <w:r>
        <w:t>s</w:t>
      </w:r>
      <w:r>
        <w:t xml:space="preserve"> in order to avoid future operational or reliability problems the resolution of which would otherwise require recurring o</w:t>
      </w:r>
      <w:r>
        <w:t>perator intervention outside normal market scheduling procedures, in order to avoid among other reliability issues, a violation of NERC Interconnection Reliability Operating Limits or System Operating Limits, it may temporarily modify it for a period of up</w:t>
      </w:r>
      <w:r>
        <w:t xml:space="preserve"> to ninety days, provided however the NYISO shall file such change with the Commission pursuant to Section 205 of the Federal Power Act within 45 days of such modification.  If circumstances reasonably allow, the ISO will consult with its Market Monitoring</w:t>
      </w:r>
      <w:r>
        <w:t xml:space="preserve"> Unit, the Business Issues Committee, the Commission, and the PSC before implementing any such modification.  In all circumstances, the ISO will</w:t>
      </w:r>
      <w:r>
        <w:t>:</w:t>
      </w:r>
      <w:r>
        <w:t xml:space="preserve"> </w:t>
      </w:r>
      <w:r>
        <w:t xml:space="preserve">(i) </w:t>
      </w:r>
      <w:r>
        <w:t>consult with those entities as soon as reasonably possible after implementing a temporary modification and</w:t>
      </w:r>
      <w:r>
        <w:t xml:space="preserve"> shall explain the reasons for the change</w:t>
      </w:r>
      <w:r>
        <w:t>; and (ii) notify Market Participants of any temporary modification</w:t>
      </w:r>
      <w:r>
        <w:t>.</w:t>
      </w:r>
    </w:p>
    <w:p w:rsidR="00A26C0D" w:rsidRDefault="00332419">
      <w:pPr>
        <w:pStyle w:val="Bodypara"/>
      </w:pPr>
      <w:r>
        <w:t>The responsibilities of the ISO and the Market Monitoring Unit in evaluating and modifying the Transmission Shortage Cost, as necessary are addres</w:t>
      </w:r>
      <w:r>
        <w:t>sed in Attachment O, Section 30.4.6.8.1 of this Market Services Tariff (“Market Monitoring Plan”).</w:t>
      </w:r>
    </w:p>
    <w:p w:rsidR="00A26C0D" w:rsidRDefault="00332419">
      <w:pPr>
        <w:pStyle w:val="Heading3"/>
      </w:pPr>
      <w:bookmarkStart w:id="18" w:name="_Toc263408293"/>
      <w:r>
        <w:t>17.1.5</w:t>
      </w:r>
      <w:r>
        <w:tab/>
        <w:t>Zonal LBMP Calculation Method</w:t>
      </w:r>
      <w:bookmarkEnd w:id="18"/>
    </w:p>
    <w:p w:rsidR="00A26C0D" w:rsidRDefault="00332419">
      <w:pPr>
        <w:pStyle w:val="Bodypara"/>
      </w:pPr>
      <w:r>
        <w:t>The computation described in Section 17.1.1 of this Attachment B is at the bus level.  An eleven (11) zone model will be</w:t>
      </w:r>
      <w:r>
        <w:t xml:space="preserve"> used for the LBMP billing related to Loads.  The LBMP for a zone will be a Load weighted average of the Load bus LBMPs in the Load Zone.  The Load weights which will sum to unity will be calculated from the load bus MW distribution.  Each component of the</w:t>
      </w:r>
      <w:r>
        <w:t xml:space="preserve"> LBMP for a zone will be calculated as a Load weighted average of the Load bus LBMP components in the zone.  The LBMP for a zone </w:t>
      </w:r>
      <w:r>
        <w:rPr>
          <w:i/>
        </w:rPr>
        <w:t>j</w:t>
      </w:r>
      <w:r>
        <w:t xml:space="preserve"> can be written as:</w:t>
      </w:r>
    </w:p>
    <w:p w:rsidR="007B72AA" w:rsidRPr="007B72AA" w:rsidRDefault="00332419">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332419">
      <w:r>
        <w:t xml:space="preserve">where: </w:t>
      </w:r>
    </w:p>
    <w:p w:rsidR="00796C02" w:rsidRDefault="00332419"/>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1C0992" w:rsidTr="006627F5">
        <w:trPr>
          <w:trHeight w:val="423"/>
          <w:jc w:val="center"/>
        </w:trPr>
        <w:tc>
          <w:tcPr>
            <w:tcW w:w="2298" w:type="dxa"/>
          </w:tcPr>
          <w:p w:rsidR="00796C02" w:rsidRDefault="00332419"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332419" w:rsidP="006627F5">
            <w:r w:rsidRPr="00796C02">
              <w:t>LBMP for zone j,</w:t>
            </w:r>
          </w:p>
        </w:tc>
      </w:tr>
      <w:tr w:rsidR="001C0992" w:rsidTr="006627F5">
        <w:trPr>
          <w:trHeight w:val="990"/>
          <w:jc w:val="center"/>
        </w:trPr>
        <w:tc>
          <w:tcPr>
            <w:tcW w:w="2298" w:type="dxa"/>
          </w:tcPr>
          <w:p w:rsidR="00796C02" w:rsidRDefault="00332419"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332419" w:rsidP="006627F5">
            <w:r w:rsidRPr="00796C02">
              <w:t xml:space="preserve">is the </w:t>
            </w:r>
            <w:r w:rsidRPr="00796C02">
              <w:t>Marginal Losses Component of the LBMP for zone j</w:t>
            </w:r>
            <w:r>
              <w:t>;</w:t>
            </w:r>
          </w:p>
        </w:tc>
      </w:tr>
      <w:tr w:rsidR="001C0992" w:rsidTr="006627F5">
        <w:trPr>
          <w:trHeight w:val="801"/>
          <w:jc w:val="center"/>
        </w:trPr>
        <w:tc>
          <w:tcPr>
            <w:tcW w:w="2298" w:type="dxa"/>
          </w:tcPr>
          <w:p w:rsidR="00796C02" w:rsidRDefault="00332419"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332419" w:rsidP="006627F5">
            <w:r w:rsidRPr="00796C02">
              <w:t>is the Congestion Component of the LBMP for zone j;</w:t>
            </w:r>
          </w:p>
        </w:tc>
      </w:tr>
      <w:tr w:rsidR="001C0992" w:rsidTr="006627F5">
        <w:trPr>
          <w:trHeight w:val="819"/>
          <w:jc w:val="center"/>
        </w:trPr>
        <w:tc>
          <w:tcPr>
            <w:tcW w:w="2298" w:type="dxa"/>
          </w:tcPr>
          <w:p w:rsidR="00796C02" w:rsidRPr="00796C02" w:rsidRDefault="00332419" w:rsidP="00796C02">
            <w:pPr>
              <w:rPr>
                <w:i/>
              </w:rPr>
            </w:pPr>
            <w:r>
              <w:rPr>
                <w:i/>
              </w:rPr>
              <w:t>n =</w:t>
            </w:r>
          </w:p>
        </w:tc>
        <w:tc>
          <w:tcPr>
            <w:tcW w:w="6120" w:type="dxa"/>
          </w:tcPr>
          <w:p w:rsidR="00796C02" w:rsidRDefault="00332419" w:rsidP="006627F5">
            <w:r w:rsidRPr="00796C02">
              <w:t>number of Load buses in zone j for which LBMPs are calculated; and</w:t>
            </w:r>
          </w:p>
        </w:tc>
      </w:tr>
      <w:tr w:rsidR="001C0992" w:rsidTr="006627F5">
        <w:trPr>
          <w:jc w:val="center"/>
        </w:trPr>
        <w:tc>
          <w:tcPr>
            <w:tcW w:w="2298" w:type="dxa"/>
          </w:tcPr>
          <w:p w:rsidR="00796C02" w:rsidRDefault="00332419"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332419" w:rsidP="006627F5">
            <w:r>
              <w:t>Load weighting factor for bus i.</w:t>
            </w:r>
          </w:p>
        </w:tc>
      </w:tr>
    </w:tbl>
    <w:p w:rsidR="00796C02" w:rsidRDefault="00332419"/>
    <w:p w:rsidR="0002682A" w:rsidRDefault="00332419" w:rsidP="00A26C0D">
      <w:pPr>
        <w:pStyle w:val="Bodypara"/>
      </w:pPr>
      <w:r w:rsidRPr="007E1842">
        <w:t xml:space="preserve">The NYISO also </w:t>
      </w:r>
      <w:r w:rsidRPr="007E1842">
        <w:t xml:space="preserve">calculates and posts zonal LBMP for four (4) external zones for informational purposes only.  Settlements for External Transactions are determined using the Proxy Generator Bus LBMP. Each external zonal LBMP is equal to the LBMP of the Proxy Generator Bus </w:t>
      </w:r>
      <w:r w:rsidRPr="007E1842">
        <w:t>associated with that external zone.  The table below identifies which Proxy Generator Bus LBMP is used to determine each of the posted external zonal LBMPs.</w:t>
      </w:r>
    </w:p>
    <w:p w:rsidR="00A26C0D" w:rsidRPr="007E1842" w:rsidRDefault="00332419" w:rsidP="00156ED5"/>
    <w:tbl>
      <w:tblPr>
        <w:tblW w:w="8243" w:type="dxa"/>
        <w:jc w:val="center"/>
        <w:tblInd w:w="78" w:type="dxa"/>
        <w:tblLayout w:type="fixed"/>
        <w:tblLook w:val="0000" w:firstRow="0" w:lastRow="0" w:firstColumn="0" w:lastColumn="0" w:noHBand="0" w:noVBand="0"/>
      </w:tblPr>
      <w:tblGrid>
        <w:gridCol w:w="1185"/>
        <w:gridCol w:w="1710"/>
        <w:gridCol w:w="3027"/>
        <w:gridCol w:w="2321"/>
      </w:tblGrid>
      <w:tr w:rsidR="001C0992"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32419"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32419"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32419"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32419"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1C099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32419"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1C099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32419"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1C099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32419"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1C099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32419"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32419"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332419" w:rsidP="00A26C0D">
      <w:pPr>
        <w:pStyle w:val="Bodypara"/>
      </w:pPr>
    </w:p>
    <w:p w:rsidR="00A26C0D" w:rsidRPr="007E1842" w:rsidRDefault="00332419"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332419">
      <w:pPr>
        <w:pStyle w:val="Heading3"/>
        <w:rPr>
          <w:i/>
          <w:iCs/>
        </w:rPr>
      </w:pPr>
      <w:bookmarkStart w:id="19" w:name="_Toc263408294"/>
      <w:r>
        <w:t>17.1.6</w:t>
      </w:r>
      <w:r>
        <w:tab/>
        <w:t>Real Time LBMP Calculation Methods for Proxy Generator Buses, Non-Competitive Proxy Generator Buses and Proxy Generator Buses Associated wi</w:t>
      </w:r>
      <w:r>
        <w:t>th Designated Scheduled Lines</w:t>
      </w:r>
      <w:bookmarkEnd w:id="19"/>
    </w:p>
    <w:p w:rsidR="00A26C0D" w:rsidRDefault="00332419">
      <w:pPr>
        <w:pStyle w:val="Heading4"/>
      </w:pPr>
      <w:bookmarkStart w:id="20" w:name="_Toc263408295"/>
      <w:r>
        <w:t>17.1.6.1</w:t>
      </w:r>
      <w:r>
        <w:tab/>
        <w:t>Definitions</w:t>
      </w:r>
    </w:p>
    <w:p w:rsidR="00A26C0D" w:rsidRDefault="00332419">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332419">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332419">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332419">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332419"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332419"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332419">
      <w:pPr>
        <w:pStyle w:val="Definition"/>
      </w:pPr>
      <w:r>
        <w:rPr>
          <w:b/>
        </w:rPr>
        <w:t xml:space="preserve">Unconstrained RTD LBMP:  </w:t>
      </w:r>
      <w:r>
        <w:t>The LBMP as calculated b</w:t>
      </w:r>
      <w:r>
        <w:t>y RTD less any congestion associated with a Proxy Generator Bus Constraint.</w:t>
      </w:r>
    </w:p>
    <w:p w:rsidR="00A26C0D" w:rsidRDefault="00332419">
      <w:pPr>
        <w:pStyle w:val="Heading4"/>
      </w:pPr>
      <w:r>
        <w:t>17.1.6.2</w:t>
      </w:r>
      <w:r>
        <w:tab/>
        <w:t>General Rules</w:t>
      </w:r>
      <w:bookmarkEnd w:id="20"/>
    </w:p>
    <w:p w:rsidR="00A26C0D" w:rsidRDefault="00332419">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w:t>
      </w:r>
      <w:r>
        <w:t xml:space="preserve">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332419" w:rsidP="00A26C0D">
      <w:pPr>
        <w:pStyle w:val="Bodypara"/>
      </w:pPr>
      <w:r>
        <w:t xml:space="preserve">The Generator and Load locations for </w:t>
      </w:r>
      <w:r>
        <w:t>which LBMPs will be calculated will initially be limited to a pre-defined set of Proxy Generator Buses.  LBMPs will be calculated for each Proxy Generator Bus within this limited set.  When an Interface with multiple Proxy Generator Buses is constrained, t</w:t>
      </w:r>
      <w:r>
        <w:t>he ISO will apply the constraint to all of the Proxy Generator Buses located at that Interface. Except as set forth in Sections 17.1.6.3 and 17.1.6.4, the NYISO will calculate the three components of LBMP for Transactions at a Proxy Generator Bus as provid</w:t>
      </w:r>
      <w:r>
        <w:t>ed in the  tables below.</w:t>
      </w:r>
    </w:p>
    <w:p w:rsidR="000F1E82" w:rsidRDefault="00332419" w:rsidP="00A26C0D">
      <w:pPr>
        <w:pStyle w:val="Bodypara"/>
      </w:pPr>
      <w:r>
        <w:t>When determining the External Interface Congestion, if any, to apply to determine the LBMP for RTD intervals that bridge two RTC intervals, the NYISO shall use the External Interface Congestion associated with the second (later) RT</w:t>
      </w:r>
      <w:r>
        <w:t>C interval.</w:t>
      </w:r>
    </w:p>
    <w:p w:rsidR="00A26C0D" w:rsidRPr="00A26C0D" w:rsidRDefault="00332419" w:rsidP="00A26C0D">
      <w:pPr>
        <w:pStyle w:val="Heading4"/>
      </w:pPr>
      <w:r w:rsidRPr="00A26C0D">
        <w:t>17.1.6.2.1</w:t>
      </w:r>
      <w:r w:rsidRPr="00A26C0D">
        <w:tab/>
        <w:t xml:space="preserve">Pricing rules for Dynamically Scheduled Proxy Generator Buses </w:t>
      </w:r>
    </w:p>
    <w:p w:rsidR="00A26C0D" w:rsidRDefault="00332419" w:rsidP="00611C21">
      <w:pPr>
        <w:pStyle w:val="Bodypara"/>
      </w:pPr>
      <w:r>
        <w:t>The pricing rules for Dynamically Scheduled Proxy Generator Buses</w:t>
      </w:r>
      <w:r>
        <w:t xml:space="preserve"> </w:t>
      </w:r>
      <w:r>
        <w:t xml:space="preserve">are </w:t>
      </w:r>
      <w:r>
        <w:t>to be determined</w:t>
      </w:r>
      <w:r>
        <w:t>.</w:t>
      </w:r>
    </w:p>
    <w:p w:rsidR="00A26C0D" w:rsidRPr="007E1842" w:rsidRDefault="00332419" w:rsidP="00A26C0D">
      <w:pPr>
        <w:pStyle w:val="Heading4"/>
      </w:pPr>
      <w:r w:rsidRPr="007E1842">
        <w:t>17.1.6.2.2</w:t>
      </w:r>
      <w:r w:rsidRPr="007E1842">
        <w:tab/>
        <w:t>Pricing rules for Variably Scheduled Proxy Generator Buses</w:t>
      </w:r>
    </w:p>
    <w:p w:rsidR="00A26C0D" w:rsidRDefault="00332419">
      <w:pPr>
        <w:pStyle w:val="Bodypara"/>
      </w:pPr>
      <w:r>
        <w:t xml:space="preserve">The pricing </w:t>
      </w:r>
      <w:r>
        <w:t>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1C0992"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32419"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32419"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32419"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32419"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332419"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1C0992"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332419">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332419">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332419">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332419"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1C0992"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332419">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332419">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332419">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332419">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332419">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332419"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332419">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1C0992" w:rsidTr="00D6122C">
        <w:trPr>
          <w:cantSplit/>
          <w:trHeight w:val="998"/>
          <w:tblHeader/>
        </w:trPr>
        <w:tc>
          <w:tcPr>
            <w:tcW w:w="630" w:type="dxa"/>
            <w:shd w:val="clear" w:color="auto" w:fill="D9D9D9"/>
            <w:vAlign w:val="center"/>
          </w:tcPr>
          <w:p w:rsidR="00A26C0D" w:rsidRPr="00D6122C" w:rsidRDefault="00332419"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332419"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332419"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332419" w:rsidP="001A670B">
            <w:pPr>
              <w:autoSpaceDE w:val="0"/>
              <w:autoSpaceDN w:val="0"/>
              <w:adjustRightInd w:val="0"/>
              <w:jc w:val="center"/>
              <w:rPr>
                <w:b/>
                <w:bCs/>
                <w:color w:val="000000"/>
                <w:sz w:val="20"/>
                <w:szCs w:val="20"/>
              </w:rPr>
            </w:pPr>
            <w:r w:rsidRPr="00D6122C">
              <w:rPr>
                <w:b/>
                <w:bCs/>
                <w:color w:val="000000"/>
                <w:sz w:val="20"/>
                <w:szCs w:val="20"/>
              </w:rPr>
              <w:t xml:space="preserve">Real-Time Pricing </w:t>
            </w:r>
            <w:r w:rsidRPr="00D6122C">
              <w:rPr>
                <w:b/>
                <w:bCs/>
                <w:color w:val="000000"/>
                <w:sz w:val="20"/>
                <w:szCs w:val="20"/>
              </w:rPr>
              <w:t>Rule</w:t>
            </w:r>
          </w:p>
          <w:p w:rsidR="00A26C0D" w:rsidRPr="00D6122C" w:rsidRDefault="00332419"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1C0992" w:rsidTr="00D6122C">
        <w:trPr>
          <w:cantSplit/>
          <w:trHeight w:val="552"/>
        </w:trPr>
        <w:tc>
          <w:tcPr>
            <w:tcW w:w="630" w:type="dxa"/>
          </w:tcPr>
          <w:p w:rsidR="00651186" w:rsidRPr="00D6122C" w:rsidRDefault="00332419">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332419">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332419">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332419">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1C0992" w:rsidTr="00D6122C">
        <w:trPr>
          <w:cantSplit/>
          <w:trHeight w:val="499"/>
        </w:trPr>
        <w:tc>
          <w:tcPr>
            <w:tcW w:w="630" w:type="dxa"/>
          </w:tcPr>
          <w:p w:rsidR="00651186" w:rsidRPr="00D6122C" w:rsidRDefault="00332419">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332419">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332419">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332419">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332419">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332419">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332419">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332419" w:rsidP="00021DFF">
      <w:pPr>
        <w:pStyle w:val="Heading4"/>
      </w:pPr>
      <w:r w:rsidRPr="007E1842">
        <w:t>17.1.6.3.1</w:t>
      </w:r>
      <w:r w:rsidRPr="007E1842">
        <w:tab/>
        <w:t xml:space="preserve">Pricing rules for Non-Competitive, Dynamically Scheduled Proxy Generator Buses </w:t>
      </w:r>
    </w:p>
    <w:p w:rsidR="00A26C0D" w:rsidRDefault="00332419">
      <w:pPr>
        <w:pStyle w:val="Bodypara"/>
      </w:pPr>
      <w:r>
        <w:t xml:space="preserve">The pricing rules for Non-Competitive, Dynamically Scheduled Proxy Generator Buses are </w:t>
      </w:r>
      <w:r>
        <w:t>to be determined</w:t>
      </w:r>
      <w:r>
        <w:t>.</w:t>
      </w:r>
    </w:p>
    <w:p w:rsidR="00021DFF" w:rsidRPr="007E1842" w:rsidRDefault="00332419" w:rsidP="00021DFF">
      <w:pPr>
        <w:pStyle w:val="Heading4"/>
      </w:pPr>
      <w:r w:rsidRPr="007E1842">
        <w:t>17.1.6.3.2</w:t>
      </w:r>
      <w:r w:rsidRPr="007E1842">
        <w:tab/>
        <w:t>Pri</w:t>
      </w:r>
      <w:r w:rsidRPr="007E1842">
        <w:t xml:space="preserve">cing rules for Non-Competitive, Variably Scheduled Proxy Generator Buses </w:t>
      </w:r>
    </w:p>
    <w:p w:rsidR="00A26C0D" w:rsidRDefault="00332419">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1C0992" w:rsidTr="00DF0820">
        <w:trPr>
          <w:cantSplit/>
          <w:trHeight w:val="903"/>
          <w:tblHeader/>
        </w:trPr>
        <w:tc>
          <w:tcPr>
            <w:tcW w:w="66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C0992" w:rsidTr="00DF0820">
        <w:trPr>
          <w:cantSplit/>
          <w:trHeight w:val="525"/>
          <w:tblHeader/>
        </w:trPr>
        <w:tc>
          <w:tcPr>
            <w:tcW w:w="660" w:type="dxa"/>
          </w:tcPr>
          <w:p w:rsidR="00E31BB2" w:rsidRPr="00DF0820" w:rsidRDefault="00332419">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33241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332419">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33241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C0992" w:rsidTr="00DF0820">
        <w:trPr>
          <w:cantSplit/>
          <w:trHeight w:val="1065"/>
          <w:tblHeader/>
        </w:trPr>
        <w:tc>
          <w:tcPr>
            <w:tcW w:w="660" w:type="dxa"/>
          </w:tcPr>
          <w:p w:rsidR="00651186" w:rsidRPr="00DF0820" w:rsidRDefault="00332419">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332419">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332419">
            <w:pPr>
              <w:autoSpaceDE w:val="0"/>
              <w:autoSpaceDN w:val="0"/>
              <w:adjustRightInd w:val="0"/>
              <w:rPr>
                <w:color w:val="000000"/>
                <w:sz w:val="20"/>
                <w:szCs w:val="20"/>
              </w:rPr>
            </w:pPr>
            <w:r w:rsidRPr="00DF0820">
              <w:rPr>
                <w:color w:val="000000"/>
                <w:sz w:val="20"/>
                <w:szCs w:val="20"/>
              </w:rPr>
              <w:t>Into NYCA</w:t>
            </w:r>
          </w:p>
          <w:p w:rsidR="00A26C0D" w:rsidRPr="00DF0820" w:rsidRDefault="00332419">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332419">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332419">
            <w:pPr>
              <w:autoSpaceDE w:val="0"/>
              <w:autoSpaceDN w:val="0"/>
              <w:adjustRightInd w:val="0"/>
              <w:rPr>
                <w:color w:val="000000"/>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C0992" w:rsidTr="00DF0820">
        <w:trPr>
          <w:cantSplit/>
          <w:trHeight w:val="975"/>
          <w:tblHeader/>
        </w:trPr>
        <w:tc>
          <w:tcPr>
            <w:tcW w:w="660" w:type="dxa"/>
          </w:tcPr>
          <w:p w:rsidR="00651186" w:rsidRPr="00DF0820" w:rsidRDefault="00332419">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332419">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332419">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332419"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332419">
            <w:pPr>
              <w:autoSpaceDE w:val="0"/>
              <w:autoSpaceDN w:val="0"/>
              <w:adjustRightInd w:val="0"/>
              <w:rPr>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332419"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332419">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332419">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1C0992"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C0992"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332419">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33241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332419">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33241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C0992"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32419">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Into NYCA</w:t>
            </w:r>
          </w:p>
          <w:p w:rsidR="00A26C0D" w:rsidRPr="00DF0820" w:rsidRDefault="00332419">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332419"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332419">
            <w:pPr>
              <w:autoSpaceDE w:val="0"/>
              <w:autoSpaceDN w:val="0"/>
              <w:adjustRightInd w:val="0"/>
              <w:rPr>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C0992"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32419">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332419"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332419">
            <w:pPr>
              <w:autoSpaceDE w:val="0"/>
              <w:autoSpaceDN w:val="0"/>
              <w:adjustRightInd w:val="0"/>
              <w:rPr>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332419">
      <w:pPr>
        <w:pStyle w:val="Heading4"/>
      </w:pPr>
      <w:bookmarkStart w:id="22" w:name="_Toc263408297"/>
      <w:r>
        <w:t>17.1.6.4</w:t>
      </w:r>
      <w:r>
        <w:tab/>
        <w:t>Special Pricing Rules for Proxy Generator Buses Associated with Designated Scheduled Lines</w:t>
      </w:r>
      <w:bookmarkEnd w:id="22"/>
    </w:p>
    <w:p w:rsidR="00A26C0D" w:rsidRDefault="00332419">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332419"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332419">
      <w:pPr>
        <w:pStyle w:val="Bodypara"/>
      </w:pPr>
      <w:r>
        <w:t xml:space="preserve">The pricing rules for Dynamically Scheduled Proxy Generator Buses that are associated with designated Scheduled Lines are </w:t>
      </w:r>
      <w:r>
        <w:t>to be determined</w:t>
      </w:r>
      <w:r>
        <w:t>.</w:t>
      </w:r>
    </w:p>
    <w:p w:rsidR="00021DFF" w:rsidRPr="007E1842" w:rsidRDefault="00332419"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332419">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1C0992" w:rsidTr="00DF0820">
        <w:trPr>
          <w:cantSplit/>
          <w:trHeight w:val="998"/>
          <w:tblHeader/>
        </w:trPr>
        <w:tc>
          <w:tcPr>
            <w:tcW w:w="66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C0992" w:rsidTr="00DF0820">
        <w:trPr>
          <w:cantSplit/>
          <w:trHeight w:val="498"/>
        </w:trPr>
        <w:tc>
          <w:tcPr>
            <w:tcW w:w="660" w:type="dxa"/>
          </w:tcPr>
          <w:p w:rsidR="009840C5" w:rsidRPr="00DF0820" w:rsidRDefault="00332419">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33241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332419">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33241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C0992" w:rsidTr="00DF0820">
        <w:trPr>
          <w:cantSplit/>
          <w:trHeight w:val="795"/>
        </w:trPr>
        <w:tc>
          <w:tcPr>
            <w:tcW w:w="660" w:type="dxa"/>
          </w:tcPr>
          <w:p w:rsidR="00651186" w:rsidRPr="00DF0820" w:rsidRDefault="00332419">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332419">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332419">
            <w:pPr>
              <w:autoSpaceDE w:val="0"/>
              <w:autoSpaceDN w:val="0"/>
              <w:adjustRightInd w:val="0"/>
              <w:rPr>
                <w:color w:val="000000"/>
                <w:sz w:val="20"/>
                <w:szCs w:val="20"/>
              </w:rPr>
            </w:pPr>
            <w:r w:rsidRPr="00DF0820">
              <w:rPr>
                <w:color w:val="000000"/>
                <w:sz w:val="20"/>
                <w:szCs w:val="20"/>
              </w:rPr>
              <w:t>Into NYCA</w:t>
            </w:r>
          </w:p>
          <w:p w:rsidR="00A26C0D" w:rsidRPr="00DF0820" w:rsidRDefault="00332419">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332419"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332419">
            <w:pPr>
              <w:autoSpaceDE w:val="0"/>
              <w:autoSpaceDN w:val="0"/>
              <w:adjustRightInd w:val="0"/>
              <w:rPr>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C0992" w:rsidTr="00DF0820">
        <w:trPr>
          <w:cantSplit/>
          <w:trHeight w:val="975"/>
        </w:trPr>
        <w:tc>
          <w:tcPr>
            <w:tcW w:w="660" w:type="dxa"/>
          </w:tcPr>
          <w:p w:rsidR="00651186" w:rsidRPr="00DF0820" w:rsidRDefault="00332419">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332419">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332419">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332419"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332419">
            <w:pPr>
              <w:autoSpaceDE w:val="0"/>
              <w:autoSpaceDN w:val="0"/>
              <w:adjustRightInd w:val="0"/>
              <w:rPr>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332419"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332419">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1C0992"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32419"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C0992"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332419">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332419">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332419">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332419">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C0992"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32419">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Into NYCA</w:t>
            </w:r>
          </w:p>
          <w:p w:rsidR="00A26C0D" w:rsidRPr="00DF0820" w:rsidRDefault="00332419">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332419"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332419">
            <w:pPr>
              <w:autoSpaceDE w:val="0"/>
              <w:autoSpaceDN w:val="0"/>
              <w:adjustRightInd w:val="0"/>
              <w:rPr>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C0992"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32419">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332419">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332419"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332419">
            <w:pPr>
              <w:autoSpaceDE w:val="0"/>
              <w:autoSpaceDN w:val="0"/>
              <w:adjustRightInd w:val="0"/>
              <w:rPr>
                <w:sz w:val="20"/>
                <w:szCs w:val="20"/>
              </w:rPr>
            </w:pPr>
          </w:p>
          <w:p w:rsidR="00651186" w:rsidRPr="00DF0820" w:rsidRDefault="00332419">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332419">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332419">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332419">
      <w:pPr>
        <w:pStyle w:val="Bodypara"/>
      </w:pPr>
      <w:r>
        <w:t>When the Real-Time LBMP is set to zero and that zero</w:t>
      </w:r>
      <w:r>
        <w:t xml:space="preserve"> price was not the result of using the RTD, RTC or SCUC-determined LBMP; </w:t>
      </w:r>
    </w:p>
    <w:p w:rsidR="001A670B" w:rsidRDefault="00332419">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332419" w:rsidP="0096513D">
      <w:pPr>
        <w:pStyle w:val="Bodypara"/>
      </w:pPr>
      <w:r>
        <w:t xml:space="preserve">and </w:t>
      </w:r>
    </w:p>
    <w:p w:rsidR="001A670B" w:rsidRPr="001A670B" w:rsidRDefault="00332419"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332419">
      <w:pPr>
        <w:spacing w:line="480" w:lineRule="auto"/>
        <w:ind w:firstLine="720"/>
      </w:pPr>
      <w:r>
        <w:t>where:</w:t>
      </w:r>
    </w:p>
    <w:p w:rsidR="00A26C0D" w:rsidRDefault="0033241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33241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332419">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2419">
      <w:r>
        <w:separator/>
      </w:r>
    </w:p>
  </w:endnote>
  <w:endnote w:type="continuationSeparator" w:id="0">
    <w:p w:rsidR="00000000" w:rsidRDefault="0033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92" w:rsidRDefault="00332419">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92" w:rsidRDefault="00332419">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6/20/2017 - Docket #: ER17-1453-000 -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92" w:rsidRDefault="00332419">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2419">
      <w:r>
        <w:separator/>
      </w:r>
    </w:p>
  </w:footnote>
  <w:footnote w:type="continuationSeparator" w:id="0">
    <w:p w:rsidR="00000000" w:rsidRDefault="00332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92" w:rsidRDefault="0033241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92" w:rsidRDefault="003324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92" w:rsidRDefault="003324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D14AB5F6">
      <w:start w:val="1"/>
      <w:numFmt w:val="bullet"/>
      <w:pStyle w:val="Bulletpara"/>
      <w:lvlText w:val=""/>
      <w:lvlJc w:val="left"/>
      <w:pPr>
        <w:tabs>
          <w:tab w:val="num" w:pos="720"/>
        </w:tabs>
        <w:ind w:left="720" w:hanging="360"/>
      </w:pPr>
      <w:rPr>
        <w:rFonts w:ascii="Symbol" w:hAnsi="Symbol" w:hint="default"/>
        <w:sz w:val="20"/>
      </w:rPr>
    </w:lvl>
    <w:lvl w:ilvl="1" w:tplc="5614B6AE" w:tentative="1">
      <w:start w:val="1"/>
      <w:numFmt w:val="bullet"/>
      <w:lvlText w:val="o"/>
      <w:lvlJc w:val="left"/>
      <w:pPr>
        <w:tabs>
          <w:tab w:val="num" w:pos="1440"/>
        </w:tabs>
        <w:ind w:left="1440" w:hanging="360"/>
      </w:pPr>
      <w:rPr>
        <w:rFonts w:ascii="Courier New" w:hAnsi="Courier New" w:hint="default"/>
      </w:rPr>
    </w:lvl>
    <w:lvl w:ilvl="2" w:tplc="D76866A8" w:tentative="1">
      <w:start w:val="1"/>
      <w:numFmt w:val="bullet"/>
      <w:lvlText w:val=""/>
      <w:lvlJc w:val="left"/>
      <w:pPr>
        <w:tabs>
          <w:tab w:val="num" w:pos="2160"/>
        </w:tabs>
        <w:ind w:left="2160" w:hanging="360"/>
      </w:pPr>
      <w:rPr>
        <w:rFonts w:ascii="Wingdings" w:hAnsi="Wingdings" w:hint="default"/>
      </w:rPr>
    </w:lvl>
    <w:lvl w:ilvl="3" w:tplc="99FE518E" w:tentative="1">
      <w:start w:val="1"/>
      <w:numFmt w:val="bullet"/>
      <w:lvlText w:val=""/>
      <w:lvlJc w:val="left"/>
      <w:pPr>
        <w:tabs>
          <w:tab w:val="num" w:pos="2880"/>
        </w:tabs>
        <w:ind w:left="2880" w:hanging="360"/>
      </w:pPr>
      <w:rPr>
        <w:rFonts w:ascii="Symbol" w:hAnsi="Symbol" w:hint="default"/>
      </w:rPr>
    </w:lvl>
    <w:lvl w:ilvl="4" w:tplc="37504B8A" w:tentative="1">
      <w:start w:val="1"/>
      <w:numFmt w:val="bullet"/>
      <w:lvlText w:val="o"/>
      <w:lvlJc w:val="left"/>
      <w:pPr>
        <w:tabs>
          <w:tab w:val="num" w:pos="3600"/>
        </w:tabs>
        <w:ind w:left="3600" w:hanging="360"/>
      </w:pPr>
      <w:rPr>
        <w:rFonts w:ascii="Courier New" w:hAnsi="Courier New" w:hint="default"/>
      </w:rPr>
    </w:lvl>
    <w:lvl w:ilvl="5" w:tplc="7AAEFD5E" w:tentative="1">
      <w:start w:val="1"/>
      <w:numFmt w:val="bullet"/>
      <w:lvlText w:val=""/>
      <w:lvlJc w:val="left"/>
      <w:pPr>
        <w:tabs>
          <w:tab w:val="num" w:pos="4320"/>
        </w:tabs>
        <w:ind w:left="4320" w:hanging="360"/>
      </w:pPr>
      <w:rPr>
        <w:rFonts w:ascii="Wingdings" w:hAnsi="Wingdings" w:hint="default"/>
      </w:rPr>
    </w:lvl>
    <w:lvl w:ilvl="6" w:tplc="C282A586" w:tentative="1">
      <w:start w:val="1"/>
      <w:numFmt w:val="bullet"/>
      <w:lvlText w:val=""/>
      <w:lvlJc w:val="left"/>
      <w:pPr>
        <w:tabs>
          <w:tab w:val="num" w:pos="5040"/>
        </w:tabs>
        <w:ind w:left="5040" w:hanging="360"/>
      </w:pPr>
      <w:rPr>
        <w:rFonts w:ascii="Symbol" w:hAnsi="Symbol" w:hint="default"/>
      </w:rPr>
    </w:lvl>
    <w:lvl w:ilvl="7" w:tplc="A6A44ACA" w:tentative="1">
      <w:start w:val="1"/>
      <w:numFmt w:val="bullet"/>
      <w:lvlText w:val="o"/>
      <w:lvlJc w:val="left"/>
      <w:pPr>
        <w:tabs>
          <w:tab w:val="num" w:pos="5760"/>
        </w:tabs>
        <w:ind w:left="5760" w:hanging="360"/>
      </w:pPr>
      <w:rPr>
        <w:rFonts w:ascii="Courier New" w:hAnsi="Courier New" w:hint="default"/>
      </w:rPr>
    </w:lvl>
    <w:lvl w:ilvl="8" w:tplc="9132D36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CE4E0A8C">
      <w:start w:val="1"/>
      <w:numFmt w:val="lowerLetter"/>
      <w:lvlText w:val="%1."/>
      <w:lvlJc w:val="left"/>
      <w:pPr>
        <w:ind w:left="1440" w:hanging="360"/>
      </w:pPr>
      <w:rPr>
        <w:rFonts w:cs="Times New Roman"/>
      </w:rPr>
    </w:lvl>
    <w:lvl w:ilvl="1" w:tplc="07B28E64" w:tentative="1">
      <w:start w:val="1"/>
      <w:numFmt w:val="lowerLetter"/>
      <w:lvlText w:val="%2."/>
      <w:lvlJc w:val="left"/>
      <w:pPr>
        <w:ind w:left="2160" w:hanging="360"/>
      </w:pPr>
      <w:rPr>
        <w:rFonts w:cs="Times New Roman"/>
      </w:rPr>
    </w:lvl>
    <w:lvl w:ilvl="2" w:tplc="3E3A9030" w:tentative="1">
      <w:start w:val="1"/>
      <w:numFmt w:val="lowerRoman"/>
      <w:lvlText w:val="%3."/>
      <w:lvlJc w:val="right"/>
      <w:pPr>
        <w:ind w:left="2880" w:hanging="180"/>
      </w:pPr>
      <w:rPr>
        <w:rFonts w:cs="Times New Roman"/>
      </w:rPr>
    </w:lvl>
    <w:lvl w:ilvl="3" w:tplc="0F34ABF8" w:tentative="1">
      <w:start w:val="1"/>
      <w:numFmt w:val="decimal"/>
      <w:lvlText w:val="%4."/>
      <w:lvlJc w:val="left"/>
      <w:pPr>
        <w:ind w:left="3600" w:hanging="360"/>
      </w:pPr>
      <w:rPr>
        <w:rFonts w:cs="Times New Roman"/>
      </w:rPr>
    </w:lvl>
    <w:lvl w:ilvl="4" w:tplc="F8CA2306" w:tentative="1">
      <w:start w:val="1"/>
      <w:numFmt w:val="lowerLetter"/>
      <w:lvlText w:val="%5."/>
      <w:lvlJc w:val="left"/>
      <w:pPr>
        <w:ind w:left="4320" w:hanging="360"/>
      </w:pPr>
      <w:rPr>
        <w:rFonts w:cs="Times New Roman"/>
      </w:rPr>
    </w:lvl>
    <w:lvl w:ilvl="5" w:tplc="EF7C25AE" w:tentative="1">
      <w:start w:val="1"/>
      <w:numFmt w:val="lowerRoman"/>
      <w:lvlText w:val="%6."/>
      <w:lvlJc w:val="right"/>
      <w:pPr>
        <w:ind w:left="5040" w:hanging="180"/>
      </w:pPr>
      <w:rPr>
        <w:rFonts w:cs="Times New Roman"/>
      </w:rPr>
    </w:lvl>
    <w:lvl w:ilvl="6" w:tplc="F19C914C" w:tentative="1">
      <w:start w:val="1"/>
      <w:numFmt w:val="decimal"/>
      <w:lvlText w:val="%7."/>
      <w:lvlJc w:val="left"/>
      <w:pPr>
        <w:ind w:left="5760" w:hanging="360"/>
      </w:pPr>
      <w:rPr>
        <w:rFonts w:cs="Times New Roman"/>
      </w:rPr>
    </w:lvl>
    <w:lvl w:ilvl="7" w:tplc="97949A3A" w:tentative="1">
      <w:start w:val="1"/>
      <w:numFmt w:val="lowerLetter"/>
      <w:lvlText w:val="%8."/>
      <w:lvlJc w:val="left"/>
      <w:pPr>
        <w:ind w:left="6480" w:hanging="360"/>
      </w:pPr>
      <w:rPr>
        <w:rFonts w:cs="Times New Roman"/>
      </w:rPr>
    </w:lvl>
    <w:lvl w:ilvl="8" w:tplc="1506C51E"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FAF648F2">
      <w:start w:val="1"/>
      <w:numFmt w:val="decimal"/>
      <w:lvlText w:val="%1)"/>
      <w:lvlJc w:val="left"/>
      <w:pPr>
        <w:tabs>
          <w:tab w:val="num" w:pos="720"/>
        </w:tabs>
        <w:ind w:left="720" w:hanging="360"/>
      </w:pPr>
      <w:rPr>
        <w:rFonts w:cs="Times New Roman"/>
      </w:rPr>
    </w:lvl>
    <w:lvl w:ilvl="1" w:tplc="FAF2AD00">
      <w:start w:val="1"/>
      <w:numFmt w:val="lowerLetter"/>
      <w:lvlText w:val="%2."/>
      <w:lvlJc w:val="left"/>
      <w:pPr>
        <w:tabs>
          <w:tab w:val="num" w:pos="1440"/>
        </w:tabs>
        <w:ind w:left="1440" w:hanging="360"/>
      </w:pPr>
      <w:rPr>
        <w:rFonts w:cs="Times New Roman"/>
      </w:rPr>
    </w:lvl>
    <w:lvl w:ilvl="2" w:tplc="42FE7EDE">
      <w:start w:val="1"/>
      <w:numFmt w:val="lowerRoman"/>
      <w:lvlText w:val="%3."/>
      <w:lvlJc w:val="right"/>
      <w:pPr>
        <w:tabs>
          <w:tab w:val="num" w:pos="2160"/>
        </w:tabs>
        <w:ind w:left="2160" w:hanging="180"/>
      </w:pPr>
      <w:rPr>
        <w:rFonts w:cs="Times New Roman"/>
      </w:rPr>
    </w:lvl>
    <w:lvl w:ilvl="3" w:tplc="98AC8318" w:tentative="1">
      <w:start w:val="1"/>
      <w:numFmt w:val="decimal"/>
      <w:lvlText w:val="%4."/>
      <w:lvlJc w:val="left"/>
      <w:pPr>
        <w:tabs>
          <w:tab w:val="num" w:pos="2880"/>
        </w:tabs>
        <w:ind w:left="2880" w:hanging="360"/>
      </w:pPr>
      <w:rPr>
        <w:rFonts w:cs="Times New Roman"/>
      </w:rPr>
    </w:lvl>
    <w:lvl w:ilvl="4" w:tplc="C55CF524" w:tentative="1">
      <w:start w:val="1"/>
      <w:numFmt w:val="lowerLetter"/>
      <w:lvlText w:val="%5."/>
      <w:lvlJc w:val="left"/>
      <w:pPr>
        <w:tabs>
          <w:tab w:val="num" w:pos="3600"/>
        </w:tabs>
        <w:ind w:left="3600" w:hanging="360"/>
      </w:pPr>
      <w:rPr>
        <w:rFonts w:cs="Times New Roman"/>
      </w:rPr>
    </w:lvl>
    <w:lvl w:ilvl="5" w:tplc="1AF6C23C" w:tentative="1">
      <w:start w:val="1"/>
      <w:numFmt w:val="lowerRoman"/>
      <w:lvlText w:val="%6."/>
      <w:lvlJc w:val="right"/>
      <w:pPr>
        <w:tabs>
          <w:tab w:val="num" w:pos="4320"/>
        </w:tabs>
        <w:ind w:left="4320" w:hanging="180"/>
      </w:pPr>
      <w:rPr>
        <w:rFonts w:cs="Times New Roman"/>
      </w:rPr>
    </w:lvl>
    <w:lvl w:ilvl="6" w:tplc="FDFEB71E" w:tentative="1">
      <w:start w:val="1"/>
      <w:numFmt w:val="decimal"/>
      <w:lvlText w:val="%7."/>
      <w:lvlJc w:val="left"/>
      <w:pPr>
        <w:tabs>
          <w:tab w:val="num" w:pos="5040"/>
        </w:tabs>
        <w:ind w:left="5040" w:hanging="360"/>
      </w:pPr>
      <w:rPr>
        <w:rFonts w:cs="Times New Roman"/>
      </w:rPr>
    </w:lvl>
    <w:lvl w:ilvl="7" w:tplc="7F08E580" w:tentative="1">
      <w:start w:val="1"/>
      <w:numFmt w:val="lowerLetter"/>
      <w:lvlText w:val="%8."/>
      <w:lvlJc w:val="left"/>
      <w:pPr>
        <w:tabs>
          <w:tab w:val="num" w:pos="5760"/>
        </w:tabs>
        <w:ind w:left="5760" w:hanging="360"/>
      </w:pPr>
      <w:rPr>
        <w:rFonts w:cs="Times New Roman"/>
      </w:rPr>
    </w:lvl>
    <w:lvl w:ilvl="8" w:tplc="03622270"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01AA3AF8">
      <w:start w:val="2"/>
      <w:numFmt w:val="lowerRoman"/>
      <w:lvlText w:val="(%1)"/>
      <w:lvlJc w:val="left"/>
      <w:pPr>
        <w:tabs>
          <w:tab w:val="num" w:pos="1440"/>
        </w:tabs>
        <w:ind w:left="1440" w:hanging="720"/>
      </w:pPr>
      <w:rPr>
        <w:rFonts w:cs="Times New Roman" w:hint="default"/>
      </w:rPr>
    </w:lvl>
    <w:lvl w:ilvl="1" w:tplc="A452635A" w:tentative="1">
      <w:start w:val="1"/>
      <w:numFmt w:val="lowerLetter"/>
      <w:lvlText w:val="%2."/>
      <w:lvlJc w:val="left"/>
      <w:pPr>
        <w:tabs>
          <w:tab w:val="num" w:pos="1800"/>
        </w:tabs>
        <w:ind w:left="1800" w:hanging="360"/>
      </w:pPr>
      <w:rPr>
        <w:rFonts w:cs="Times New Roman"/>
      </w:rPr>
    </w:lvl>
    <w:lvl w:ilvl="2" w:tplc="13FE588E" w:tentative="1">
      <w:start w:val="1"/>
      <w:numFmt w:val="lowerRoman"/>
      <w:lvlText w:val="%3."/>
      <w:lvlJc w:val="right"/>
      <w:pPr>
        <w:tabs>
          <w:tab w:val="num" w:pos="2520"/>
        </w:tabs>
        <w:ind w:left="2520" w:hanging="180"/>
      </w:pPr>
      <w:rPr>
        <w:rFonts w:cs="Times New Roman"/>
      </w:rPr>
    </w:lvl>
    <w:lvl w:ilvl="3" w:tplc="C72A28B6" w:tentative="1">
      <w:start w:val="1"/>
      <w:numFmt w:val="decimal"/>
      <w:lvlText w:val="%4."/>
      <w:lvlJc w:val="left"/>
      <w:pPr>
        <w:tabs>
          <w:tab w:val="num" w:pos="3240"/>
        </w:tabs>
        <w:ind w:left="3240" w:hanging="360"/>
      </w:pPr>
      <w:rPr>
        <w:rFonts w:cs="Times New Roman"/>
      </w:rPr>
    </w:lvl>
    <w:lvl w:ilvl="4" w:tplc="3E26BFEA" w:tentative="1">
      <w:start w:val="1"/>
      <w:numFmt w:val="lowerLetter"/>
      <w:lvlText w:val="%5."/>
      <w:lvlJc w:val="left"/>
      <w:pPr>
        <w:tabs>
          <w:tab w:val="num" w:pos="3960"/>
        </w:tabs>
        <w:ind w:left="3960" w:hanging="360"/>
      </w:pPr>
      <w:rPr>
        <w:rFonts w:cs="Times New Roman"/>
      </w:rPr>
    </w:lvl>
    <w:lvl w:ilvl="5" w:tplc="EE3401B4" w:tentative="1">
      <w:start w:val="1"/>
      <w:numFmt w:val="lowerRoman"/>
      <w:lvlText w:val="%6."/>
      <w:lvlJc w:val="right"/>
      <w:pPr>
        <w:tabs>
          <w:tab w:val="num" w:pos="4680"/>
        </w:tabs>
        <w:ind w:left="4680" w:hanging="180"/>
      </w:pPr>
      <w:rPr>
        <w:rFonts w:cs="Times New Roman"/>
      </w:rPr>
    </w:lvl>
    <w:lvl w:ilvl="6" w:tplc="CD1AFD18" w:tentative="1">
      <w:start w:val="1"/>
      <w:numFmt w:val="decimal"/>
      <w:lvlText w:val="%7."/>
      <w:lvlJc w:val="left"/>
      <w:pPr>
        <w:tabs>
          <w:tab w:val="num" w:pos="5400"/>
        </w:tabs>
        <w:ind w:left="5400" w:hanging="360"/>
      </w:pPr>
      <w:rPr>
        <w:rFonts w:cs="Times New Roman"/>
      </w:rPr>
    </w:lvl>
    <w:lvl w:ilvl="7" w:tplc="06D0DB52" w:tentative="1">
      <w:start w:val="1"/>
      <w:numFmt w:val="lowerLetter"/>
      <w:lvlText w:val="%8."/>
      <w:lvlJc w:val="left"/>
      <w:pPr>
        <w:tabs>
          <w:tab w:val="num" w:pos="6120"/>
        </w:tabs>
        <w:ind w:left="6120" w:hanging="360"/>
      </w:pPr>
      <w:rPr>
        <w:rFonts w:cs="Times New Roman"/>
      </w:rPr>
    </w:lvl>
    <w:lvl w:ilvl="8" w:tplc="94ECCF70"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0D9EC410">
      <w:start w:val="1"/>
      <w:numFmt w:val="bullet"/>
      <w:lvlText w:val=""/>
      <w:lvlJc w:val="left"/>
      <w:pPr>
        <w:tabs>
          <w:tab w:val="num" w:pos="1440"/>
        </w:tabs>
        <w:ind w:left="1440" w:hanging="360"/>
      </w:pPr>
      <w:rPr>
        <w:rFonts w:ascii="Symbol" w:hAnsi="Symbol" w:hint="default"/>
        <w:sz w:val="20"/>
      </w:rPr>
    </w:lvl>
    <w:lvl w:ilvl="1" w:tplc="29E22AF6" w:tentative="1">
      <w:start w:val="1"/>
      <w:numFmt w:val="bullet"/>
      <w:lvlText w:val="o"/>
      <w:lvlJc w:val="left"/>
      <w:pPr>
        <w:tabs>
          <w:tab w:val="num" w:pos="2160"/>
        </w:tabs>
        <w:ind w:left="2160" w:hanging="360"/>
      </w:pPr>
      <w:rPr>
        <w:rFonts w:ascii="Courier New" w:hAnsi="Courier New" w:hint="default"/>
      </w:rPr>
    </w:lvl>
    <w:lvl w:ilvl="2" w:tplc="A6825984" w:tentative="1">
      <w:start w:val="1"/>
      <w:numFmt w:val="bullet"/>
      <w:lvlText w:val=""/>
      <w:lvlJc w:val="left"/>
      <w:pPr>
        <w:tabs>
          <w:tab w:val="num" w:pos="2880"/>
        </w:tabs>
        <w:ind w:left="2880" w:hanging="360"/>
      </w:pPr>
      <w:rPr>
        <w:rFonts w:ascii="Wingdings" w:hAnsi="Wingdings" w:hint="default"/>
      </w:rPr>
    </w:lvl>
    <w:lvl w:ilvl="3" w:tplc="897C031A" w:tentative="1">
      <w:start w:val="1"/>
      <w:numFmt w:val="bullet"/>
      <w:lvlText w:val=""/>
      <w:lvlJc w:val="left"/>
      <w:pPr>
        <w:tabs>
          <w:tab w:val="num" w:pos="3600"/>
        </w:tabs>
        <w:ind w:left="3600" w:hanging="360"/>
      </w:pPr>
      <w:rPr>
        <w:rFonts w:ascii="Symbol" w:hAnsi="Symbol" w:hint="default"/>
      </w:rPr>
    </w:lvl>
    <w:lvl w:ilvl="4" w:tplc="63D68868" w:tentative="1">
      <w:start w:val="1"/>
      <w:numFmt w:val="bullet"/>
      <w:lvlText w:val="o"/>
      <w:lvlJc w:val="left"/>
      <w:pPr>
        <w:tabs>
          <w:tab w:val="num" w:pos="4320"/>
        </w:tabs>
        <w:ind w:left="4320" w:hanging="360"/>
      </w:pPr>
      <w:rPr>
        <w:rFonts w:ascii="Courier New" w:hAnsi="Courier New" w:hint="default"/>
      </w:rPr>
    </w:lvl>
    <w:lvl w:ilvl="5" w:tplc="82C8D4FE" w:tentative="1">
      <w:start w:val="1"/>
      <w:numFmt w:val="bullet"/>
      <w:lvlText w:val=""/>
      <w:lvlJc w:val="left"/>
      <w:pPr>
        <w:tabs>
          <w:tab w:val="num" w:pos="5040"/>
        </w:tabs>
        <w:ind w:left="5040" w:hanging="360"/>
      </w:pPr>
      <w:rPr>
        <w:rFonts w:ascii="Wingdings" w:hAnsi="Wingdings" w:hint="default"/>
      </w:rPr>
    </w:lvl>
    <w:lvl w:ilvl="6" w:tplc="D396C7C0" w:tentative="1">
      <w:start w:val="1"/>
      <w:numFmt w:val="bullet"/>
      <w:lvlText w:val=""/>
      <w:lvlJc w:val="left"/>
      <w:pPr>
        <w:tabs>
          <w:tab w:val="num" w:pos="5760"/>
        </w:tabs>
        <w:ind w:left="5760" w:hanging="360"/>
      </w:pPr>
      <w:rPr>
        <w:rFonts w:ascii="Symbol" w:hAnsi="Symbol" w:hint="default"/>
      </w:rPr>
    </w:lvl>
    <w:lvl w:ilvl="7" w:tplc="B4DCFB74" w:tentative="1">
      <w:start w:val="1"/>
      <w:numFmt w:val="bullet"/>
      <w:lvlText w:val="o"/>
      <w:lvlJc w:val="left"/>
      <w:pPr>
        <w:tabs>
          <w:tab w:val="num" w:pos="6480"/>
        </w:tabs>
        <w:ind w:left="6480" w:hanging="360"/>
      </w:pPr>
      <w:rPr>
        <w:rFonts w:ascii="Courier New" w:hAnsi="Courier New" w:hint="default"/>
      </w:rPr>
    </w:lvl>
    <w:lvl w:ilvl="8" w:tplc="2738ED7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7BD62B50">
      <w:start w:val="1"/>
      <w:numFmt w:val="lowerRoman"/>
      <w:lvlText w:val="(%1)"/>
      <w:lvlJc w:val="left"/>
      <w:pPr>
        <w:tabs>
          <w:tab w:val="num" w:pos="2448"/>
        </w:tabs>
        <w:ind w:left="2448" w:hanging="648"/>
      </w:pPr>
      <w:rPr>
        <w:rFonts w:cs="Times New Roman" w:hint="default"/>
        <w:b w:val="0"/>
        <w:i w:val="0"/>
        <w:u w:val="none"/>
      </w:rPr>
    </w:lvl>
    <w:lvl w:ilvl="1" w:tplc="186666F8" w:tentative="1">
      <w:start w:val="1"/>
      <w:numFmt w:val="lowerLetter"/>
      <w:lvlText w:val="%2."/>
      <w:lvlJc w:val="left"/>
      <w:pPr>
        <w:tabs>
          <w:tab w:val="num" w:pos="1440"/>
        </w:tabs>
        <w:ind w:left="1440" w:hanging="360"/>
      </w:pPr>
      <w:rPr>
        <w:rFonts w:cs="Times New Roman"/>
      </w:rPr>
    </w:lvl>
    <w:lvl w:ilvl="2" w:tplc="D4F097B8" w:tentative="1">
      <w:start w:val="1"/>
      <w:numFmt w:val="lowerRoman"/>
      <w:lvlText w:val="%3."/>
      <w:lvlJc w:val="right"/>
      <w:pPr>
        <w:tabs>
          <w:tab w:val="num" w:pos="2160"/>
        </w:tabs>
        <w:ind w:left="2160" w:hanging="180"/>
      </w:pPr>
      <w:rPr>
        <w:rFonts w:cs="Times New Roman"/>
      </w:rPr>
    </w:lvl>
    <w:lvl w:ilvl="3" w:tplc="F036DD6C" w:tentative="1">
      <w:start w:val="1"/>
      <w:numFmt w:val="decimal"/>
      <w:lvlText w:val="%4."/>
      <w:lvlJc w:val="left"/>
      <w:pPr>
        <w:tabs>
          <w:tab w:val="num" w:pos="2880"/>
        </w:tabs>
        <w:ind w:left="2880" w:hanging="360"/>
      </w:pPr>
      <w:rPr>
        <w:rFonts w:cs="Times New Roman"/>
      </w:rPr>
    </w:lvl>
    <w:lvl w:ilvl="4" w:tplc="1194BC14" w:tentative="1">
      <w:start w:val="1"/>
      <w:numFmt w:val="lowerLetter"/>
      <w:lvlText w:val="%5."/>
      <w:lvlJc w:val="left"/>
      <w:pPr>
        <w:tabs>
          <w:tab w:val="num" w:pos="3600"/>
        </w:tabs>
        <w:ind w:left="3600" w:hanging="360"/>
      </w:pPr>
      <w:rPr>
        <w:rFonts w:cs="Times New Roman"/>
      </w:rPr>
    </w:lvl>
    <w:lvl w:ilvl="5" w:tplc="C0762868" w:tentative="1">
      <w:start w:val="1"/>
      <w:numFmt w:val="lowerRoman"/>
      <w:lvlText w:val="%6."/>
      <w:lvlJc w:val="right"/>
      <w:pPr>
        <w:tabs>
          <w:tab w:val="num" w:pos="4320"/>
        </w:tabs>
        <w:ind w:left="4320" w:hanging="180"/>
      </w:pPr>
      <w:rPr>
        <w:rFonts w:cs="Times New Roman"/>
      </w:rPr>
    </w:lvl>
    <w:lvl w:ilvl="6" w:tplc="AB8EFC38" w:tentative="1">
      <w:start w:val="1"/>
      <w:numFmt w:val="decimal"/>
      <w:lvlText w:val="%7."/>
      <w:lvlJc w:val="left"/>
      <w:pPr>
        <w:tabs>
          <w:tab w:val="num" w:pos="5040"/>
        </w:tabs>
        <w:ind w:left="5040" w:hanging="360"/>
      </w:pPr>
      <w:rPr>
        <w:rFonts w:cs="Times New Roman"/>
      </w:rPr>
    </w:lvl>
    <w:lvl w:ilvl="7" w:tplc="AA585BDA" w:tentative="1">
      <w:start w:val="1"/>
      <w:numFmt w:val="lowerLetter"/>
      <w:lvlText w:val="%8."/>
      <w:lvlJc w:val="left"/>
      <w:pPr>
        <w:tabs>
          <w:tab w:val="num" w:pos="5760"/>
        </w:tabs>
        <w:ind w:left="5760" w:hanging="360"/>
      </w:pPr>
      <w:rPr>
        <w:rFonts w:cs="Times New Roman"/>
      </w:rPr>
    </w:lvl>
    <w:lvl w:ilvl="8" w:tplc="1DEA050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18DE4088">
      <w:start w:val="5"/>
      <w:numFmt w:val="lowerRoman"/>
      <w:lvlText w:val="(%1)"/>
      <w:lvlJc w:val="left"/>
      <w:pPr>
        <w:tabs>
          <w:tab w:val="num" w:pos="1440"/>
        </w:tabs>
        <w:ind w:left="1440" w:hanging="720"/>
      </w:pPr>
      <w:rPr>
        <w:rFonts w:cs="Times New Roman" w:hint="default"/>
      </w:rPr>
    </w:lvl>
    <w:lvl w:ilvl="1" w:tplc="11C623DA" w:tentative="1">
      <w:start w:val="1"/>
      <w:numFmt w:val="lowerLetter"/>
      <w:lvlText w:val="%2."/>
      <w:lvlJc w:val="left"/>
      <w:pPr>
        <w:tabs>
          <w:tab w:val="num" w:pos="1800"/>
        </w:tabs>
        <w:ind w:left="1800" w:hanging="360"/>
      </w:pPr>
      <w:rPr>
        <w:rFonts w:cs="Times New Roman"/>
      </w:rPr>
    </w:lvl>
    <w:lvl w:ilvl="2" w:tplc="B89E2D48" w:tentative="1">
      <w:start w:val="1"/>
      <w:numFmt w:val="lowerRoman"/>
      <w:lvlText w:val="%3."/>
      <w:lvlJc w:val="right"/>
      <w:pPr>
        <w:tabs>
          <w:tab w:val="num" w:pos="2520"/>
        </w:tabs>
        <w:ind w:left="2520" w:hanging="180"/>
      </w:pPr>
      <w:rPr>
        <w:rFonts w:cs="Times New Roman"/>
      </w:rPr>
    </w:lvl>
    <w:lvl w:ilvl="3" w:tplc="AE743B9A" w:tentative="1">
      <w:start w:val="1"/>
      <w:numFmt w:val="decimal"/>
      <w:lvlText w:val="%4."/>
      <w:lvlJc w:val="left"/>
      <w:pPr>
        <w:tabs>
          <w:tab w:val="num" w:pos="3240"/>
        </w:tabs>
        <w:ind w:left="3240" w:hanging="360"/>
      </w:pPr>
      <w:rPr>
        <w:rFonts w:cs="Times New Roman"/>
      </w:rPr>
    </w:lvl>
    <w:lvl w:ilvl="4" w:tplc="D98EB46C" w:tentative="1">
      <w:start w:val="1"/>
      <w:numFmt w:val="lowerLetter"/>
      <w:lvlText w:val="%5."/>
      <w:lvlJc w:val="left"/>
      <w:pPr>
        <w:tabs>
          <w:tab w:val="num" w:pos="3960"/>
        </w:tabs>
        <w:ind w:left="3960" w:hanging="360"/>
      </w:pPr>
      <w:rPr>
        <w:rFonts w:cs="Times New Roman"/>
      </w:rPr>
    </w:lvl>
    <w:lvl w:ilvl="5" w:tplc="401244B8" w:tentative="1">
      <w:start w:val="1"/>
      <w:numFmt w:val="lowerRoman"/>
      <w:lvlText w:val="%6."/>
      <w:lvlJc w:val="right"/>
      <w:pPr>
        <w:tabs>
          <w:tab w:val="num" w:pos="4680"/>
        </w:tabs>
        <w:ind w:left="4680" w:hanging="180"/>
      </w:pPr>
      <w:rPr>
        <w:rFonts w:cs="Times New Roman"/>
      </w:rPr>
    </w:lvl>
    <w:lvl w:ilvl="6" w:tplc="BAA6FE86" w:tentative="1">
      <w:start w:val="1"/>
      <w:numFmt w:val="decimal"/>
      <w:lvlText w:val="%7."/>
      <w:lvlJc w:val="left"/>
      <w:pPr>
        <w:tabs>
          <w:tab w:val="num" w:pos="5400"/>
        </w:tabs>
        <w:ind w:left="5400" w:hanging="360"/>
      </w:pPr>
      <w:rPr>
        <w:rFonts w:cs="Times New Roman"/>
      </w:rPr>
    </w:lvl>
    <w:lvl w:ilvl="7" w:tplc="DE9C9070" w:tentative="1">
      <w:start w:val="1"/>
      <w:numFmt w:val="lowerLetter"/>
      <w:lvlText w:val="%8."/>
      <w:lvlJc w:val="left"/>
      <w:pPr>
        <w:tabs>
          <w:tab w:val="num" w:pos="6120"/>
        </w:tabs>
        <w:ind w:left="6120" w:hanging="360"/>
      </w:pPr>
      <w:rPr>
        <w:rFonts w:cs="Times New Roman"/>
      </w:rPr>
    </w:lvl>
    <w:lvl w:ilvl="8" w:tplc="B78E4AF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91E0A804">
      <w:start w:val="1"/>
      <w:numFmt w:val="decimal"/>
      <w:lvlText w:val="%1."/>
      <w:lvlJc w:val="left"/>
      <w:pPr>
        <w:tabs>
          <w:tab w:val="num" w:pos="720"/>
        </w:tabs>
        <w:ind w:left="720" w:hanging="360"/>
      </w:pPr>
      <w:rPr>
        <w:rFonts w:cs="Times New Roman"/>
      </w:rPr>
    </w:lvl>
    <w:lvl w:ilvl="1" w:tplc="2C48446E" w:tentative="1">
      <w:start w:val="1"/>
      <w:numFmt w:val="lowerLetter"/>
      <w:lvlText w:val="%2."/>
      <w:lvlJc w:val="left"/>
      <w:pPr>
        <w:tabs>
          <w:tab w:val="num" w:pos="1440"/>
        </w:tabs>
        <w:ind w:left="1440" w:hanging="360"/>
      </w:pPr>
      <w:rPr>
        <w:rFonts w:cs="Times New Roman"/>
      </w:rPr>
    </w:lvl>
    <w:lvl w:ilvl="2" w:tplc="7E9EDE7C" w:tentative="1">
      <w:start w:val="1"/>
      <w:numFmt w:val="lowerRoman"/>
      <w:lvlText w:val="%3."/>
      <w:lvlJc w:val="right"/>
      <w:pPr>
        <w:tabs>
          <w:tab w:val="num" w:pos="2160"/>
        </w:tabs>
        <w:ind w:left="2160" w:hanging="180"/>
      </w:pPr>
      <w:rPr>
        <w:rFonts w:cs="Times New Roman"/>
      </w:rPr>
    </w:lvl>
    <w:lvl w:ilvl="3" w:tplc="C6E25746" w:tentative="1">
      <w:start w:val="1"/>
      <w:numFmt w:val="decimal"/>
      <w:lvlText w:val="%4."/>
      <w:lvlJc w:val="left"/>
      <w:pPr>
        <w:tabs>
          <w:tab w:val="num" w:pos="2880"/>
        </w:tabs>
        <w:ind w:left="2880" w:hanging="360"/>
      </w:pPr>
      <w:rPr>
        <w:rFonts w:cs="Times New Roman"/>
      </w:rPr>
    </w:lvl>
    <w:lvl w:ilvl="4" w:tplc="91CA9A8A" w:tentative="1">
      <w:start w:val="1"/>
      <w:numFmt w:val="lowerLetter"/>
      <w:lvlText w:val="%5."/>
      <w:lvlJc w:val="left"/>
      <w:pPr>
        <w:tabs>
          <w:tab w:val="num" w:pos="3600"/>
        </w:tabs>
        <w:ind w:left="3600" w:hanging="360"/>
      </w:pPr>
      <w:rPr>
        <w:rFonts w:cs="Times New Roman"/>
      </w:rPr>
    </w:lvl>
    <w:lvl w:ilvl="5" w:tplc="3C24B506" w:tentative="1">
      <w:start w:val="1"/>
      <w:numFmt w:val="lowerRoman"/>
      <w:lvlText w:val="%6."/>
      <w:lvlJc w:val="right"/>
      <w:pPr>
        <w:tabs>
          <w:tab w:val="num" w:pos="4320"/>
        </w:tabs>
        <w:ind w:left="4320" w:hanging="180"/>
      </w:pPr>
      <w:rPr>
        <w:rFonts w:cs="Times New Roman"/>
      </w:rPr>
    </w:lvl>
    <w:lvl w:ilvl="6" w:tplc="31F4EB40" w:tentative="1">
      <w:start w:val="1"/>
      <w:numFmt w:val="decimal"/>
      <w:lvlText w:val="%7."/>
      <w:lvlJc w:val="left"/>
      <w:pPr>
        <w:tabs>
          <w:tab w:val="num" w:pos="5040"/>
        </w:tabs>
        <w:ind w:left="5040" w:hanging="360"/>
      </w:pPr>
      <w:rPr>
        <w:rFonts w:cs="Times New Roman"/>
      </w:rPr>
    </w:lvl>
    <w:lvl w:ilvl="7" w:tplc="8708A9A8" w:tentative="1">
      <w:start w:val="1"/>
      <w:numFmt w:val="lowerLetter"/>
      <w:lvlText w:val="%8."/>
      <w:lvlJc w:val="left"/>
      <w:pPr>
        <w:tabs>
          <w:tab w:val="num" w:pos="5760"/>
        </w:tabs>
        <w:ind w:left="5760" w:hanging="360"/>
      </w:pPr>
      <w:rPr>
        <w:rFonts w:cs="Times New Roman"/>
      </w:rPr>
    </w:lvl>
    <w:lvl w:ilvl="8" w:tplc="33D6E45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76668210">
      <w:start w:val="1"/>
      <w:numFmt w:val="bullet"/>
      <w:lvlText w:val=""/>
      <w:lvlJc w:val="left"/>
      <w:pPr>
        <w:tabs>
          <w:tab w:val="num" w:pos="720"/>
        </w:tabs>
        <w:ind w:left="720" w:hanging="360"/>
      </w:pPr>
      <w:rPr>
        <w:rFonts w:ascii="Symbol" w:hAnsi="Symbol" w:hint="default"/>
      </w:rPr>
    </w:lvl>
    <w:lvl w:ilvl="1" w:tplc="36829934" w:tentative="1">
      <w:start w:val="1"/>
      <w:numFmt w:val="bullet"/>
      <w:lvlText w:val="o"/>
      <w:lvlJc w:val="left"/>
      <w:pPr>
        <w:tabs>
          <w:tab w:val="num" w:pos="1440"/>
        </w:tabs>
        <w:ind w:left="1440" w:hanging="360"/>
      </w:pPr>
      <w:rPr>
        <w:rFonts w:ascii="Courier New" w:hAnsi="Courier New" w:hint="default"/>
      </w:rPr>
    </w:lvl>
    <w:lvl w:ilvl="2" w:tplc="E24E8768" w:tentative="1">
      <w:start w:val="1"/>
      <w:numFmt w:val="bullet"/>
      <w:lvlText w:val=""/>
      <w:lvlJc w:val="left"/>
      <w:pPr>
        <w:tabs>
          <w:tab w:val="num" w:pos="2160"/>
        </w:tabs>
        <w:ind w:left="2160" w:hanging="360"/>
      </w:pPr>
      <w:rPr>
        <w:rFonts w:ascii="Wingdings" w:hAnsi="Wingdings" w:hint="default"/>
      </w:rPr>
    </w:lvl>
    <w:lvl w:ilvl="3" w:tplc="27C41684" w:tentative="1">
      <w:start w:val="1"/>
      <w:numFmt w:val="bullet"/>
      <w:lvlText w:val=""/>
      <w:lvlJc w:val="left"/>
      <w:pPr>
        <w:tabs>
          <w:tab w:val="num" w:pos="2880"/>
        </w:tabs>
        <w:ind w:left="2880" w:hanging="360"/>
      </w:pPr>
      <w:rPr>
        <w:rFonts w:ascii="Symbol" w:hAnsi="Symbol" w:hint="default"/>
      </w:rPr>
    </w:lvl>
    <w:lvl w:ilvl="4" w:tplc="44781F46" w:tentative="1">
      <w:start w:val="1"/>
      <w:numFmt w:val="bullet"/>
      <w:lvlText w:val="o"/>
      <w:lvlJc w:val="left"/>
      <w:pPr>
        <w:tabs>
          <w:tab w:val="num" w:pos="3600"/>
        </w:tabs>
        <w:ind w:left="3600" w:hanging="360"/>
      </w:pPr>
      <w:rPr>
        <w:rFonts w:ascii="Courier New" w:hAnsi="Courier New" w:hint="default"/>
      </w:rPr>
    </w:lvl>
    <w:lvl w:ilvl="5" w:tplc="0EDA128C" w:tentative="1">
      <w:start w:val="1"/>
      <w:numFmt w:val="bullet"/>
      <w:lvlText w:val=""/>
      <w:lvlJc w:val="left"/>
      <w:pPr>
        <w:tabs>
          <w:tab w:val="num" w:pos="4320"/>
        </w:tabs>
        <w:ind w:left="4320" w:hanging="360"/>
      </w:pPr>
      <w:rPr>
        <w:rFonts w:ascii="Wingdings" w:hAnsi="Wingdings" w:hint="default"/>
      </w:rPr>
    </w:lvl>
    <w:lvl w:ilvl="6" w:tplc="05DE6150" w:tentative="1">
      <w:start w:val="1"/>
      <w:numFmt w:val="bullet"/>
      <w:lvlText w:val=""/>
      <w:lvlJc w:val="left"/>
      <w:pPr>
        <w:tabs>
          <w:tab w:val="num" w:pos="5040"/>
        </w:tabs>
        <w:ind w:left="5040" w:hanging="360"/>
      </w:pPr>
      <w:rPr>
        <w:rFonts w:ascii="Symbol" w:hAnsi="Symbol" w:hint="default"/>
      </w:rPr>
    </w:lvl>
    <w:lvl w:ilvl="7" w:tplc="BF886A26" w:tentative="1">
      <w:start w:val="1"/>
      <w:numFmt w:val="bullet"/>
      <w:lvlText w:val="o"/>
      <w:lvlJc w:val="left"/>
      <w:pPr>
        <w:tabs>
          <w:tab w:val="num" w:pos="5760"/>
        </w:tabs>
        <w:ind w:left="5760" w:hanging="360"/>
      </w:pPr>
      <w:rPr>
        <w:rFonts w:ascii="Courier New" w:hAnsi="Courier New" w:hint="default"/>
      </w:rPr>
    </w:lvl>
    <w:lvl w:ilvl="8" w:tplc="CE0089C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88D4B54E">
      <w:start w:val="1"/>
      <w:numFmt w:val="bullet"/>
      <w:lvlText w:val=""/>
      <w:lvlJc w:val="left"/>
      <w:pPr>
        <w:tabs>
          <w:tab w:val="num" w:pos="720"/>
        </w:tabs>
        <w:ind w:left="720" w:hanging="360"/>
      </w:pPr>
      <w:rPr>
        <w:rFonts w:ascii="Symbol" w:hAnsi="Symbol" w:hint="default"/>
        <w:u w:val="none"/>
      </w:rPr>
    </w:lvl>
    <w:lvl w:ilvl="1" w:tplc="1032B43C" w:tentative="1">
      <w:start w:val="1"/>
      <w:numFmt w:val="bullet"/>
      <w:lvlText w:val="o"/>
      <w:lvlJc w:val="left"/>
      <w:pPr>
        <w:tabs>
          <w:tab w:val="num" w:pos="2880"/>
        </w:tabs>
        <w:ind w:left="2880" w:hanging="360"/>
      </w:pPr>
      <w:rPr>
        <w:rFonts w:ascii="Courier New" w:hAnsi="Courier New" w:hint="default"/>
      </w:rPr>
    </w:lvl>
    <w:lvl w:ilvl="2" w:tplc="177093E6" w:tentative="1">
      <w:start w:val="1"/>
      <w:numFmt w:val="bullet"/>
      <w:lvlText w:val=""/>
      <w:lvlJc w:val="left"/>
      <w:pPr>
        <w:tabs>
          <w:tab w:val="num" w:pos="3600"/>
        </w:tabs>
        <w:ind w:left="3600" w:hanging="360"/>
      </w:pPr>
      <w:rPr>
        <w:rFonts w:ascii="Wingdings" w:hAnsi="Wingdings" w:hint="default"/>
      </w:rPr>
    </w:lvl>
    <w:lvl w:ilvl="3" w:tplc="6F56B8A8" w:tentative="1">
      <w:start w:val="1"/>
      <w:numFmt w:val="bullet"/>
      <w:lvlText w:val=""/>
      <w:lvlJc w:val="left"/>
      <w:pPr>
        <w:tabs>
          <w:tab w:val="num" w:pos="4320"/>
        </w:tabs>
        <w:ind w:left="4320" w:hanging="360"/>
      </w:pPr>
      <w:rPr>
        <w:rFonts w:ascii="Symbol" w:hAnsi="Symbol" w:hint="default"/>
      </w:rPr>
    </w:lvl>
    <w:lvl w:ilvl="4" w:tplc="7616A452" w:tentative="1">
      <w:start w:val="1"/>
      <w:numFmt w:val="bullet"/>
      <w:lvlText w:val="o"/>
      <w:lvlJc w:val="left"/>
      <w:pPr>
        <w:tabs>
          <w:tab w:val="num" w:pos="5040"/>
        </w:tabs>
        <w:ind w:left="5040" w:hanging="360"/>
      </w:pPr>
      <w:rPr>
        <w:rFonts w:ascii="Courier New" w:hAnsi="Courier New" w:hint="default"/>
      </w:rPr>
    </w:lvl>
    <w:lvl w:ilvl="5" w:tplc="5E1A7758" w:tentative="1">
      <w:start w:val="1"/>
      <w:numFmt w:val="bullet"/>
      <w:lvlText w:val=""/>
      <w:lvlJc w:val="left"/>
      <w:pPr>
        <w:tabs>
          <w:tab w:val="num" w:pos="5760"/>
        </w:tabs>
        <w:ind w:left="5760" w:hanging="360"/>
      </w:pPr>
      <w:rPr>
        <w:rFonts w:ascii="Wingdings" w:hAnsi="Wingdings" w:hint="default"/>
      </w:rPr>
    </w:lvl>
    <w:lvl w:ilvl="6" w:tplc="FB10185E" w:tentative="1">
      <w:start w:val="1"/>
      <w:numFmt w:val="bullet"/>
      <w:lvlText w:val=""/>
      <w:lvlJc w:val="left"/>
      <w:pPr>
        <w:tabs>
          <w:tab w:val="num" w:pos="6480"/>
        </w:tabs>
        <w:ind w:left="6480" w:hanging="360"/>
      </w:pPr>
      <w:rPr>
        <w:rFonts w:ascii="Symbol" w:hAnsi="Symbol" w:hint="default"/>
      </w:rPr>
    </w:lvl>
    <w:lvl w:ilvl="7" w:tplc="47CA8F6E" w:tentative="1">
      <w:start w:val="1"/>
      <w:numFmt w:val="bullet"/>
      <w:lvlText w:val="o"/>
      <w:lvlJc w:val="left"/>
      <w:pPr>
        <w:tabs>
          <w:tab w:val="num" w:pos="7200"/>
        </w:tabs>
        <w:ind w:left="7200" w:hanging="360"/>
      </w:pPr>
      <w:rPr>
        <w:rFonts w:ascii="Courier New" w:hAnsi="Courier New" w:hint="default"/>
      </w:rPr>
    </w:lvl>
    <w:lvl w:ilvl="8" w:tplc="045E0B1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71C4FBBE">
      <w:start w:val="1"/>
      <w:numFmt w:val="bullet"/>
      <w:lvlText w:val=""/>
      <w:lvlJc w:val="left"/>
      <w:pPr>
        <w:tabs>
          <w:tab w:val="num" w:pos="5760"/>
        </w:tabs>
        <w:ind w:left="5760" w:hanging="360"/>
      </w:pPr>
      <w:rPr>
        <w:rFonts w:ascii="Symbol" w:hAnsi="Symbol" w:hint="default"/>
        <w:color w:val="auto"/>
        <w:u w:val="none"/>
      </w:rPr>
    </w:lvl>
    <w:lvl w:ilvl="1" w:tplc="57409D90" w:tentative="1">
      <w:start w:val="1"/>
      <w:numFmt w:val="bullet"/>
      <w:lvlText w:val="o"/>
      <w:lvlJc w:val="left"/>
      <w:pPr>
        <w:tabs>
          <w:tab w:val="num" w:pos="3600"/>
        </w:tabs>
        <w:ind w:left="3600" w:hanging="360"/>
      </w:pPr>
      <w:rPr>
        <w:rFonts w:ascii="Courier New" w:hAnsi="Courier New" w:hint="default"/>
      </w:rPr>
    </w:lvl>
    <w:lvl w:ilvl="2" w:tplc="303E0560" w:tentative="1">
      <w:start w:val="1"/>
      <w:numFmt w:val="bullet"/>
      <w:lvlText w:val=""/>
      <w:lvlJc w:val="left"/>
      <w:pPr>
        <w:tabs>
          <w:tab w:val="num" w:pos="4320"/>
        </w:tabs>
        <w:ind w:left="4320" w:hanging="360"/>
      </w:pPr>
      <w:rPr>
        <w:rFonts w:ascii="Wingdings" w:hAnsi="Wingdings" w:hint="default"/>
      </w:rPr>
    </w:lvl>
    <w:lvl w:ilvl="3" w:tplc="B6486382">
      <w:start w:val="1"/>
      <w:numFmt w:val="bullet"/>
      <w:lvlText w:val=""/>
      <w:lvlJc w:val="left"/>
      <w:pPr>
        <w:tabs>
          <w:tab w:val="num" w:pos="5040"/>
        </w:tabs>
        <w:ind w:left="5040" w:hanging="360"/>
      </w:pPr>
      <w:rPr>
        <w:rFonts w:ascii="Symbol" w:hAnsi="Symbol" w:hint="default"/>
      </w:rPr>
    </w:lvl>
    <w:lvl w:ilvl="4" w:tplc="FF4CB19A" w:tentative="1">
      <w:start w:val="1"/>
      <w:numFmt w:val="bullet"/>
      <w:lvlText w:val="o"/>
      <w:lvlJc w:val="left"/>
      <w:pPr>
        <w:tabs>
          <w:tab w:val="num" w:pos="5760"/>
        </w:tabs>
        <w:ind w:left="5760" w:hanging="360"/>
      </w:pPr>
      <w:rPr>
        <w:rFonts w:ascii="Courier New" w:hAnsi="Courier New" w:hint="default"/>
      </w:rPr>
    </w:lvl>
    <w:lvl w:ilvl="5" w:tplc="068C8FE0" w:tentative="1">
      <w:start w:val="1"/>
      <w:numFmt w:val="bullet"/>
      <w:lvlText w:val=""/>
      <w:lvlJc w:val="left"/>
      <w:pPr>
        <w:tabs>
          <w:tab w:val="num" w:pos="6480"/>
        </w:tabs>
        <w:ind w:left="6480" w:hanging="360"/>
      </w:pPr>
      <w:rPr>
        <w:rFonts w:ascii="Wingdings" w:hAnsi="Wingdings" w:hint="default"/>
      </w:rPr>
    </w:lvl>
    <w:lvl w:ilvl="6" w:tplc="0F6C1B1A" w:tentative="1">
      <w:start w:val="1"/>
      <w:numFmt w:val="bullet"/>
      <w:lvlText w:val=""/>
      <w:lvlJc w:val="left"/>
      <w:pPr>
        <w:tabs>
          <w:tab w:val="num" w:pos="7200"/>
        </w:tabs>
        <w:ind w:left="7200" w:hanging="360"/>
      </w:pPr>
      <w:rPr>
        <w:rFonts w:ascii="Symbol" w:hAnsi="Symbol" w:hint="default"/>
      </w:rPr>
    </w:lvl>
    <w:lvl w:ilvl="7" w:tplc="FA2AE588" w:tentative="1">
      <w:start w:val="1"/>
      <w:numFmt w:val="bullet"/>
      <w:lvlText w:val="o"/>
      <w:lvlJc w:val="left"/>
      <w:pPr>
        <w:tabs>
          <w:tab w:val="num" w:pos="7920"/>
        </w:tabs>
        <w:ind w:left="7920" w:hanging="360"/>
      </w:pPr>
      <w:rPr>
        <w:rFonts w:ascii="Courier New" w:hAnsi="Courier New" w:hint="default"/>
      </w:rPr>
    </w:lvl>
    <w:lvl w:ilvl="8" w:tplc="49C46D62"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245657EA">
      <w:start w:val="1"/>
      <w:numFmt w:val="decimal"/>
      <w:lvlText w:val="(%1)"/>
      <w:lvlJc w:val="left"/>
      <w:pPr>
        <w:tabs>
          <w:tab w:val="num" w:pos="2520"/>
        </w:tabs>
        <w:ind w:left="2520" w:hanging="720"/>
      </w:pPr>
      <w:rPr>
        <w:rFonts w:cs="Times New Roman" w:hint="default"/>
      </w:rPr>
    </w:lvl>
    <w:lvl w:ilvl="1" w:tplc="28B8738A">
      <w:start w:val="1"/>
      <w:numFmt w:val="lowerRoman"/>
      <w:lvlText w:val="(%2)"/>
      <w:lvlJc w:val="left"/>
      <w:pPr>
        <w:tabs>
          <w:tab w:val="num" w:pos="1800"/>
        </w:tabs>
        <w:ind w:left="1800" w:hanging="720"/>
      </w:pPr>
      <w:rPr>
        <w:rFonts w:cs="Times New Roman" w:hint="default"/>
        <w:b w:val="0"/>
      </w:rPr>
    </w:lvl>
    <w:lvl w:ilvl="2" w:tplc="E7C066E8">
      <w:start w:val="1"/>
      <w:numFmt w:val="decimal"/>
      <w:lvlText w:val="(%3)"/>
      <w:lvlJc w:val="right"/>
      <w:pPr>
        <w:tabs>
          <w:tab w:val="num" w:pos="2160"/>
        </w:tabs>
        <w:ind w:left="2160" w:hanging="180"/>
      </w:pPr>
      <w:rPr>
        <w:rFonts w:ascii="Times New Roman" w:eastAsia="Times New Roman" w:hAnsi="Times New Roman" w:cs="Times New Roman"/>
        <w:b w:val="0"/>
      </w:rPr>
    </w:lvl>
    <w:lvl w:ilvl="3" w:tplc="28CA4DDE">
      <w:start w:val="1"/>
      <w:numFmt w:val="lowerRoman"/>
      <w:lvlText w:val="(%4)"/>
      <w:lvlJc w:val="left"/>
      <w:pPr>
        <w:tabs>
          <w:tab w:val="num" w:pos="2520"/>
        </w:tabs>
        <w:ind w:left="2880" w:hanging="360"/>
      </w:pPr>
      <w:rPr>
        <w:rFonts w:cs="Times New Roman" w:hint="default"/>
        <w:b w:val="0"/>
      </w:rPr>
    </w:lvl>
    <w:lvl w:ilvl="4" w:tplc="9AF2C498" w:tentative="1">
      <w:start w:val="1"/>
      <w:numFmt w:val="lowerLetter"/>
      <w:lvlText w:val="%5."/>
      <w:lvlJc w:val="left"/>
      <w:pPr>
        <w:tabs>
          <w:tab w:val="num" w:pos="3600"/>
        </w:tabs>
        <w:ind w:left="3600" w:hanging="360"/>
      </w:pPr>
      <w:rPr>
        <w:rFonts w:cs="Times New Roman"/>
      </w:rPr>
    </w:lvl>
    <w:lvl w:ilvl="5" w:tplc="8200B062" w:tentative="1">
      <w:start w:val="1"/>
      <w:numFmt w:val="lowerRoman"/>
      <w:lvlText w:val="%6."/>
      <w:lvlJc w:val="right"/>
      <w:pPr>
        <w:tabs>
          <w:tab w:val="num" w:pos="4320"/>
        </w:tabs>
        <w:ind w:left="4320" w:hanging="180"/>
      </w:pPr>
      <w:rPr>
        <w:rFonts w:cs="Times New Roman"/>
      </w:rPr>
    </w:lvl>
    <w:lvl w:ilvl="6" w:tplc="3A705C24" w:tentative="1">
      <w:start w:val="1"/>
      <w:numFmt w:val="decimal"/>
      <w:lvlText w:val="%7."/>
      <w:lvlJc w:val="left"/>
      <w:pPr>
        <w:tabs>
          <w:tab w:val="num" w:pos="5040"/>
        </w:tabs>
        <w:ind w:left="5040" w:hanging="360"/>
      </w:pPr>
      <w:rPr>
        <w:rFonts w:cs="Times New Roman"/>
      </w:rPr>
    </w:lvl>
    <w:lvl w:ilvl="7" w:tplc="6204C71C" w:tentative="1">
      <w:start w:val="1"/>
      <w:numFmt w:val="lowerLetter"/>
      <w:lvlText w:val="%8."/>
      <w:lvlJc w:val="left"/>
      <w:pPr>
        <w:tabs>
          <w:tab w:val="num" w:pos="5760"/>
        </w:tabs>
        <w:ind w:left="5760" w:hanging="360"/>
      </w:pPr>
      <w:rPr>
        <w:rFonts w:cs="Times New Roman"/>
      </w:rPr>
    </w:lvl>
    <w:lvl w:ilvl="8" w:tplc="1BA8863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72333"/>
    <w:docVar w:name="MarkCheckBox" w:val="FALSE"/>
    <w:docVar w:name="ShowPrintedCheckBox" w:val="TRUE"/>
    <w:docVar w:name="ShowScreenCheckBox" w:val="TRUE"/>
    <w:docVar w:name="SWDocIDLocation" w:val="0"/>
  </w:docVars>
  <w:rsids>
    <w:rsidRoot w:val="001C0992"/>
    <w:rsid w:val="001C0992"/>
    <w:rsid w:val="0033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012B38-C5B4-4FAD-B328-B6DE5877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7314</Words>
  <Characters>41693</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2018-09-07T19:24:00Z</dcterms:created>
  <dcterms:modified xsi:type="dcterms:W3CDTF">2018-09-07T19:24:00Z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1194876103</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Transmission Constraint Pricing - Initial Draft of Filing Letter</vt:lpwstr>
  </property>
  <property fmtid="{D5CDD505-2E9C-101B-9397-08002B2CF9AE}" pid="11" name="_NewReviewCycle">
    <vt:lpwstr/>
  </property>
  <property fmtid="{D5CDD505-2E9C-101B-9397-08002B2CF9AE}" pid="12" name="_PreviousAdHocReviewCycleID">
    <vt:i4>-925409674</vt:i4>
  </property>
  <property fmtid="{D5CDD505-2E9C-101B-9397-08002B2CF9AE}" pid="13" name="_ReviewingToolsShownOnce">
    <vt:lpwstr/>
  </property>
</Properties>
</file>