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485500" w:rsidRPr="00234DD5" w:rsidP="00EE2F42">
      <w:pPr>
        <w:pStyle w:val="Heading2"/>
        <w:rPr>
          <w:szCs w:val="24"/>
        </w:rPr>
      </w:pPr>
      <w:bookmarkStart w:id="0" w:name="_Toc261340963"/>
      <w:bookmarkStart w:id="1" w:name="_GoBack"/>
      <w:bookmarkEnd w:id="1"/>
      <w:r w:rsidRPr="00234DD5">
        <w:rPr>
          <w:szCs w:val="24"/>
        </w:rPr>
        <w:t>15.6</w:t>
      </w:r>
      <w:r w:rsidRPr="00234DD5">
        <w:rPr>
          <w:szCs w:val="24"/>
        </w:rPr>
        <w:tab/>
      </w:r>
      <w:r w:rsidRPr="00234DD5">
        <w:rPr>
          <w:szCs w:val="24"/>
        </w:rPr>
        <w:t>Rate Schedule 6</w:t>
      </w:r>
      <w:r w:rsidRPr="00234DD5" w:rsidR="00EE2F42">
        <w:rPr>
          <w:szCs w:val="24"/>
        </w:rPr>
        <w:t xml:space="preserve"> - </w:t>
      </w:r>
      <w:r w:rsidRPr="00234DD5">
        <w:rPr>
          <w:szCs w:val="24"/>
        </w:rPr>
        <w:t>Quick Start Reserves</w:t>
      </w:r>
      <w:bookmarkEnd w:id="0"/>
    </w:p>
    <w:p w:rsidR="00485500" w:rsidRPr="00234DD5" w:rsidP="00EE2F42">
      <w:pPr>
        <w:pStyle w:val="Bodypara"/>
        <w:rPr>
          <w:szCs w:val="24"/>
        </w:rPr>
      </w:pPr>
      <w:r w:rsidRPr="00234DD5">
        <w:rPr>
          <w:szCs w:val="24"/>
        </w:rPr>
        <w:t>This Rate Schedule applies to the scheduling and payment mechanisms for Quick Start Reserves.</w:t>
      </w:r>
    </w:p>
    <w:p w:rsidR="00485500" w:rsidRPr="00234DD5" w:rsidP="00EE2F42">
      <w:pPr>
        <w:pStyle w:val="Heading3"/>
        <w:rPr>
          <w:szCs w:val="24"/>
        </w:rPr>
      </w:pPr>
      <w:bookmarkStart w:id="2" w:name="_Toc261340964"/>
      <w:r w:rsidRPr="00234DD5">
        <w:rPr>
          <w:szCs w:val="24"/>
        </w:rPr>
        <w:t>15.6.1</w:t>
      </w:r>
      <w:r w:rsidRPr="00234DD5">
        <w:rPr>
          <w:szCs w:val="24"/>
        </w:rPr>
        <w:t xml:space="preserve"> </w:t>
      </w:r>
      <w:r w:rsidRPr="00234DD5">
        <w:rPr>
          <w:szCs w:val="24"/>
        </w:rPr>
        <w:tab/>
        <w:t>Qualification to Provide Quick Start Reserves</w:t>
      </w:r>
      <w:bookmarkEnd w:id="2"/>
    </w:p>
    <w:p w:rsidR="00485500" w:rsidRPr="00234DD5" w:rsidP="008B4656">
      <w:pPr>
        <w:pStyle w:val="romannumeralpara"/>
        <w:rPr>
          <w:szCs w:val="24"/>
        </w:rPr>
      </w:pPr>
      <w:r w:rsidRPr="00234DD5">
        <w:rPr>
          <w:szCs w:val="24"/>
        </w:rPr>
        <w:t>15.6.</w:t>
      </w:r>
      <w:r w:rsidRPr="00234DD5">
        <w:rPr>
          <w:szCs w:val="24"/>
        </w:rPr>
        <w:t>1.1</w:t>
      </w:r>
      <w:r w:rsidRPr="00234DD5">
        <w:rPr>
          <w:szCs w:val="24"/>
        </w:rPr>
        <w:tab/>
      </w:r>
      <w:bookmarkStart w:id="3" w:name="DocXGoBackHere"/>
      <w:bookmarkEnd w:id="3"/>
      <w:r w:rsidRPr="00234DD5">
        <w:rPr>
          <w:szCs w:val="24"/>
        </w:rPr>
        <w:t>A Supplier may offer Quick Start Reserves from one or more blocks of generator units to the Transmission Owner to which the block of generator units is interconnected if the block of generator units is (i) qualified to provide 30-Minute Reserves, and (ii) capable of being set to Quick Start Mode.</w:t>
      </w:r>
    </w:p>
    <w:p w:rsidR="00485500" w:rsidRPr="00234DD5" w:rsidP="008B4656">
      <w:pPr>
        <w:pStyle w:val="romannumeralpara"/>
        <w:rPr>
          <w:szCs w:val="24"/>
        </w:rPr>
      </w:pPr>
      <w:r w:rsidRPr="00234DD5">
        <w:rPr>
          <w:szCs w:val="24"/>
        </w:rPr>
        <w:t>15.6.</w:t>
      </w:r>
      <w:r w:rsidRPr="00234DD5">
        <w:rPr>
          <w:szCs w:val="24"/>
        </w:rPr>
        <w:t>1.2</w:t>
      </w:r>
      <w:r w:rsidRPr="00234DD5">
        <w:rPr>
          <w:szCs w:val="24"/>
        </w:rPr>
        <w:tab/>
        <w:t xml:space="preserve">A Supplier intending to offer Quick Start Reserves shall undertake a test scheduled pursuant to the ISO Procedures for Installed Capacity Suppliers qualifying to sell Installed Capacity in the NYCA to determine the DMNC of the Supplier’s block of generator units.  The Supplier shall, while undertaking the DMNC test in Quick Start Mode, make record of and notify, for information purposes, the Transmission Owner in the Supplier’s Transmission District and the ISO of (i) the output level in MWs that the block of generator units produced at ten (10) minutes following start-up; and (ii) the output level in MWs that the block of generator units produced at fifteen (15) minutes following start-up.  Delivery of this information to the Transmission Owner in the Supplier’s Transmission District and the ISO shall constitute and be deemed to be a standing offer to provide Quick Start Reserves pursuant to Section </w:t>
      </w:r>
      <w:r w:rsidRPr="00234DD5" w:rsidR="00480209">
        <w:rPr>
          <w:szCs w:val="24"/>
        </w:rPr>
        <w:t>15.6.2</w:t>
      </w:r>
      <w:r w:rsidRPr="00234DD5">
        <w:rPr>
          <w:szCs w:val="24"/>
        </w:rPr>
        <w:t xml:space="preserve"> of this Rate Schedule until (i) the Supplier performs another DMNC test and provides the information required pursuant to this Section </w:t>
      </w:r>
      <w:r w:rsidRPr="00234DD5" w:rsidR="00480209">
        <w:rPr>
          <w:szCs w:val="24"/>
        </w:rPr>
        <w:t>15.6.1.2</w:t>
      </w:r>
      <w:r w:rsidRPr="00234DD5">
        <w:rPr>
          <w:szCs w:val="24"/>
        </w:rPr>
        <w:t xml:space="preserve"> to the ISO and the Transmission Owner, (ii) thirty (30) days after providing a notice to the ISO and </w:t>
      </w:r>
      <w:r w:rsidRPr="00234DD5">
        <w:rPr>
          <w:szCs w:val="24"/>
        </w:rPr>
        <w:t>the Transmission Owner that it no longer offers Quick Start Reserves from any one or more blocks of generator units, provided that the supplier is not otherwise required to provide Quick Start Reserves, or (iii) the Supplier is not paid for Quick Start Reserves as provided herein.</w:t>
      </w:r>
    </w:p>
    <w:p w:rsidR="00485500" w:rsidRPr="00234DD5" w:rsidP="008B4656">
      <w:pPr>
        <w:pStyle w:val="romannumeralpara"/>
        <w:rPr>
          <w:szCs w:val="24"/>
        </w:rPr>
      </w:pPr>
      <w:r w:rsidRPr="00234DD5">
        <w:rPr>
          <w:szCs w:val="24"/>
        </w:rPr>
        <w:t>15.6.</w:t>
      </w:r>
      <w:r w:rsidRPr="00234DD5">
        <w:rPr>
          <w:szCs w:val="24"/>
        </w:rPr>
        <w:t>1.3</w:t>
      </w:r>
      <w:r w:rsidRPr="00234DD5">
        <w:rPr>
          <w:szCs w:val="24"/>
        </w:rPr>
        <w:tab/>
        <w:t xml:space="preserve">A Supplier shall maintain each block of generator units for which Quick Start Reserves are offered in good working order to provide Energy in an amount at its temperature-adjusted DMNC within fifteen (15) minutes of remote start-up.  </w:t>
      </w:r>
    </w:p>
    <w:p w:rsidR="00485500" w:rsidRPr="00234DD5" w:rsidP="008B4656">
      <w:pPr>
        <w:pStyle w:val="romannumeralpara"/>
        <w:rPr>
          <w:szCs w:val="24"/>
        </w:rPr>
      </w:pPr>
      <w:r w:rsidRPr="00234DD5">
        <w:rPr>
          <w:szCs w:val="24"/>
        </w:rPr>
        <w:t>15.6.</w:t>
      </w:r>
      <w:r w:rsidRPr="00234DD5">
        <w:rPr>
          <w:szCs w:val="24"/>
        </w:rPr>
        <w:t>1.4</w:t>
      </w:r>
      <w:r w:rsidRPr="00234DD5">
        <w:rPr>
          <w:szCs w:val="24"/>
        </w:rPr>
        <w:tab/>
        <w:t>A Transmission Owner receiving the i</w:t>
      </w:r>
      <w:r w:rsidRPr="00234DD5" w:rsidR="00AB54F8">
        <w:rPr>
          <w:szCs w:val="24"/>
        </w:rPr>
        <w:t>nformation specified in Section </w:t>
      </w:r>
      <w:r w:rsidRPr="00234DD5" w:rsidR="00B01A48">
        <w:rPr>
          <w:szCs w:val="24"/>
        </w:rPr>
        <w:t>15.6.1.2</w:t>
      </w:r>
      <w:r w:rsidRPr="00234DD5">
        <w:rPr>
          <w:szCs w:val="24"/>
        </w:rPr>
        <w:t xml:space="preserve"> of this Rate Schedule shall confirm to the ISO and the Supplier whether the Transmission Owner has the ability to remotely start up a block of generator units that the Supplier has offered for Quick Start Reserves.  This confirmation informs the Supplier that the Transmission Owner or the ISO may elect to purchase Quick Start Reserves from each block of generator units that the Supplier has offered for Quick Start Reserves.</w:t>
      </w:r>
    </w:p>
    <w:p w:rsidR="00485500" w:rsidRPr="00234DD5" w:rsidP="00EE2F42">
      <w:pPr>
        <w:pStyle w:val="Heading3"/>
        <w:rPr>
          <w:szCs w:val="24"/>
        </w:rPr>
      </w:pPr>
      <w:bookmarkStart w:id="4" w:name="_Toc261340965"/>
      <w:r w:rsidRPr="00234DD5">
        <w:rPr>
          <w:szCs w:val="24"/>
        </w:rPr>
        <w:t>15.6.2</w:t>
      </w:r>
      <w:r w:rsidRPr="00234DD5">
        <w:rPr>
          <w:szCs w:val="24"/>
        </w:rPr>
        <w:tab/>
        <w:t>Purchase and Selection of Quick Start Reserves and Associated Duties</w:t>
      </w:r>
      <w:bookmarkEnd w:id="4"/>
    </w:p>
    <w:p w:rsidR="00485500" w:rsidRPr="00234DD5" w:rsidP="008B4656">
      <w:pPr>
        <w:pStyle w:val="romannumeralpara"/>
        <w:rPr>
          <w:szCs w:val="24"/>
        </w:rPr>
      </w:pPr>
      <w:r w:rsidRPr="00234DD5">
        <w:rPr>
          <w:szCs w:val="24"/>
        </w:rPr>
        <w:t>15.6.</w:t>
      </w:r>
      <w:r w:rsidRPr="00234DD5">
        <w:rPr>
          <w:szCs w:val="24"/>
        </w:rPr>
        <w:t>2.1</w:t>
      </w:r>
      <w:r w:rsidRPr="00234DD5">
        <w:rPr>
          <w:szCs w:val="24"/>
        </w:rPr>
        <w:tab/>
        <w:t>When a Transmission Owner has issued c</w:t>
      </w:r>
      <w:r w:rsidRPr="00234DD5" w:rsidR="00AB54F8">
        <w:rPr>
          <w:szCs w:val="24"/>
        </w:rPr>
        <w:t>onfirmation pursuant to Section </w:t>
      </w:r>
      <w:r w:rsidRPr="00234DD5" w:rsidR="00B01A48">
        <w:rPr>
          <w:szCs w:val="24"/>
        </w:rPr>
        <w:t>15.6.1.4</w:t>
      </w:r>
      <w:r w:rsidRPr="00234DD5">
        <w:rPr>
          <w:szCs w:val="24"/>
        </w:rPr>
        <w:t xml:space="preserve"> of this Rate Schedule and requires Quick Start Reserves, the Transmission Owner may purchase Quick Start Reserves from the Supplier by telephonic request; </w:t>
      </w:r>
      <w:r w:rsidRPr="00234DD5">
        <w:rPr>
          <w:color w:val="000000"/>
          <w:szCs w:val="24"/>
        </w:rPr>
        <w:t>provided, however</w:t>
      </w:r>
      <w:r w:rsidRPr="00234DD5">
        <w:rPr>
          <w:szCs w:val="24"/>
        </w:rPr>
        <w:t xml:space="preserve">, that the Transmission Owner shall not purchase Quick Start Reserves unless the Transmission Owner has received the ISO’s concurrence with the proposed purchase of Quick Start Reserves.  The telephonic request shall specify the starting time and either the number of MWs of Quick Start Reserves required or the block of generator units from which the </w:t>
      </w:r>
      <w:r w:rsidRPr="00234DD5">
        <w:rPr>
          <w:szCs w:val="24"/>
        </w:rPr>
        <w:t>Supplier is to sell Quick Start Reserves.  In addition, the telephonic request shall, if available and for information purposes only, specify the estimated number of hours for which the Transmission Owner intends to purchase Quick Start Reserves.  The Transmission Owner shall give written notice by electronic mail (or fax if electronic mail is not available) to each of the Supplier and the ISO of the telephonic request within ten (10) minutes of making the telephonic request, and the written notice by electronic mail or fax shall provide the same information specified in the Transmission Owner’s telephonic request and shall also provide the time of the telephonic request.  If the Supplier has not received such written notice or disagrees with its contents, the Supplier shall give notice by electronic mail (or fax if electronic mail is not available) to each of the ISO and the Transmission Owner confirming the telephonic request, and the notice by electronic mail or fax shall provide the same information specified in the Transmission Owner’s telephonic request and shall also provide the time of the telephonic request.</w:t>
      </w:r>
    </w:p>
    <w:p w:rsidR="00485500" w:rsidRPr="00234DD5" w:rsidP="008B4656">
      <w:pPr>
        <w:pStyle w:val="romannumeralpara"/>
        <w:rPr>
          <w:szCs w:val="24"/>
        </w:rPr>
      </w:pPr>
      <w:r w:rsidRPr="00234DD5">
        <w:rPr>
          <w:szCs w:val="24"/>
        </w:rPr>
        <w:t>15.6.</w:t>
      </w:r>
      <w:r w:rsidRPr="00234DD5">
        <w:rPr>
          <w:szCs w:val="24"/>
        </w:rPr>
        <w:t>2.2</w:t>
      </w:r>
      <w:r w:rsidRPr="00234DD5">
        <w:rPr>
          <w:szCs w:val="24"/>
        </w:rPr>
        <w:tab/>
        <w:t xml:space="preserve">A Transmission Owner shall stop purchasing some or all the Quick Start Reserves from a Supplier upon giving telephonic notice to the Supplier that the Transmission Owner no longer requires some or all the Quick Start Reserves; </w:t>
      </w:r>
      <w:r w:rsidRPr="00234DD5">
        <w:rPr>
          <w:color w:val="000000"/>
          <w:szCs w:val="24"/>
        </w:rPr>
        <w:t>provided, however</w:t>
      </w:r>
      <w:r w:rsidRPr="00234DD5">
        <w:rPr>
          <w:szCs w:val="24"/>
        </w:rPr>
        <w:t>, that the Transmission Owner shall not stop the purchase of Quick Start Reserves without the ISO’s concurrence.  The Transmission Owner shall give written notice by electronic mail (or fax if electronic mail is not available) to each of the Supplier and the ISO of the telephonic notice within ten (10) minutes of providing the telephonic notice, and the written notice by electronic mail or fax shall provide the time of the telephonic notice.  If the Supplier has not received such written notice or disagrees with its contents, the Supplier shall give notice by electronic mail (or fax if electronic mail is not available) to each of the ISO and the Transmission Owner of the telephonic notice, and the notice by electronic mail or fax shall provide the same information specified in the Transmission Owner’s telephonic notice and shall also provide the time of the telephonic notice.</w:t>
      </w:r>
    </w:p>
    <w:p w:rsidR="00485500" w:rsidRPr="00234DD5" w:rsidP="008B4656">
      <w:pPr>
        <w:pStyle w:val="romannumeralpara"/>
        <w:rPr>
          <w:szCs w:val="24"/>
        </w:rPr>
      </w:pPr>
      <w:r w:rsidRPr="00234DD5">
        <w:rPr>
          <w:szCs w:val="24"/>
        </w:rPr>
        <w:t>15.6.</w:t>
      </w:r>
      <w:r w:rsidRPr="00234DD5">
        <w:rPr>
          <w:szCs w:val="24"/>
        </w:rPr>
        <w:t>2.3</w:t>
      </w:r>
      <w:r w:rsidRPr="00234DD5">
        <w:rPr>
          <w:szCs w:val="24"/>
        </w:rPr>
        <w:tab/>
        <w:t xml:space="preserve">The ISO shall maintain complete and accurate records of all notices received by electronic mail or fax pursuant to Sections </w:t>
      </w:r>
      <w:r w:rsidRPr="00234DD5" w:rsidR="000C0AC0">
        <w:rPr>
          <w:szCs w:val="24"/>
        </w:rPr>
        <w:t>15.6.2.1</w:t>
      </w:r>
      <w:r w:rsidRPr="00234DD5">
        <w:rPr>
          <w:szCs w:val="24"/>
        </w:rPr>
        <w:t xml:space="preserve"> and </w:t>
      </w:r>
      <w:r w:rsidRPr="00234DD5" w:rsidR="000C0AC0">
        <w:rPr>
          <w:szCs w:val="24"/>
        </w:rPr>
        <w:t>15.6.2.2</w:t>
      </w:r>
      <w:r w:rsidRPr="00234DD5">
        <w:rPr>
          <w:szCs w:val="24"/>
        </w:rPr>
        <w:t xml:space="preserve"> of this Rate Schedule.</w:t>
      </w:r>
    </w:p>
    <w:p w:rsidR="00485500" w:rsidRPr="00234DD5" w:rsidP="008B4656">
      <w:pPr>
        <w:pStyle w:val="romannumeralpara"/>
        <w:rPr>
          <w:szCs w:val="24"/>
        </w:rPr>
      </w:pPr>
      <w:r w:rsidRPr="00234DD5">
        <w:rPr>
          <w:szCs w:val="24"/>
        </w:rPr>
        <w:t>15.6.</w:t>
      </w:r>
      <w:r w:rsidRPr="00234DD5">
        <w:rPr>
          <w:szCs w:val="24"/>
        </w:rPr>
        <w:t>2.4</w:t>
      </w:r>
      <w:r w:rsidRPr="00234DD5">
        <w:rPr>
          <w:szCs w:val="24"/>
        </w:rPr>
        <w:tab/>
        <w:t xml:space="preserve">A Supplier offering Quick Start Reserves that receives a telephonic request to purchase or to select Quick Start Reserves shall set one or more blocks of generator units to Quick Start Mode as requested within ten (10) minutes of the telephonic request; </w:t>
      </w:r>
      <w:r w:rsidRPr="00234DD5">
        <w:rPr>
          <w:color w:val="000000"/>
          <w:szCs w:val="24"/>
        </w:rPr>
        <w:t>provided, however</w:t>
      </w:r>
      <w:r w:rsidRPr="00234DD5">
        <w:rPr>
          <w:szCs w:val="24"/>
        </w:rPr>
        <w:t>, that the Supplier shall have no obligation to set a block of generator units to or to maintain a block of generator units in Quick Start Mode during (i) periods of forced outage, (ii) maintenance outages that are approved in advance pursuant to the ISO Services Tariff, or (iii) any period when the requested block of generator units is producing Energy.</w:t>
      </w:r>
    </w:p>
    <w:p w:rsidR="00485500" w:rsidRPr="00234DD5" w:rsidP="008B4656">
      <w:pPr>
        <w:pStyle w:val="romannumeralpara"/>
        <w:rPr>
          <w:szCs w:val="24"/>
        </w:rPr>
      </w:pPr>
      <w:r w:rsidRPr="00234DD5">
        <w:rPr>
          <w:szCs w:val="24"/>
        </w:rPr>
        <w:t>15.6.</w:t>
      </w:r>
      <w:r w:rsidRPr="00234DD5">
        <w:rPr>
          <w:szCs w:val="24"/>
        </w:rPr>
        <w:t>2.5</w:t>
      </w:r>
      <w:r w:rsidRPr="00234DD5">
        <w:rPr>
          <w:szCs w:val="24"/>
        </w:rPr>
        <w:tab/>
        <w:t xml:space="preserve">During any period when the Transmission Owner has not purchased Quick Start Reserves from an offered block of generator units, the Supplier shall not be required to set the block of generator units to or to maintain the block of generator units in Quick Start Mode, subject to the requirement that the Supplier set the block of generator units to Quick Start Mode within ten (10) minutes of a request pursuant to Section </w:t>
      </w:r>
      <w:r w:rsidRPr="00234DD5" w:rsidR="000C0AC0">
        <w:rPr>
          <w:szCs w:val="24"/>
        </w:rPr>
        <w:t>15.6.2.1</w:t>
      </w:r>
      <w:r w:rsidRPr="00234DD5">
        <w:rPr>
          <w:szCs w:val="24"/>
        </w:rPr>
        <w:t xml:space="preserve"> of this Rate Schedule.</w:t>
      </w:r>
    </w:p>
    <w:p w:rsidR="00485500" w:rsidRPr="00234DD5" w:rsidP="008B4656">
      <w:pPr>
        <w:pStyle w:val="romannumeralpara"/>
        <w:rPr>
          <w:szCs w:val="24"/>
        </w:rPr>
      </w:pPr>
      <w:r w:rsidRPr="00234DD5">
        <w:rPr>
          <w:szCs w:val="24"/>
        </w:rPr>
        <w:t>15.6.</w:t>
      </w:r>
      <w:r w:rsidRPr="00234DD5">
        <w:rPr>
          <w:szCs w:val="24"/>
        </w:rPr>
        <w:t>2.6</w:t>
      </w:r>
      <w:r w:rsidRPr="00234DD5">
        <w:rPr>
          <w:szCs w:val="24"/>
        </w:rPr>
        <w:tab/>
        <w:t>A Supplier offering Quick Start Reserves shall maintain Hour-Ahead Bids for Energy at all times for each of the Supplier’s block of generator units comprising the offered, purchased, or selected Quick Start Reserves, and shall maintain these Bids in the Real-Time Market.</w:t>
      </w:r>
    </w:p>
    <w:p w:rsidR="00485500" w:rsidRPr="00234DD5" w:rsidP="00EE2F42">
      <w:pPr>
        <w:pStyle w:val="Heading3"/>
        <w:rPr>
          <w:szCs w:val="24"/>
        </w:rPr>
      </w:pPr>
      <w:bookmarkStart w:id="5" w:name="_Toc261340966"/>
      <w:r w:rsidRPr="00234DD5">
        <w:rPr>
          <w:szCs w:val="24"/>
        </w:rPr>
        <w:t>15.6.</w:t>
      </w:r>
      <w:r w:rsidRPr="00234DD5">
        <w:rPr>
          <w:szCs w:val="24"/>
        </w:rPr>
        <w:t>3</w:t>
      </w:r>
      <w:r w:rsidRPr="00234DD5">
        <w:rPr>
          <w:szCs w:val="24"/>
        </w:rPr>
        <w:tab/>
        <w:t>Duty to Produce Energy</w:t>
      </w:r>
      <w:bookmarkEnd w:id="5"/>
    </w:p>
    <w:p w:rsidR="00485500" w:rsidRPr="00234DD5" w:rsidP="008B4656">
      <w:pPr>
        <w:pStyle w:val="romannumeralpara"/>
        <w:rPr>
          <w:szCs w:val="24"/>
        </w:rPr>
      </w:pPr>
      <w:r w:rsidRPr="00234DD5">
        <w:rPr>
          <w:szCs w:val="24"/>
        </w:rPr>
        <w:t>15.6.</w:t>
      </w:r>
      <w:r w:rsidRPr="00234DD5">
        <w:rPr>
          <w:szCs w:val="24"/>
        </w:rPr>
        <w:t>3.1</w:t>
      </w:r>
      <w:r w:rsidRPr="00234DD5">
        <w:rPr>
          <w:szCs w:val="24"/>
        </w:rPr>
        <w:tab/>
        <w:t>A Transmission Owner may remotely start up any block of generator units that is providing Quick Start Reserves.  Upon remote start-up, the Transmission Owner shall give notice to the ISO that the block of generator units have been started up out of merit for local reliability. A Transmission Owner may dispatch off a block of generator units started up out of merit when Energy from the block of generator units is no longer required for local reliability, subject to any minimum run time of the block of generator units; provided, however, that the Transmission Owner shall not dispatch off the block of generator units without the ISO’s concurrence.</w:t>
      </w:r>
    </w:p>
    <w:p w:rsidR="00485500" w:rsidRPr="00234DD5" w:rsidP="008B4656">
      <w:pPr>
        <w:pStyle w:val="romannumeralpara"/>
        <w:rPr>
          <w:szCs w:val="24"/>
        </w:rPr>
      </w:pPr>
      <w:r w:rsidRPr="00234DD5">
        <w:rPr>
          <w:szCs w:val="24"/>
        </w:rPr>
        <w:t>15.6.</w:t>
      </w:r>
      <w:r w:rsidRPr="00234DD5">
        <w:rPr>
          <w:szCs w:val="24"/>
        </w:rPr>
        <w:t>3.2</w:t>
      </w:r>
      <w:r w:rsidRPr="00234DD5">
        <w:rPr>
          <w:szCs w:val="24"/>
        </w:rPr>
        <w:tab/>
        <w:t>During each period when a Transmission Owner has purchased Quick Start Reserves, the Supplier shall respond to each remote start-up order from the Transmission Owner, and shall cause the Supplier’s remotely started up block of generator units to be synchronized and at full output within fifteen (15) minutes.</w:t>
      </w:r>
    </w:p>
    <w:p w:rsidR="00485500" w:rsidRPr="00234DD5" w:rsidP="00EE2F42">
      <w:pPr>
        <w:pStyle w:val="Heading3"/>
        <w:rPr>
          <w:szCs w:val="24"/>
        </w:rPr>
      </w:pPr>
      <w:bookmarkStart w:id="6" w:name="_Toc261340967"/>
      <w:r w:rsidRPr="00234DD5">
        <w:rPr>
          <w:szCs w:val="24"/>
        </w:rPr>
        <w:t>15.6.4</w:t>
      </w:r>
      <w:r w:rsidRPr="00234DD5">
        <w:rPr>
          <w:szCs w:val="24"/>
        </w:rPr>
        <w:tab/>
        <w:t>Failure to Achieve Timely Synchronization</w:t>
      </w:r>
      <w:bookmarkEnd w:id="6"/>
      <w:r w:rsidRPr="00234DD5">
        <w:rPr>
          <w:szCs w:val="24"/>
        </w:rPr>
        <w:t xml:space="preserve"> </w:t>
      </w:r>
    </w:p>
    <w:p w:rsidR="00485500" w:rsidRPr="00234DD5" w:rsidP="00EE2F42">
      <w:pPr>
        <w:pStyle w:val="Bodypara"/>
        <w:rPr>
          <w:szCs w:val="24"/>
        </w:rPr>
      </w:pPr>
      <w:r w:rsidRPr="00234DD5">
        <w:rPr>
          <w:szCs w:val="24"/>
        </w:rPr>
        <w:t xml:space="preserve">If a Supplier that has sold Quick Start Reserves fails to have the block of generator units synchronized in the amount of the Energy Bid pursuant to Section </w:t>
      </w:r>
      <w:r w:rsidRPr="00234DD5" w:rsidR="000C0AC0">
        <w:rPr>
          <w:szCs w:val="24"/>
        </w:rPr>
        <w:t>15.6.2.6</w:t>
      </w:r>
      <w:r w:rsidRPr="00234DD5">
        <w:rPr>
          <w:szCs w:val="24"/>
        </w:rPr>
        <w:t xml:space="preserve"> of this Rate Schedule within fifteen (15) minutes of a remote start-up, the Supplier shall be subject to the provisions applicable to Suppliers of 10-Minute Non-</w:t>
      </w:r>
      <w:r w:rsidR="00CD60C1">
        <w:rPr>
          <w:szCs w:val="24"/>
        </w:rPr>
        <w:t>Synchronized</w:t>
      </w:r>
      <w:r w:rsidRPr="00234DD5">
        <w:rPr>
          <w:szCs w:val="24"/>
        </w:rPr>
        <w:t xml:space="preserve"> Reserves and 30-Minute Reserves that fail to provide Energy within the time allotted; </w:t>
      </w:r>
      <w:r w:rsidRPr="00234DD5">
        <w:rPr>
          <w:color w:val="000000"/>
          <w:szCs w:val="24"/>
        </w:rPr>
        <w:t>provided, however</w:t>
      </w:r>
      <w:r w:rsidRPr="00234DD5">
        <w:rPr>
          <w:szCs w:val="24"/>
        </w:rPr>
        <w:t>, that charges against Quick Start Reserves payments shall be based upon the blended rate of 85% of P</w:t>
      </w:r>
      <w:r w:rsidRPr="00234DD5">
        <w:rPr>
          <w:szCs w:val="24"/>
          <w:vertAlign w:val="subscript"/>
        </w:rPr>
        <w:t>10MNSR,h</w:t>
      </w:r>
      <w:r w:rsidRPr="00234DD5">
        <w:rPr>
          <w:szCs w:val="24"/>
        </w:rPr>
        <w:t xml:space="preserve"> plus 15% of P</w:t>
      </w:r>
      <w:r w:rsidRPr="00234DD5">
        <w:rPr>
          <w:szCs w:val="24"/>
          <w:vertAlign w:val="subscript"/>
        </w:rPr>
        <w:t>30MR,h</w:t>
      </w:r>
      <w:r w:rsidRPr="00234DD5">
        <w:rPr>
          <w:szCs w:val="24"/>
        </w:rPr>
        <w:t xml:space="preserve">, as applied in Section </w:t>
      </w:r>
      <w:r w:rsidRPr="00234DD5" w:rsidR="000C0AC0">
        <w:rPr>
          <w:szCs w:val="24"/>
        </w:rPr>
        <w:t>15.6.5.1</w:t>
      </w:r>
      <w:r w:rsidRPr="00234DD5">
        <w:rPr>
          <w:szCs w:val="24"/>
        </w:rPr>
        <w:t xml:space="preserve"> of this Rate Schedule.</w:t>
      </w:r>
    </w:p>
    <w:p w:rsidR="00485500" w:rsidRPr="00234DD5" w:rsidP="00EE2F42">
      <w:pPr>
        <w:pStyle w:val="Heading3"/>
        <w:rPr>
          <w:szCs w:val="24"/>
        </w:rPr>
      </w:pPr>
      <w:bookmarkStart w:id="7" w:name="_Toc261340968"/>
      <w:r w:rsidRPr="00234DD5">
        <w:rPr>
          <w:szCs w:val="24"/>
        </w:rPr>
        <w:t>15.6.5</w:t>
      </w:r>
      <w:r w:rsidRPr="00234DD5">
        <w:rPr>
          <w:szCs w:val="24"/>
        </w:rPr>
        <w:tab/>
        <w:t>Payments to Suppliers; Payments by Load Serving Entities</w:t>
      </w:r>
      <w:bookmarkEnd w:id="7"/>
    </w:p>
    <w:p w:rsidR="00485500" w:rsidP="00FC5CB2">
      <w:pPr>
        <w:pStyle w:val="romannumeralpara"/>
        <w:rPr>
          <w:szCs w:val="24"/>
        </w:rPr>
      </w:pPr>
      <w:r w:rsidRPr="00234DD5">
        <w:rPr>
          <w:szCs w:val="24"/>
        </w:rPr>
        <w:t>15.6.</w:t>
      </w:r>
      <w:r w:rsidRPr="00234DD5">
        <w:rPr>
          <w:bCs/>
          <w:szCs w:val="24"/>
        </w:rPr>
        <w:t>5.1</w:t>
      </w:r>
      <w:r w:rsidRPr="00234DD5">
        <w:rPr>
          <w:szCs w:val="24"/>
        </w:rPr>
        <w:tab/>
        <w:t xml:space="preserve">A Supplier that provides Quick Start Reserves shall receive each </w:t>
      </w:r>
      <w:r w:rsidRPr="00234DD5" w:rsidR="00890D34">
        <w:rPr>
          <w:szCs w:val="24"/>
        </w:rPr>
        <w:t xml:space="preserve">Billing Period </w:t>
      </w:r>
      <w:r w:rsidRPr="00234DD5">
        <w:rPr>
          <w:szCs w:val="24"/>
        </w:rPr>
        <w:t xml:space="preserve">a payment for each block of generator units that provided Quick Start Reserves in any hour of the previous </w:t>
      </w:r>
      <w:r w:rsidRPr="00234DD5" w:rsidR="00890D34">
        <w:rPr>
          <w:szCs w:val="24"/>
        </w:rPr>
        <w:t>Billing Period</w:t>
      </w:r>
      <w:r w:rsidRPr="00234DD5">
        <w:rPr>
          <w:szCs w:val="24"/>
        </w:rPr>
        <w:t>, unless the block of generator units also produced Energy during the hour.  The amount of this payment shall equal:</w:t>
      </w:r>
    </w:p>
    <w:p w:rsidR="004A3C8A" w:rsidP="004A3C8A">
      <w:pPr>
        <w:pStyle w:val="romannumeralpara"/>
      </w:pPr>
      <m:oMathPara>
        <m:oMath>
          <m:nary>
            <m:naryPr>
              <m:chr m:val="∑"/>
              <m:limLoc m:val="undOvr"/>
              <m:supHide/>
              <m:ctrlPr>
                <w:rPr>
                  <w:rFonts w:ascii="Cambria Math" w:hAnsi="Cambria Math"/>
                  <w:i/>
                </w:rPr>
              </m:ctrlPr>
            </m:naryPr>
            <m:sub>
              <m:r>
                <w:rPr>
                  <w:rFonts w:ascii="Cambria Math" w:hAnsi="Cambria Math"/>
                </w:rPr>
                <m:t>h</m:t>
              </m:r>
            </m:sub>
            <m:sup/>
            <m:e>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h</m:t>
                      </m:r>
                    </m:sub>
                  </m:sSub>
                  <m:r>
                    <w:rPr>
                      <w:rFonts w:ascii="Cambria Math" w:hAnsi="Cambria Math"/>
                    </w:rPr>
                    <m:t>*</m:t>
                  </m:r>
                  <m:d>
                    <m:dPr>
                      <m:ctrlPr>
                        <w:rPr>
                          <w:rFonts w:ascii="Cambria Math" w:hAnsi="Cambria Math"/>
                          <w:i/>
                        </w:rPr>
                      </m:ctrlPr>
                    </m:dPr>
                    <m:e>
                      <m:r>
                        <w:rPr>
                          <w:rFonts w:ascii="Cambria Math" w:hAnsi="Cambria Math"/>
                        </w:rPr>
                        <m:t>0.85*</m:t>
                      </m:r>
                      <m:sSub>
                        <m:sSubPr>
                          <m:ctrlPr>
                            <w:rPr>
                              <w:rFonts w:ascii="Cambria Math" w:hAnsi="Cambria Math"/>
                              <w:i/>
                            </w:rPr>
                          </m:ctrlPr>
                        </m:sSubPr>
                        <m:e>
                          <m:r>
                            <w:rPr>
                              <w:rFonts w:ascii="Cambria Math" w:hAnsi="Cambria Math"/>
                            </w:rPr>
                            <m:t>P</m:t>
                          </m:r>
                        </m:e>
                        <m:sub>
                          <m:r>
                            <w:rPr>
                              <w:rFonts w:ascii="Cambria Math" w:hAnsi="Cambria Math"/>
                            </w:rPr>
                            <m:t>10MNSR,h</m:t>
                          </m:r>
                        </m:sub>
                      </m:sSub>
                      <m:r>
                        <w:rPr>
                          <w:rFonts w:ascii="Cambria Math" w:hAnsi="Cambria Math"/>
                        </w:rPr>
                        <m:t>+0.15*</m:t>
                      </m:r>
                      <m:sSub>
                        <m:sSubPr>
                          <m:ctrlPr>
                            <w:rPr>
                              <w:rFonts w:ascii="Cambria Math" w:hAnsi="Cambria Math"/>
                              <w:i/>
                            </w:rPr>
                          </m:ctrlPr>
                        </m:sSubPr>
                        <m:e>
                          <m:r>
                            <w:rPr>
                              <w:rFonts w:ascii="Cambria Math" w:hAnsi="Cambria Math"/>
                            </w:rPr>
                            <m:t>P</m:t>
                          </m:r>
                        </m:e>
                        <m:sub>
                          <m:r>
                            <w:rPr>
                              <w:rFonts w:ascii="Cambria Math" w:hAnsi="Cambria Math"/>
                            </w:rPr>
                            <m:t>30MR,h</m:t>
                          </m:r>
                        </m:sub>
                      </m:sSub>
                    </m:e>
                  </m:d>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30MR,h</m:t>
                      </m:r>
                    </m:sub>
                  </m:sSub>
                </m:e>
              </m:d>
            </m:e>
          </m:nary>
        </m:oMath>
      </m:oMathPara>
    </w:p>
    <w:p w:rsidR="004A3C8A" w:rsidP="004A3C8A">
      <w:pPr>
        <w:autoSpaceDE w:val="0"/>
        <w:autoSpaceDN w:val="0"/>
        <w:adjustRightInd w:val="0"/>
        <w:spacing w:line="480" w:lineRule="auto"/>
        <w:ind w:left="1440" w:hanging="720"/>
      </w:pPr>
      <w:r>
        <w:tab/>
      </w:r>
      <w:r>
        <w:tab/>
        <w:t>where:</w:t>
      </w:r>
    </w:p>
    <w:tbl>
      <w:tblPr>
        <w:tblW w:w="0" w:type="auto"/>
        <w:tblInd w:w="1548" w:type="dxa"/>
        <w:tblLayout w:type="fixed"/>
        <w:tblLook w:val="0000"/>
      </w:tblPr>
      <w:tblGrid>
        <w:gridCol w:w="1080"/>
        <w:gridCol w:w="240"/>
        <w:gridCol w:w="5148"/>
      </w:tblGrid>
      <w:tr w:rsidTr="00EC4AD4">
        <w:tblPrEx>
          <w:tblW w:w="0" w:type="auto"/>
          <w:tblInd w:w="1548" w:type="dxa"/>
          <w:tblLayout w:type="fixed"/>
          <w:tblLook w:val="0000"/>
        </w:tblPrEx>
        <w:tc>
          <w:tcPr>
            <w:tcW w:w="1080" w:type="dxa"/>
          </w:tcPr>
          <w:p w:rsidR="004A3C8A" w:rsidRPr="003B205F" w:rsidP="00EC4AD4">
            <w:pPr>
              <w:autoSpaceDE w:val="0"/>
              <w:autoSpaceDN w:val="0"/>
              <w:adjustRightInd w:val="0"/>
              <w:spacing w:after="120"/>
              <w:jc w:val="right"/>
              <w:rPr>
                <w:i/>
              </w:rPr>
            </w:pPr>
            <w:r>
              <w:rPr>
                <w:i/>
              </w:rPr>
              <w:t>h</w:t>
            </w:r>
          </w:p>
        </w:tc>
        <w:tc>
          <w:tcPr>
            <w:tcW w:w="240" w:type="dxa"/>
          </w:tcPr>
          <w:p w:rsidR="004A3C8A" w:rsidP="00EC4AD4">
            <w:pPr>
              <w:autoSpaceDE w:val="0"/>
              <w:autoSpaceDN w:val="0"/>
              <w:adjustRightInd w:val="0"/>
              <w:spacing w:after="120"/>
              <w:jc w:val="right"/>
            </w:pPr>
            <w:r>
              <w:t>=</w:t>
            </w:r>
          </w:p>
        </w:tc>
        <w:tc>
          <w:tcPr>
            <w:tcW w:w="5148" w:type="dxa"/>
          </w:tcPr>
          <w:p w:rsidR="004A3C8A" w:rsidP="00EC4AD4">
            <w:pPr>
              <w:autoSpaceDE w:val="0"/>
              <w:autoSpaceDN w:val="0"/>
              <w:adjustRightInd w:val="0"/>
              <w:spacing w:after="120"/>
            </w:pPr>
            <w:r>
              <w:t>An hour in which the block of generator units provided Quick Start Reserves, unless the block of generator units produced Energy during the hour</w:t>
            </w:r>
          </w:p>
        </w:tc>
      </w:tr>
      <w:tr w:rsidTr="00EC4AD4">
        <w:tblPrEx>
          <w:tblW w:w="0" w:type="auto"/>
          <w:tblInd w:w="1548" w:type="dxa"/>
          <w:tblLayout w:type="fixed"/>
          <w:tblLook w:val="0000"/>
        </w:tblPrEx>
        <w:tc>
          <w:tcPr>
            <w:tcW w:w="1080" w:type="dxa"/>
          </w:tcPr>
          <w:p w:rsidR="004A3C8A" w:rsidRPr="003B205F" w:rsidP="00EC4AD4">
            <w:pPr>
              <w:autoSpaceDE w:val="0"/>
              <w:autoSpaceDN w:val="0"/>
              <w:adjustRightInd w:val="0"/>
              <w:spacing w:after="120"/>
              <w:jc w:val="right"/>
              <w:rPr>
                <w:i/>
              </w:rPr>
            </w:pPr>
            <w:r>
              <w:rPr>
                <w:i/>
              </w:rPr>
              <w:t>C</w:t>
            </w:r>
          </w:p>
        </w:tc>
        <w:tc>
          <w:tcPr>
            <w:tcW w:w="240" w:type="dxa"/>
          </w:tcPr>
          <w:p w:rsidR="004A3C8A" w:rsidP="00EC4AD4">
            <w:pPr>
              <w:autoSpaceDE w:val="0"/>
              <w:autoSpaceDN w:val="0"/>
              <w:adjustRightInd w:val="0"/>
              <w:spacing w:after="120"/>
              <w:jc w:val="right"/>
            </w:pPr>
            <w:r>
              <w:t>=</w:t>
            </w:r>
          </w:p>
        </w:tc>
        <w:tc>
          <w:tcPr>
            <w:tcW w:w="5148" w:type="dxa"/>
          </w:tcPr>
          <w:p w:rsidR="004A3C8A" w:rsidP="00EC4AD4">
            <w:pPr>
              <w:autoSpaceDE w:val="0"/>
              <w:autoSpaceDN w:val="0"/>
              <w:adjustRightInd w:val="0"/>
              <w:spacing w:after="120"/>
            </w:pPr>
            <w:r>
              <w:t>Capacity in MWs of Hour-Ahead Bids for Energy for the block of generator units</w:t>
            </w:r>
          </w:p>
        </w:tc>
      </w:tr>
      <w:tr w:rsidTr="00EC4AD4">
        <w:tblPrEx>
          <w:tblW w:w="0" w:type="auto"/>
          <w:tblInd w:w="1548" w:type="dxa"/>
          <w:tblLayout w:type="fixed"/>
          <w:tblLook w:val="0000"/>
        </w:tblPrEx>
        <w:trPr>
          <w:trHeight w:val="405"/>
        </w:trPr>
        <w:tc>
          <w:tcPr>
            <w:tcW w:w="1080" w:type="dxa"/>
          </w:tcPr>
          <w:p w:rsidR="004A3C8A" w:rsidRPr="003B205F" w:rsidP="00EC4AD4">
            <w:pPr>
              <w:autoSpaceDE w:val="0"/>
              <w:autoSpaceDN w:val="0"/>
              <w:adjustRightInd w:val="0"/>
              <w:spacing w:after="120"/>
              <w:jc w:val="right"/>
              <w:rPr>
                <w:i/>
              </w:rPr>
            </w:pPr>
            <m:oMathPara>
              <m:oMath>
                <m:sSub>
                  <m:sSubPr>
                    <m:ctrlPr>
                      <w:rPr>
                        <w:rFonts w:ascii="Cambria Math" w:hAnsi="Cambria Math"/>
                        <w:i/>
                        <w:vertAlign w:val="subscript"/>
                      </w:rPr>
                    </m:ctrlPr>
                  </m:sSubPr>
                  <m:e>
                    <m:r>
                      <w:rPr>
                        <w:rFonts w:ascii="Cambria Math" w:hAnsi="Cambria Math"/>
                        <w:vertAlign w:val="subscript"/>
                      </w:rPr>
                      <m:t>P</m:t>
                    </m:r>
                  </m:e>
                  <m:sub>
                    <m:r>
                      <w:rPr>
                        <w:rFonts w:ascii="Cambria Math" w:hAnsi="Cambria Math"/>
                        <w:vertAlign w:val="subscript"/>
                      </w:rPr>
                      <m:t>10MNSR</m:t>
                    </m:r>
                  </m:sub>
                </m:sSub>
              </m:oMath>
            </m:oMathPara>
          </w:p>
        </w:tc>
        <w:tc>
          <w:tcPr>
            <w:tcW w:w="240" w:type="dxa"/>
          </w:tcPr>
          <w:p w:rsidR="004A3C8A" w:rsidP="00EC4AD4">
            <w:pPr>
              <w:autoSpaceDE w:val="0"/>
              <w:autoSpaceDN w:val="0"/>
              <w:adjustRightInd w:val="0"/>
              <w:spacing w:after="120"/>
              <w:jc w:val="right"/>
            </w:pPr>
            <w:r>
              <w:t>=</w:t>
            </w:r>
          </w:p>
        </w:tc>
        <w:tc>
          <w:tcPr>
            <w:tcW w:w="5148" w:type="dxa"/>
          </w:tcPr>
          <w:p w:rsidR="004A3C8A" w:rsidP="004A3C8A">
            <w:pPr>
              <w:autoSpaceDE w:val="0"/>
              <w:autoSpaceDN w:val="0"/>
              <w:adjustRightInd w:val="0"/>
              <w:spacing w:after="120"/>
            </w:pPr>
            <w:r>
              <w:t xml:space="preserve">Price of </w:t>
            </w:r>
            <w:r w:rsidR="00F20888">
              <w:t xml:space="preserve">New York City </w:t>
            </w:r>
            <w:r>
              <w:t>10-Minute N</w:t>
            </w:r>
            <w:r w:rsidR="00F20888">
              <w:t>on-</w:t>
            </w:r>
            <w:r>
              <w:t>S</w:t>
            </w:r>
            <w:r w:rsidR="00F20888">
              <w:t xml:space="preserve">ynchronized </w:t>
            </w:r>
            <w:r>
              <w:t>R</w:t>
            </w:r>
            <w:r w:rsidR="00F20888">
              <w:t>eserve</w:t>
            </w:r>
            <w:r>
              <w:t xml:space="preserve"> in the Day-Ahead Market</w:t>
            </w:r>
          </w:p>
        </w:tc>
      </w:tr>
      <w:tr w:rsidTr="00EC4AD4">
        <w:tblPrEx>
          <w:tblW w:w="0" w:type="auto"/>
          <w:tblInd w:w="1548" w:type="dxa"/>
          <w:tblLayout w:type="fixed"/>
          <w:tblLook w:val="0000"/>
        </w:tblPrEx>
        <w:tc>
          <w:tcPr>
            <w:tcW w:w="1080" w:type="dxa"/>
          </w:tcPr>
          <w:p w:rsidR="004A3C8A" w:rsidP="00EC4AD4">
            <w:pPr>
              <w:autoSpaceDE w:val="0"/>
              <w:autoSpaceDN w:val="0"/>
              <w:adjustRightInd w:val="0"/>
              <w:spacing w:after="120"/>
              <w:jc w:val="right"/>
            </w:pPr>
            <m:oMathPara>
              <m:oMath>
                <m:sSub>
                  <m:sSubPr>
                    <m:ctrlPr>
                      <w:rPr>
                        <w:rFonts w:ascii="Cambria Math" w:hAnsi="Cambria Math"/>
                        <w:i/>
                        <w:vertAlign w:val="subscript"/>
                      </w:rPr>
                    </m:ctrlPr>
                  </m:sSubPr>
                  <m:e>
                    <m:r>
                      <w:rPr>
                        <w:rFonts w:ascii="Cambria Math" w:hAnsi="Cambria Math"/>
                        <w:vertAlign w:val="subscript"/>
                      </w:rPr>
                      <m:t>P</m:t>
                    </m:r>
                  </m:e>
                  <m:sub>
                    <m:r>
                      <w:rPr>
                        <w:rFonts w:ascii="Cambria Math" w:hAnsi="Cambria Math"/>
                        <w:vertAlign w:val="subscript"/>
                      </w:rPr>
                      <m:t>30MR</m:t>
                    </m:r>
                  </m:sub>
                </m:sSub>
              </m:oMath>
            </m:oMathPara>
          </w:p>
        </w:tc>
        <w:tc>
          <w:tcPr>
            <w:tcW w:w="240" w:type="dxa"/>
          </w:tcPr>
          <w:p w:rsidR="004A3C8A" w:rsidP="00EC4AD4">
            <w:pPr>
              <w:autoSpaceDE w:val="0"/>
              <w:autoSpaceDN w:val="0"/>
              <w:adjustRightInd w:val="0"/>
              <w:spacing w:after="120"/>
              <w:jc w:val="right"/>
            </w:pPr>
            <w:r>
              <w:t>=</w:t>
            </w:r>
          </w:p>
        </w:tc>
        <w:tc>
          <w:tcPr>
            <w:tcW w:w="5148" w:type="dxa"/>
          </w:tcPr>
          <w:p w:rsidR="00FA7177">
            <w:pPr>
              <w:autoSpaceDE w:val="0"/>
              <w:autoSpaceDN w:val="0"/>
              <w:adjustRightInd w:val="0"/>
              <w:spacing w:after="120"/>
            </w:pPr>
            <w:r>
              <w:t xml:space="preserve">Price of </w:t>
            </w:r>
            <w:r w:rsidR="00F20888">
              <w:t xml:space="preserve">New York City </w:t>
            </w:r>
            <w:r>
              <w:t xml:space="preserve">30-Minute Reserve in the Day-Ahead Market </w:t>
            </w:r>
          </w:p>
        </w:tc>
      </w:tr>
      <w:tr w:rsidTr="00EC4AD4">
        <w:tblPrEx>
          <w:tblW w:w="0" w:type="auto"/>
          <w:tblInd w:w="1548" w:type="dxa"/>
          <w:tblLayout w:type="fixed"/>
          <w:tblLook w:val="0000"/>
        </w:tblPrEx>
        <w:tc>
          <w:tcPr>
            <w:tcW w:w="1080" w:type="dxa"/>
          </w:tcPr>
          <w:p w:rsidR="004A3C8A" w:rsidRPr="003B205F" w:rsidP="00EC4AD4">
            <w:pPr>
              <w:autoSpaceDE w:val="0"/>
              <w:autoSpaceDN w:val="0"/>
              <w:adjustRightInd w:val="0"/>
              <w:spacing w:after="120"/>
              <w:jc w:val="right"/>
              <w:rPr>
                <w:i/>
              </w:rPr>
            </w:pPr>
            <w:r>
              <w:rPr>
                <w:i/>
              </w:rPr>
              <w:t>Q</w:t>
            </w:r>
          </w:p>
        </w:tc>
        <w:tc>
          <w:tcPr>
            <w:tcW w:w="240" w:type="dxa"/>
          </w:tcPr>
          <w:p w:rsidR="004A3C8A" w:rsidP="00EC4AD4">
            <w:pPr>
              <w:autoSpaceDE w:val="0"/>
              <w:autoSpaceDN w:val="0"/>
              <w:adjustRightInd w:val="0"/>
              <w:spacing w:after="120"/>
              <w:jc w:val="right"/>
            </w:pPr>
            <w:r>
              <w:t>=</w:t>
            </w:r>
          </w:p>
        </w:tc>
        <w:tc>
          <w:tcPr>
            <w:tcW w:w="5148" w:type="dxa"/>
          </w:tcPr>
          <w:p w:rsidR="004A3C8A" w:rsidP="002F62DB">
            <w:pPr>
              <w:autoSpaceDE w:val="0"/>
              <w:autoSpaceDN w:val="0"/>
              <w:adjustRightInd w:val="0"/>
              <w:spacing w:after="120"/>
            </w:pPr>
            <w:r>
              <w:t xml:space="preserve">Quantity of MWs from the block of generator units </w:t>
            </w:r>
            <w:r w:rsidR="002F62DB">
              <w:t xml:space="preserve">selected to provide </w:t>
            </w:r>
            <w:r>
              <w:t>30-Minute Reserve.</w:t>
            </w:r>
          </w:p>
        </w:tc>
      </w:tr>
    </w:tbl>
    <w:p w:rsidR="00485500" w:rsidRPr="00234DD5">
      <w:pPr>
        <w:autoSpaceDE w:val="0"/>
        <w:autoSpaceDN w:val="0"/>
        <w:adjustRightInd w:val="0"/>
        <w:rPr>
          <w:szCs w:val="24"/>
        </w:rPr>
      </w:pPr>
    </w:p>
    <w:p w:rsidR="00485500" w:rsidRPr="00234DD5" w:rsidP="00FC5CB2">
      <w:pPr>
        <w:pStyle w:val="romannumeralpara"/>
        <w:rPr>
          <w:szCs w:val="24"/>
        </w:rPr>
      </w:pPr>
      <w:r w:rsidRPr="00234DD5">
        <w:rPr>
          <w:szCs w:val="24"/>
        </w:rPr>
        <w:t>15.6.</w:t>
      </w:r>
      <w:r w:rsidRPr="00234DD5">
        <w:rPr>
          <w:bCs/>
          <w:szCs w:val="24"/>
        </w:rPr>
        <w:t>5.2</w:t>
      </w:r>
      <w:r w:rsidRPr="00234DD5">
        <w:rPr>
          <w:szCs w:val="24"/>
        </w:rPr>
        <w:tab/>
        <w:t>Any block of generator units requested for Quick Start Reserves for any portion of an hour shall be deemed to have provided Quick Start Reserves for the entire hour unless the block of generator units also produced Energy during the hour.</w:t>
      </w:r>
    </w:p>
    <w:p w:rsidR="00485500" w:rsidRPr="00234DD5" w:rsidP="00FC5CB2">
      <w:pPr>
        <w:pStyle w:val="romannumeralpara"/>
        <w:rPr>
          <w:b/>
          <w:bCs/>
          <w:szCs w:val="24"/>
        </w:rPr>
      </w:pPr>
      <w:r w:rsidRPr="00234DD5">
        <w:rPr>
          <w:szCs w:val="24"/>
        </w:rPr>
        <w:t>15.6.</w:t>
      </w:r>
      <w:r w:rsidRPr="00234DD5">
        <w:rPr>
          <w:bCs/>
          <w:szCs w:val="24"/>
        </w:rPr>
        <w:t>5.3</w:t>
      </w:r>
      <w:r w:rsidRPr="00234DD5">
        <w:rPr>
          <w:b/>
          <w:bCs/>
          <w:szCs w:val="24"/>
        </w:rPr>
        <w:t>.</w:t>
      </w:r>
      <w:r w:rsidRPr="00234DD5">
        <w:rPr>
          <w:szCs w:val="24"/>
        </w:rPr>
        <w:tab/>
        <w:t xml:space="preserve">In addition to payments due to a Supplier of Quick Start Reserves pursuant to Section </w:t>
      </w:r>
      <w:r w:rsidRPr="00234DD5" w:rsidR="000C0AC0">
        <w:rPr>
          <w:szCs w:val="24"/>
        </w:rPr>
        <w:t>15.6.5.1</w:t>
      </w:r>
      <w:r w:rsidRPr="00234DD5">
        <w:rPr>
          <w:szCs w:val="24"/>
        </w:rPr>
        <w:t xml:space="preserve"> of this Rate Schedule, the Supplier shall be eligible to receive payments for Energy, Installed Capacity, Operating Reserves, and other Ancillary Services pursuant to the other provisions of this Services Tariff.  </w:t>
      </w:r>
    </w:p>
    <w:p w:rsidR="00485500" w:rsidRPr="00234DD5" w:rsidP="00FC5CB2">
      <w:pPr>
        <w:pStyle w:val="romannumeralpara"/>
        <w:rPr>
          <w:szCs w:val="24"/>
        </w:rPr>
      </w:pPr>
      <w:r w:rsidRPr="00234DD5">
        <w:rPr>
          <w:szCs w:val="24"/>
        </w:rPr>
        <w:t>15.6.</w:t>
      </w:r>
      <w:r w:rsidRPr="00234DD5">
        <w:rPr>
          <w:bCs/>
          <w:szCs w:val="24"/>
        </w:rPr>
        <w:t>5.4</w:t>
      </w:r>
      <w:r w:rsidRPr="00234DD5">
        <w:rPr>
          <w:szCs w:val="24"/>
        </w:rPr>
        <w:tab/>
        <w:t xml:space="preserve">Amounts due to a Supplier pursuant to this Rate Schedule that are attributable to local reliability shall be recovered from LSEs in the Transmission District of the Supplier selling the Quick Start Reserves on the basis of each LSE’s contribution to Load share in the </w:t>
      </w:r>
      <w:r w:rsidRPr="00234DD5" w:rsidR="00890D34">
        <w:rPr>
          <w:szCs w:val="24"/>
        </w:rPr>
        <w:t xml:space="preserve">Billing Period in which </w:t>
      </w:r>
      <w:r w:rsidRPr="00234DD5">
        <w:rPr>
          <w:szCs w:val="24"/>
        </w:rPr>
        <w:t xml:space="preserve">the payment obligation is incurred.  Amounts attributable to local reliability are those amounts incurred pursuant to Sections </w:t>
      </w:r>
      <w:r w:rsidRPr="00234DD5" w:rsidR="000C0AC0">
        <w:rPr>
          <w:szCs w:val="24"/>
        </w:rPr>
        <w:t>15.6.2.1</w:t>
      </w:r>
      <w:r w:rsidRPr="00234DD5">
        <w:rPr>
          <w:szCs w:val="24"/>
        </w:rPr>
        <w:t xml:space="preserve"> and </w:t>
      </w:r>
      <w:r w:rsidRPr="00234DD5" w:rsidR="000C0AC0">
        <w:rPr>
          <w:szCs w:val="24"/>
        </w:rPr>
        <w:t>15.6.3.1</w:t>
      </w:r>
      <w:r w:rsidRPr="00234DD5">
        <w:rPr>
          <w:szCs w:val="24"/>
        </w:rPr>
        <w:t xml:space="preserve"> of this Rate Schedule.</w:t>
      </w:r>
    </w:p>
    <w:p w:rsidR="00485500" w:rsidRPr="00234DD5" w:rsidP="00EE2F42">
      <w:pPr>
        <w:pStyle w:val="Heading3"/>
        <w:rPr>
          <w:szCs w:val="24"/>
        </w:rPr>
      </w:pPr>
      <w:bookmarkStart w:id="8" w:name="_Toc261340969"/>
      <w:r w:rsidRPr="00234DD5">
        <w:rPr>
          <w:szCs w:val="24"/>
        </w:rPr>
        <w:t>15.6.6</w:t>
      </w:r>
      <w:r w:rsidRPr="00234DD5">
        <w:rPr>
          <w:szCs w:val="24"/>
        </w:rPr>
        <w:tab/>
        <w:t>Dispute Resolution</w:t>
      </w:r>
      <w:bookmarkEnd w:id="8"/>
    </w:p>
    <w:p w:rsidR="00485500" w:rsidRPr="00234DD5" w:rsidP="00FC5CB2">
      <w:pPr>
        <w:pStyle w:val="romannumeralpara"/>
        <w:rPr>
          <w:szCs w:val="24"/>
        </w:rPr>
      </w:pPr>
      <w:r w:rsidRPr="00234DD5">
        <w:rPr>
          <w:szCs w:val="24"/>
        </w:rPr>
        <w:t>15.6.</w:t>
      </w:r>
      <w:r w:rsidRPr="00234DD5">
        <w:rPr>
          <w:bCs/>
          <w:szCs w:val="24"/>
        </w:rPr>
        <w:t>6.1</w:t>
      </w:r>
      <w:r w:rsidRPr="00234DD5">
        <w:rPr>
          <w:szCs w:val="24"/>
        </w:rPr>
        <w:tab/>
        <w:t>In the event of a dispute between a Transmission Owner and a Supplier of Quick Start Reserves regarding the hours or MWs of Quick Start Reserves purchased by a Transmission Owner or the Energy output achieved within fifteen (15) minutes of a remote start-up, the Transmission Owner and Supplier shall attempt to resolve the</w:t>
      </w:r>
      <w:r w:rsidRPr="00234DD5" w:rsidR="00EE2F42">
        <w:rPr>
          <w:szCs w:val="24"/>
        </w:rPr>
        <w:t xml:space="preserve"> dispute promptly, and either p</w:t>
      </w:r>
      <w:r w:rsidRPr="00234DD5">
        <w:rPr>
          <w:szCs w:val="24"/>
        </w:rPr>
        <w:t>arty may request the ISO to refer to the ISO logs to help resolve the dispute.  If a Transmission Owner and a Supplier selling Quick Start Reserves cannot resolve any dispute regarding the hours or MWs of Quick Start Reserves purchased by a Transmission Owner or the Energy output achieved within fifteen (15) minutes of a remote start-up within fifteen (15) days, then the Transmission Owner and Supplier may resolve the dispute through the ISO’s Expedited Dispute Resolution Procedures.</w:t>
      </w:r>
    </w:p>
    <w:p w:rsidR="00485500" w:rsidRPr="00234DD5" w:rsidP="00FC5CB2">
      <w:pPr>
        <w:pStyle w:val="romannumeralpara"/>
        <w:rPr>
          <w:szCs w:val="24"/>
        </w:rPr>
      </w:pPr>
      <w:r w:rsidRPr="00234DD5">
        <w:rPr>
          <w:szCs w:val="24"/>
        </w:rPr>
        <w:t>15.6.</w:t>
      </w:r>
      <w:r w:rsidRPr="00234DD5" w:rsidR="00804EDD">
        <w:rPr>
          <w:szCs w:val="24"/>
        </w:rPr>
        <w:t>6.2</w:t>
      </w:r>
      <w:r w:rsidRPr="00234DD5" w:rsidR="00804EDD">
        <w:rPr>
          <w:szCs w:val="24"/>
        </w:rPr>
        <w:tab/>
      </w:r>
      <w:r w:rsidRPr="00234DD5">
        <w:rPr>
          <w:szCs w:val="24"/>
        </w:rPr>
        <w:t xml:space="preserve">Disputes other than those addressed pursuant to Section </w:t>
      </w:r>
      <w:r w:rsidRPr="00234DD5" w:rsidR="000C0AC0">
        <w:rPr>
          <w:szCs w:val="24"/>
        </w:rPr>
        <w:t>15.6.6.1</w:t>
      </w:r>
      <w:r w:rsidRPr="00234DD5">
        <w:rPr>
          <w:szCs w:val="24"/>
        </w:rPr>
        <w:t xml:space="preserve"> of this Rate Schedule may be resolved through the ISO’s Dispute Resolution Process.</w:t>
      </w:r>
    </w:p>
    <w:p w:rsidR="00D74545" w:rsidRPr="00234DD5" w:rsidP="00A96706">
      <w:pPr>
        <w:pStyle w:val="Bulletpara"/>
        <w:numPr>
          <w:ilvl w:val="0"/>
          <w:numId w:val="0"/>
        </w:numPr>
        <w:ind w:left="720" w:hanging="360"/>
      </w:pPr>
    </w:p>
    <w:sectPr w:rsidSect="00820274">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6/26/2019 - Docket #: ER19-1678-000 -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6/26/2019 - Docket #: ER19-1678-000 -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6/26/2019 - Docket #: ER19-1678-000 -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15.6 MST Rate Schedule 6 - Quick Start Reserves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15.6 MST Rate Schedule 6 - Quick Start Reserves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15.6 MST Rate Schedule 6 - Quick Start Reserves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1">
    <w:nsid w:val="00000053"/>
    <w:multiLevelType w:val="hybridMultilevel"/>
    <w:tmpl w:val="83FA950C"/>
    <w:lvl w:ilvl="0">
      <w:start w:val="1"/>
      <w:numFmt w:val="lowerLetter"/>
      <w:lvlText w:val="(%1)"/>
      <w:lvlJc w:val="left"/>
      <w:pPr>
        <w:tabs>
          <w:tab w:val="num" w:pos="1440"/>
        </w:tabs>
        <w:ind w:left="1440" w:hanging="720"/>
      </w:pPr>
      <w:rPr>
        <w:rFonts w:hint="default"/>
        <w:spacing w:val="0"/>
      </w:rPr>
    </w:lvl>
    <w:lvl w:ilvl="1">
      <w:start w:val="1"/>
      <w:numFmt w:val="lowerLetter"/>
      <w:lvlText w:val="%2."/>
      <w:lvlJc w:val="left"/>
      <w:pPr>
        <w:tabs>
          <w:tab w:val="num" w:pos="1800"/>
        </w:tabs>
        <w:ind w:left="1800" w:hanging="360"/>
      </w:pPr>
      <w:rPr>
        <w:spacing w:val="0"/>
      </w:rPr>
    </w:lvl>
    <w:lvl w:ilvl="2">
      <w:start w:val="1"/>
      <w:numFmt w:val="lowerRoman"/>
      <w:lvlText w:val="%3."/>
      <w:lvlJc w:val="right"/>
      <w:pPr>
        <w:tabs>
          <w:tab w:val="num" w:pos="2520"/>
        </w:tabs>
        <w:ind w:left="2520" w:hanging="180"/>
      </w:pPr>
      <w:rPr>
        <w:spacing w:val="0"/>
      </w:rPr>
    </w:lvl>
    <w:lvl w:ilvl="3">
      <w:start w:val="1"/>
      <w:numFmt w:val="decimal"/>
      <w:lvlText w:val="%4."/>
      <w:lvlJc w:val="left"/>
      <w:pPr>
        <w:tabs>
          <w:tab w:val="num" w:pos="3240"/>
        </w:tabs>
        <w:ind w:left="3240" w:hanging="360"/>
      </w:pPr>
      <w:rPr>
        <w:spacing w:val="0"/>
      </w:rPr>
    </w:lvl>
    <w:lvl w:ilvl="4">
      <w:start w:val="1"/>
      <w:numFmt w:val="lowerLetter"/>
      <w:lvlText w:val="%5."/>
      <w:lvlJc w:val="left"/>
      <w:pPr>
        <w:tabs>
          <w:tab w:val="num" w:pos="3960"/>
        </w:tabs>
        <w:ind w:left="3960" w:hanging="360"/>
      </w:pPr>
      <w:rPr>
        <w:spacing w:val="0"/>
      </w:rPr>
    </w:lvl>
    <w:lvl w:ilvl="5">
      <w:start w:val="1"/>
      <w:numFmt w:val="lowerRoman"/>
      <w:lvlText w:val="%6."/>
      <w:lvlJc w:val="right"/>
      <w:pPr>
        <w:tabs>
          <w:tab w:val="num" w:pos="4680"/>
        </w:tabs>
        <w:ind w:left="4680" w:hanging="180"/>
      </w:pPr>
      <w:rPr>
        <w:spacing w:val="0"/>
      </w:rPr>
    </w:lvl>
    <w:lvl w:ilvl="6">
      <w:start w:val="1"/>
      <w:numFmt w:val="decimal"/>
      <w:lvlText w:val="%7."/>
      <w:lvlJc w:val="left"/>
      <w:pPr>
        <w:tabs>
          <w:tab w:val="num" w:pos="5400"/>
        </w:tabs>
        <w:ind w:left="5400" w:hanging="360"/>
      </w:pPr>
      <w:rPr>
        <w:spacing w:val="0"/>
      </w:rPr>
    </w:lvl>
    <w:lvl w:ilvl="7">
      <w:start w:val="1"/>
      <w:numFmt w:val="lowerLetter"/>
      <w:lvlText w:val="%8."/>
      <w:lvlJc w:val="left"/>
      <w:pPr>
        <w:tabs>
          <w:tab w:val="num" w:pos="6120"/>
        </w:tabs>
        <w:ind w:left="6120" w:hanging="360"/>
      </w:pPr>
      <w:rPr>
        <w:spacing w:val="0"/>
      </w:rPr>
    </w:lvl>
    <w:lvl w:ilvl="8">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0A191E2D"/>
    <w:multiLevelType w:val="hybridMultilevel"/>
    <w:tmpl w:val="264801C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color w:val="auto"/>
        <w:sz w:val="24"/>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1935448"/>
    <w:multiLevelType w:val="hybridMultilevel"/>
    <w:tmpl w:val="8C16A32C"/>
    <w:lvl w:ilvl="0">
      <w:start w:val="5"/>
      <w:numFmt w:val="lowerRoman"/>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1">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4"/>
  </w:num>
  <w:num w:numId="14">
    <w:abstractNumId w:val="11"/>
  </w:num>
  <w:num w:numId="15">
    <w:abstractNumId w:val="14"/>
  </w:num>
  <w:num w:numId="16">
    <w:abstractNumId w:val="28"/>
  </w:num>
  <w:num w:numId="17">
    <w:abstractNumId w:val="29"/>
  </w:num>
  <w:num w:numId="18">
    <w:abstractNumId w:val="13"/>
  </w:num>
  <w:num w:numId="19">
    <w:abstractNumId w:val="30"/>
  </w:num>
  <w:num w:numId="20">
    <w:abstractNumId w:val="19"/>
  </w:num>
  <w:num w:numId="21">
    <w:abstractNumId w:val="20"/>
  </w:num>
  <w:num w:numId="22">
    <w:abstractNumId w:val="26"/>
  </w:num>
  <w:num w:numId="23">
    <w:abstractNumId w:val="18"/>
  </w:num>
  <w:num w:numId="24">
    <w:abstractNumId w:val="27"/>
  </w:num>
  <w:num w:numId="25">
    <w:abstractNumId w:val="23"/>
  </w:num>
  <w:num w:numId="26">
    <w:abstractNumId w:val="22"/>
  </w:num>
  <w:num w:numId="27">
    <w:abstractNumId w:val="21"/>
  </w:num>
  <w:num w:numId="28">
    <w:abstractNumId w:val="12"/>
  </w:num>
  <w:num w:numId="29">
    <w:abstractNumId w:val="17"/>
  </w:num>
  <w:num w:numId="30">
    <w:abstractNumId w:val="25"/>
  </w:num>
  <w:num w:numId="31">
    <w:abstractNumId w:val="31"/>
  </w:num>
  <w:num w:numId="32">
    <w:abstractNumId w:val="1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Bissell, Garrett E">
    <w15:presenceInfo w15:providerId="AD" w15:userId="S-1-5-21-537070416-1243706620-6498272-31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B10"/>
    <w:rsid w:val="00004B16"/>
    <w:rsid w:val="00040E9D"/>
    <w:rsid w:val="000448C7"/>
    <w:rsid w:val="00045053"/>
    <w:rsid w:val="0005749E"/>
    <w:rsid w:val="000766C9"/>
    <w:rsid w:val="00081B85"/>
    <w:rsid w:val="0008357A"/>
    <w:rsid w:val="000A0E9F"/>
    <w:rsid w:val="000A3386"/>
    <w:rsid w:val="000A33B5"/>
    <w:rsid w:val="000A7837"/>
    <w:rsid w:val="000B41CF"/>
    <w:rsid w:val="000C0AC0"/>
    <w:rsid w:val="000D3A56"/>
    <w:rsid w:val="000F1883"/>
    <w:rsid w:val="000F3C49"/>
    <w:rsid w:val="00140CE9"/>
    <w:rsid w:val="0014448A"/>
    <w:rsid w:val="00161557"/>
    <w:rsid w:val="00166578"/>
    <w:rsid w:val="00166C63"/>
    <w:rsid w:val="0017709B"/>
    <w:rsid w:val="001918C6"/>
    <w:rsid w:val="0019192F"/>
    <w:rsid w:val="001A21C8"/>
    <w:rsid w:val="001A2FDD"/>
    <w:rsid w:val="001A5819"/>
    <w:rsid w:val="001C04B9"/>
    <w:rsid w:val="001C6FD6"/>
    <w:rsid w:val="001D5962"/>
    <w:rsid w:val="001F04E0"/>
    <w:rsid w:val="002000E1"/>
    <w:rsid w:val="002127D5"/>
    <w:rsid w:val="002272D7"/>
    <w:rsid w:val="00234DD5"/>
    <w:rsid w:val="00242DCF"/>
    <w:rsid w:val="00252E88"/>
    <w:rsid w:val="00254D54"/>
    <w:rsid w:val="00264890"/>
    <w:rsid w:val="00272F2B"/>
    <w:rsid w:val="00277D1F"/>
    <w:rsid w:val="00281742"/>
    <w:rsid w:val="00283482"/>
    <w:rsid w:val="002A24F6"/>
    <w:rsid w:val="002B0B5F"/>
    <w:rsid w:val="002D60FC"/>
    <w:rsid w:val="002D7B63"/>
    <w:rsid w:val="002E5049"/>
    <w:rsid w:val="002E5777"/>
    <w:rsid w:val="002F14D6"/>
    <w:rsid w:val="002F62DB"/>
    <w:rsid w:val="002F7827"/>
    <w:rsid w:val="002F7E3D"/>
    <w:rsid w:val="00306356"/>
    <w:rsid w:val="00325FF8"/>
    <w:rsid w:val="00332C6F"/>
    <w:rsid w:val="00337958"/>
    <w:rsid w:val="00344789"/>
    <w:rsid w:val="003533D3"/>
    <w:rsid w:val="0036050F"/>
    <w:rsid w:val="00361A57"/>
    <w:rsid w:val="003716C8"/>
    <w:rsid w:val="00371DD8"/>
    <w:rsid w:val="003747C0"/>
    <w:rsid w:val="003750A6"/>
    <w:rsid w:val="0038271F"/>
    <w:rsid w:val="003909D7"/>
    <w:rsid w:val="0039235F"/>
    <w:rsid w:val="00394E5F"/>
    <w:rsid w:val="003B205F"/>
    <w:rsid w:val="003B5CAC"/>
    <w:rsid w:val="003D455A"/>
    <w:rsid w:val="003D5B1D"/>
    <w:rsid w:val="003E3CFF"/>
    <w:rsid w:val="003E471C"/>
    <w:rsid w:val="003E54F3"/>
    <w:rsid w:val="003E70B0"/>
    <w:rsid w:val="00401705"/>
    <w:rsid w:val="00416BF7"/>
    <w:rsid w:val="004209B1"/>
    <w:rsid w:val="004426FE"/>
    <w:rsid w:val="00446ECF"/>
    <w:rsid w:val="00450312"/>
    <w:rsid w:val="00463AD4"/>
    <w:rsid w:val="00480209"/>
    <w:rsid w:val="0048263E"/>
    <w:rsid w:val="0048294F"/>
    <w:rsid w:val="0048489F"/>
    <w:rsid w:val="00485500"/>
    <w:rsid w:val="004A2F53"/>
    <w:rsid w:val="004A3C8A"/>
    <w:rsid w:val="004B2AC3"/>
    <w:rsid w:val="004B3068"/>
    <w:rsid w:val="004B77E4"/>
    <w:rsid w:val="004B7826"/>
    <w:rsid w:val="004C33D3"/>
    <w:rsid w:val="004C5F0B"/>
    <w:rsid w:val="004F0B50"/>
    <w:rsid w:val="004F4698"/>
    <w:rsid w:val="004F76B0"/>
    <w:rsid w:val="00500AEC"/>
    <w:rsid w:val="005265DD"/>
    <w:rsid w:val="00532EA4"/>
    <w:rsid w:val="00536CE1"/>
    <w:rsid w:val="00546253"/>
    <w:rsid w:val="00554E0B"/>
    <w:rsid w:val="005622D0"/>
    <w:rsid w:val="00563B1E"/>
    <w:rsid w:val="005821DA"/>
    <w:rsid w:val="005A414B"/>
    <w:rsid w:val="005C2A9E"/>
    <w:rsid w:val="005F1B82"/>
    <w:rsid w:val="00606330"/>
    <w:rsid w:val="00606770"/>
    <w:rsid w:val="00612855"/>
    <w:rsid w:val="0061314F"/>
    <w:rsid w:val="00617684"/>
    <w:rsid w:val="006177F8"/>
    <w:rsid w:val="00624911"/>
    <w:rsid w:val="006357F9"/>
    <w:rsid w:val="006477C4"/>
    <w:rsid w:val="00657AF5"/>
    <w:rsid w:val="006628A8"/>
    <w:rsid w:val="00667FAD"/>
    <w:rsid w:val="00673029"/>
    <w:rsid w:val="00686F80"/>
    <w:rsid w:val="00692C11"/>
    <w:rsid w:val="006A2AE3"/>
    <w:rsid w:val="006A46E5"/>
    <w:rsid w:val="006B2177"/>
    <w:rsid w:val="006B64F4"/>
    <w:rsid w:val="006D0465"/>
    <w:rsid w:val="006E38BC"/>
    <w:rsid w:val="006F58E5"/>
    <w:rsid w:val="00725DCD"/>
    <w:rsid w:val="00743E5D"/>
    <w:rsid w:val="00761ACF"/>
    <w:rsid w:val="00767636"/>
    <w:rsid w:val="007A6E25"/>
    <w:rsid w:val="007B6348"/>
    <w:rsid w:val="007C57D2"/>
    <w:rsid w:val="007C6A20"/>
    <w:rsid w:val="007D1BFE"/>
    <w:rsid w:val="007D6155"/>
    <w:rsid w:val="007D66A3"/>
    <w:rsid w:val="007E009C"/>
    <w:rsid w:val="007E0902"/>
    <w:rsid w:val="007F4053"/>
    <w:rsid w:val="008019B2"/>
    <w:rsid w:val="00804EDD"/>
    <w:rsid w:val="00816729"/>
    <w:rsid w:val="00820274"/>
    <w:rsid w:val="00822D89"/>
    <w:rsid w:val="0082333D"/>
    <w:rsid w:val="00826AA1"/>
    <w:rsid w:val="008326F7"/>
    <w:rsid w:val="00845A31"/>
    <w:rsid w:val="00850FAE"/>
    <w:rsid w:val="008519CC"/>
    <w:rsid w:val="00854EBF"/>
    <w:rsid w:val="00861C96"/>
    <w:rsid w:val="00875D11"/>
    <w:rsid w:val="0088316E"/>
    <w:rsid w:val="00890D34"/>
    <w:rsid w:val="008B4656"/>
    <w:rsid w:val="008C0490"/>
    <w:rsid w:val="008C754D"/>
    <w:rsid w:val="008D0687"/>
    <w:rsid w:val="008F0A60"/>
    <w:rsid w:val="008F65EE"/>
    <w:rsid w:val="0090540E"/>
    <w:rsid w:val="00907807"/>
    <w:rsid w:val="0091393B"/>
    <w:rsid w:val="00914875"/>
    <w:rsid w:val="0091502F"/>
    <w:rsid w:val="00930E07"/>
    <w:rsid w:val="00943E9A"/>
    <w:rsid w:val="00945671"/>
    <w:rsid w:val="0095210E"/>
    <w:rsid w:val="009530B1"/>
    <w:rsid w:val="009537D7"/>
    <w:rsid w:val="00972063"/>
    <w:rsid w:val="009809EF"/>
    <w:rsid w:val="00983CCA"/>
    <w:rsid w:val="00984DFC"/>
    <w:rsid w:val="00995231"/>
    <w:rsid w:val="009B0FC5"/>
    <w:rsid w:val="009B7CB5"/>
    <w:rsid w:val="009C693C"/>
    <w:rsid w:val="009D39A6"/>
    <w:rsid w:val="00A07320"/>
    <w:rsid w:val="00A1292C"/>
    <w:rsid w:val="00A15BD8"/>
    <w:rsid w:val="00A219AE"/>
    <w:rsid w:val="00A22542"/>
    <w:rsid w:val="00A256D4"/>
    <w:rsid w:val="00A32B13"/>
    <w:rsid w:val="00A400CC"/>
    <w:rsid w:val="00A43F97"/>
    <w:rsid w:val="00A53187"/>
    <w:rsid w:val="00A532DD"/>
    <w:rsid w:val="00A552C4"/>
    <w:rsid w:val="00A5594F"/>
    <w:rsid w:val="00A60D57"/>
    <w:rsid w:val="00A96706"/>
    <w:rsid w:val="00A9754D"/>
    <w:rsid w:val="00AA1F79"/>
    <w:rsid w:val="00AA6086"/>
    <w:rsid w:val="00AB01BE"/>
    <w:rsid w:val="00AB54F8"/>
    <w:rsid w:val="00AB61A5"/>
    <w:rsid w:val="00AC22F1"/>
    <w:rsid w:val="00AC4A3F"/>
    <w:rsid w:val="00AD3D2E"/>
    <w:rsid w:val="00AD3DB4"/>
    <w:rsid w:val="00AE5524"/>
    <w:rsid w:val="00AE5A25"/>
    <w:rsid w:val="00AF45C4"/>
    <w:rsid w:val="00B01A48"/>
    <w:rsid w:val="00B06588"/>
    <w:rsid w:val="00B237D7"/>
    <w:rsid w:val="00B25748"/>
    <w:rsid w:val="00B3346D"/>
    <w:rsid w:val="00B352E9"/>
    <w:rsid w:val="00B44B9F"/>
    <w:rsid w:val="00B546FD"/>
    <w:rsid w:val="00B630AB"/>
    <w:rsid w:val="00B643BA"/>
    <w:rsid w:val="00B709B7"/>
    <w:rsid w:val="00B8220F"/>
    <w:rsid w:val="00B9262D"/>
    <w:rsid w:val="00BB2F9B"/>
    <w:rsid w:val="00BD4AA7"/>
    <w:rsid w:val="00BD506B"/>
    <w:rsid w:val="00BE22B4"/>
    <w:rsid w:val="00BE699A"/>
    <w:rsid w:val="00BF0948"/>
    <w:rsid w:val="00BF2B0B"/>
    <w:rsid w:val="00BF782D"/>
    <w:rsid w:val="00BF7D1F"/>
    <w:rsid w:val="00C25866"/>
    <w:rsid w:val="00C259E8"/>
    <w:rsid w:val="00C27EEE"/>
    <w:rsid w:val="00C50364"/>
    <w:rsid w:val="00C57CC4"/>
    <w:rsid w:val="00C62BCD"/>
    <w:rsid w:val="00C6330E"/>
    <w:rsid w:val="00C63C5C"/>
    <w:rsid w:val="00C66886"/>
    <w:rsid w:val="00C738A9"/>
    <w:rsid w:val="00C77B16"/>
    <w:rsid w:val="00C83EE8"/>
    <w:rsid w:val="00C8582C"/>
    <w:rsid w:val="00C93170"/>
    <w:rsid w:val="00CA1438"/>
    <w:rsid w:val="00CA3898"/>
    <w:rsid w:val="00CA4ADE"/>
    <w:rsid w:val="00CC2D7D"/>
    <w:rsid w:val="00CD60C1"/>
    <w:rsid w:val="00CD741E"/>
    <w:rsid w:val="00CF5855"/>
    <w:rsid w:val="00D02153"/>
    <w:rsid w:val="00D0305E"/>
    <w:rsid w:val="00D0629C"/>
    <w:rsid w:val="00D1050A"/>
    <w:rsid w:val="00D21E76"/>
    <w:rsid w:val="00D25171"/>
    <w:rsid w:val="00D27BDD"/>
    <w:rsid w:val="00D41225"/>
    <w:rsid w:val="00D53B10"/>
    <w:rsid w:val="00D70231"/>
    <w:rsid w:val="00D70C1A"/>
    <w:rsid w:val="00D7399A"/>
    <w:rsid w:val="00D74545"/>
    <w:rsid w:val="00D81685"/>
    <w:rsid w:val="00D83AFB"/>
    <w:rsid w:val="00D866BD"/>
    <w:rsid w:val="00D94241"/>
    <w:rsid w:val="00DA3AD8"/>
    <w:rsid w:val="00DB4301"/>
    <w:rsid w:val="00DF7C68"/>
    <w:rsid w:val="00E10A25"/>
    <w:rsid w:val="00E119F3"/>
    <w:rsid w:val="00E30FA2"/>
    <w:rsid w:val="00E336E0"/>
    <w:rsid w:val="00E40058"/>
    <w:rsid w:val="00E569AF"/>
    <w:rsid w:val="00E5744F"/>
    <w:rsid w:val="00E617BC"/>
    <w:rsid w:val="00E63CF5"/>
    <w:rsid w:val="00E67290"/>
    <w:rsid w:val="00E7396A"/>
    <w:rsid w:val="00E800D2"/>
    <w:rsid w:val="00E814F3"/>
    <w:rsid w:val="00E8287B"/>
    <w:rsid w:val="00EA0AB2"/>
    <w:rsid w:val="00EA2671"/>
    <w:rsid w:val="00EB4424"/>
    <w:rsid w:val="00EC2D73"/>
    <w:rsid w:val="00EC4AD4"/>
    <w:rsid w:val="00ED7C0F"/>
    <w:rsid w:val="00EE2F42"/>
    <w:rsid w:val="00EE4179"/>
    <w:rsid w:val="00EE41FE"/>
    <w:rsid w:val="00EF4FA1"/>
    <w:rsid w:val="00F00242"/>
    <w:rsid w:val="00F01BA4"/>
    <w:rsid w:val="00F028F2"/>
    <w:rsid w:val="00F04D6B"/>
    <w:rsid w:val="00F069FD"/>
    <w:rsid w:val="00F14B50"/>
    <w:rsid w:val="00F150A6"/>
    <w:rsid w:val="00F20888"/>
    <w:rsid w:val="00F2763E"/>
    <w:rsid w:val="00F34307"/>
    <w:rsid w:val="00F6133B"/>
    <w:rsid w:val="00F62747"/>
    <w:rsid w:val="00F63408"/>
    <w:rsid w:val="00F65455"/>
    <w:rsid w:val="00F704E4"/>
    <w:rsid w:val="00F72E10"/>
    <w:rsid w:val="00F76B0C"/>
    <w:rsid w:val="00FA5070"/>
    <w:rsid w:val="00FA7177"/>
    <w:rsid w:val="00FB3E56"/>
    <w:rsid w:val="00FC5CB2"/>
    <w:rsid w:val="00FC71F6"/>
    <w:rsid w:val="00FD66E3"/>
    <w:rsid w:val="00FE150E"/>
    <w:rsid w:val="00FE3D09"/>
    <w:rsid w:val="00FE4416"/>
    <w:rsid w:val="00FE50E5"/>
    <w:rsid w:val="00FF1D8B"/>
    <w:rsid w:val="00FF5CE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57A"/>
    <w:pPr>
      <w:widowControl w:val="0"/>
    </w:pPr>
    <w:rPr>
      <w:snapToGrid w:val="0"/>
      <w:sz w:val="24"/>
    </w:rPr>
  </w:style>
  <w:style w:type="paragraph" w:styleId="Heading1">
    <w:name w:val="heading 1"/>
    <w:basedOn w:val="Normal"/>
    <w:next w:val="Normal"/>
    <w:link w:val="Heading1Char"/>
    <w:qFormat/>
    <w:rsid w:val="0008357A"/>
    <w:pPr>
      <w:keepNext/>
      <w:spacing w:before="240" w:after="240"/>
      <w:ind w:left="720" w:hanging="720"/>
      <w:outlineLvl w:val="0"/>
    </w:pPr>
    <w:rPr>
      <w:b/>
    </w:rPr>
  </w:style>
  <w:style w:type="paragraph" w:styleId="Heading2">
    <w:name w:val="heading 2"/>
    <w:basedOn w:val="Normal"/>
    <w:next w:val="Normal"/>
    <w:qFormat/>
    <w:rsid w:val="0008357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08357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08357A"/>
    <w:pPr>
      <w:keepNext/>
      <w:tabs>
        <w:tab w:val="left" w:pos="1800"/>
      </w:tabs>
      <w:spacing w:before="240" w:after="240"/>
      <w:ind w:left="1800" w:hanging="1080"/>
      <w:outlineLvl w:val="3"/>
    </w:pPr>
    <w:rPr>
      <w:b/>
    </w:rPr>
  </w:style>
  <w:style w:type="paragraph" w:styleId="Heading5">
    <w:name w:val="heading 5"/>
    <w:basedOn w:val="Normal"/>
    <w:next w:val="Normal"/>
    <w:qFormat/>
    <w:rsid w:val="0008357A"/>
    <w:pPr>
      <w:keepNext/>
      <w:spacing w:line="480" w:lineRule="auto"/>
      <w:ind w:left="1440" w:right="-90" w:hanging="720"/>
      <w:outlineLvl w:val="4"/>
    </w:pPr>
    <w:rPr>
      <w:b/>
    </w:rPr>
  </w:style>
  <w:style w:type="paragraph" w:styleId="Heading6">
    <w:name w:val="heading 6"/>
    <w:basedOn w:val="Normal"/>
    <w:next w:val="Normal"/>
    <w:qFormat/>
    <w:rsid w:val="0008357A"/>
    <w:pPr>
      <w:keepNext/>
      <w:spacing w:line="480" w:lineRule="auto"/>
      <w:ind w:left="1080" w:right="-90" w:hanging="360"/>
      <w:outlineLvl w:val="5"/>
    </w:pPr>
    <w:rPr>
      <w:b/>
    </w:rPr>
  </w:style>
  <w:style w:type="paragraph" w:styleId="Heading7">
    <w:name w:val="heading 7"/>
    <w:basedOn w:val="Normal"/>
    <w:next w:val="Normal"/>
    <w:qFormat/>
    <w:rsid w:val="0008357A"/>
    <w:pPr>
      <w:keepNext/>
      <w:spacing w:line="480" w:lineRule="auto"/>
      <w:ind w:left="720" w:right="630"/>
      <w:outlineLvl w:val="6"/>
    </w:pPr>
    <w:rPr>
      <w:b/>
    </w:rPr>
  </w:style>
  <w:style w:type="paragraph" w:styleId="Heading8">
    <w:name w:val="heading 8"/>
    <w:basedOn w:val="Normal"/>
    <w:next w:val="Normal"/>
    <w:qFormat/>
    <w:rsid w:val="0008357A"/>
    <w:pPr>
      <w:keepNext/>
      <w:spacing w:line="480" w:lineRule="auto"/>
      <w:ind w:left="720" w:right="-90"/>
      <w:outlineLvl w:val="7"/>
    </w:pPr>
    <w:rPr>
      <w:b/>
    </w:rPr>
  </w:style>
  <w:style w:type="paragraph" w:styleId="Heading9">
    <w:name w:val="heading 9"/>
    <w:basedOn w:val="Normal"/>
    <w:next w:val="Normal"/>
    <w:qFormat/>
    <w:rsid w:val="0008357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08357A"/>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08357A"/>
    <w:rPr>
      <w:snapToGrid w:val="0"/>
      <w:sz w:val="24"/>
    </w:rPr>
  </w:style>
  <w:style w:type="paragraph" w:customStyle="1" w:styleId="Bodypara">
    <w:name w:val="Body para"/>
    <w:basedOn w:val="Normal"/>
    <w:link w:val="BodyparaChar"/>
    <w:rsid w:val="0008357A"/>
    <w:pPr>
      <w:spacing w:line="480" w:lineRule="auto"/>
      <w:ind w:firstLine="720"/>
    </w:pPr>
  </w:style>
  <w:style w:type="paragraph" w:styleId="DocumentMap">
    <w:name w:val="Document Map"/>
    <w:basedOn w:val="Normal"/>
    <w:semiHidden/>
    <w:rsid w:val="0008357A"/>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link w:val="CommentTextChar"/>
    <w:semiHidden/>
    <w:rsid w:val="0008357A"/>
    <w:rPr>
      <w:sz w:val="20"/>
    </w:rPr>
  </w:style>
  <w:style w:type="paragraph" w:styleId="EndnoteText">
    <w:name w:val="endnote text"/>
    <w:basedOn w:val="Normal"/>
    <w:semiHidden/>
    <w:rsid w:val="00686F80"/>
  </w:style>
  <w:style w:type="paragraph" w:styleId="FootnoteText">
    <w:name w:val="footnote text"/>
    <w:basedOn w:val="Normal"/>
    <w:semiHidden/>
    <w:rsid w:val="00686F80"/>
  </w:style>
  <w:style w:type="paragraph" w:styleId="Index1">
    <w:name w:val="index 1"/>
    <w:basedOn w:val="Normal"/>
    <w:next w:val="Normal"/>
    <w:semiHidden/>
    <w:rsid w:val="00686F80"/>
    <w:pPr>
      <w:ind w:left="200" w:hanging="200"/>
    </w:pPr>
  </w:style>
  <w:style w:type="paragraph" w:styleId="Index2">
    <w:name w:val="index 2"/>
    <w:basedOn w:val="Normal"/>
    <w:next w:val="Normal"/>
    <w:semiHidden/>
    <w:rsid w:val="00686F80"/>
    <w:pPr>
      <w:ind w:left="400" w:hanging="200"/>
    </w:pPr>
  </w:style>
  <w:style w:type="paragraph" w:styleId="Index3">
    <w:name w:val="index 3"/>
    <w:basedOn w:val="Normal"/>
    <w:next w:val="Normal"/>
    <w:semiHidden/>
    <w:rsid w:val="00686F80"/>
    <w:pPr>
      <w:ind w:left="600" w:hanging="200"/>
    </w:pPr>
  </w:style>
  <w:style w:type="paragraph" w:styleId="Index4">
    <w:name w:val="index 4"/>
    <w:basedOn w:val="Normal"/>
    <w:next w:val="Normal"/>
    <w:semiHidden/>
    <w:rsid w:val="00686F80"/>
    <w:pPr>
      <w:ind w:left="800" w:hanging="200"/>
    </w:pPr>
  </w:style>
  <w:style w:type="paragraph" w:styleId="Index5">
    <w:name w:val="index 5"/>
    <w:basedOn w:val="Normal"/>
    <w:next w:val="Normal"/>
    <w:semiHidden/>
    <w:rsid w:val="00686F80"/>
    <w:pPr>
      <w:ind w:left="1000" w:hanging="200"/>
    </w:pPr>
  </w:style>
  <w:style w:type="paragraph" w:styleId="Index6">
    <w:name w:val="index 6"/>
    <w:basedOn w:val="Normal"/>
    <w:next w:val="Normal"/>
    <w:semiHidden/>
    <w:rsid w:val="00686F80"/>
    <w:pPr>
      <w:ind w:left="1200" w:hanging="200"/>
    </w:pPr>
  </w:style>
  <w:style w:type="paragraph" w:styleId="Index7">
    <w:name w:val="index 7"/>
    <w:basedOn w:val="Normal"/>
    <w:next w:val="Normal"/>
    <w:semiHidden/>
    <w:rsid w:val="00686F80"/>
    <w:pPr>
      <w:ind w:left="1400" w:hanging="200"/>
    </w:pPr>
  </w:style>
  <w:style w:type="paragraph" w:styleId="Index8">
    <w:name w:val="index 8"/>
    <w:basedOn w:val="Normal"/>
    <w:next w:val="Normal"/>
    <w:semiHidden/>
    <w:rsid w:val="00686F80"/>
    <w:pPr>
      <w:ind w:left="1600" w:hanging="200"/>
    </w:pPr>
  </w:style>
  <w:style w:type="paragraph" w:styleId="Index9">
    <w:name w:val="index 9"/>
    <w:basedOn w:val="Normal"/>
    <w:next w:val="Normal"/>
    <w:semiHidden/>
    <w:rsid w:val="00686F80"/>
    <w:pPr>
      <w:ind w:left="1800" w:hanging="200"/>
    </w:pPr>
  </w:style>
  <w:style w:type="paragraph" w:styleId="IndexHeading">
    <w:name w:val="index heading"/>
    <w:basedOn w:val="Normal"/>
    <w:next w:val="Index1"/>
    <w:semiHidden/>
    <w:rsid w:val="00686F80"/>
    <w:rPr>
      <w:rFonts w:ascii="Arial" w:hAnsi="Arial"/>
      <w:b/>
    </w:rPr>
  </w:style>
  <w:style w:type="paragraph" w:styleId="Macro">
    <w:name w:val="macro"/>
    <w:semiHidden/>
    <w:rsid w:val="00686F80"/>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686F80"/>
    <w:pPr>
      <w:ind w:left="200" w:hanging="200"/>
    </w:pPr>
  </w:style>
  <w:style w:type="paragraph" w:styleId="TableofFigures">
    <w:name w:val="table of figures"/>
    <w:basedOn w:val="Normal"/>
    <w:next w:val="Normal"/>
    <w:semiHidden/>
    <w:rsid w:val="00686F80"/>
    <w:pPr>
      <w:ind w:left="400" w:hanging="400"/>
    </w:pPr>
  </w:style>
  <w:style w:type="paragraph" w:styleId="TOAHeading">
    <w:name w:val="toa heading"/>
    <w:basedOn w:val="Normal"/>
    <w:next w:val="Normal"/>
    <w:semiHidden/>
    <w:rsid w:val="00686F80"/>
    <w:pPr>
      <w:spacing w:before="120"/>
    </w:pPr>
    <w:rPr>
      <w:rFonts w:ascii="Arial" w:hAnsi="Arial"/>
      <w:b/>
    </w:rPr>
  </w:style>
  <w:style w:type="paragraph" w:styleId="TOC1">
    <w:name w:val="toc 1"/>
    <w:basedOn w:val="Normal"/>
    <w:next w:val="Normal"/>
    <w:semiHidden/>
    <w:rsid w:val="0008357A"/>
  </w:style>
  <w:style w:type="paragraph" w:styleId="TOC2">
    <w:name w:val="toc 2"/>
    <w:basedOn w:val="Normal"/>
    <w:next w:val="Normal"/>
    <w:semiHidden/>
    <w:rsid w:val="0008357A"/>
    <w:pPr>
      <w:ind w:left="240"/>
    </w:pPr>
  </w:style>
  <w:style w:type="paragraph" w:styleId="TOC3">
    <w:name w:val="toc 3"/>
    <w:basedOn w:val="Normal"/>
    <w:next w:val="Normal"/>
    <w:semiHidden/>
    <w:rsid w:val="0008357A"/>
    <w:pPr>
      <w:ind w:left="480"/>
    </w:pPr>
  </w:style>
  <w:style w:type="paragraph" w:styleId="TOC4">
    <w:name w:val="toc 4"/>
    <w:basedOn w:val="Normal"/>
    <w:next w:val="Normal"/>
    <w:semiHidden/>
    <w:rsid w:val="0008357A"/>
    <w:pPr>
      <w:ind w:left="720"/>
    </w:pPr>
  </w:style>
  <w:style w:type="paragraph" w:styleId="TOC5">
    <w:name w:val="toc 5"/>
    <w:basedOn w:val="Normal"/>
    <w:next w:val="Normal"/>
    <w:semiHidden/>
    <w:rsid w:val="0008357A"/>
    <w:pPr>
      <w:widowControl/>
      <w:ind w:left="960"/>
    </w:pPr>
    <w:rPr>
      <w:snapToGrid/>
      <w:szCs w:val="24"/>
    </w:rPr>
  </w:style>
  <w:style w:type="paragraph" w:styleId="TOC6">
    <w:name w:val="toc 6"/>
    <w:basedOn w:val="Normal"/>
    <w:next w:val="Normal"/>
    <w:semiHidden/>
    <w:rsid w:val="0008357A"/>
    <w:pPr>
      <w:widowControl/>
      <w:ind w:left="1200"/>
    </w:pPr>
    <w:rPr>
      <w:snapToGrid/>
      <w:szCs w:val="24"/>
    </w:rPr>
  </w:style>
  <w:style w:type="paragraph" w:styleId="TOC7">
    <w:name w:val="toc 7"/>
    <w:basedOn w:val="Normal"/>
    <w:next w:val="Normal"/>
    <w:semiHidden/>
    <w:rsid w:val="0008357A"/>
    <w:pPr>
      <w:widowControl/>
      <w:ind w:left="1440"/>
    </w:pPr>
    <w:rPr>
      <w:snapToGrid/>
      <w:szCs w:val="24"/>
    </w:rPr>
  </w:style>
  <w:style w:type="paragraph" w:styleId="TOC8">
    <w:name w:val="toc 8"/>
    <w:basedOn w:val="Normal"/>
    <w:next w:val="Normal"/>
    <w:semiHidden/>
    <w:rsid w:val="0008357A"/>
    <w:pPr>
      <w:widowControl/>
      <w:ind w:left="1680"/>
    </w:pPr>
    <w:rPr>
      <w:snapToGrid/>
      <w:szCs w:val="24"/>
    </w:rPr>
  </w:style>
  <w:style w:type="paragraph" w:styleId="TOC9">
    <w:name w:val="toc 9"/>
    <w:basedOn w:val="Normal"/>
    <w:next w:val="Normal"/>
    <w:semiHidden/>
    <w:rsid w:val="0008357A"/>
    <w:pPr>
      <w:widowControl/>
      <w:ind w:left="1920"/>
    </w:pPr>
    <w:rPr>
      <w:snapToGrid/>
      <w:szCs w:val="24"/>
    </w:rPr>
  </w:style>
  <w:style w:type="character" w:styleId="Hyperlink">
    <w:name w:val="Hyperlink"/>
    <w:basedOn w:val="DefaultParagraphFont"/>
    <w:rsid w:val="0008357A"/>
    <w:rPr>
      <w:color w:val="0000FF"/>
      <w:u w:val="single"/>
    </w:rPr>
  </w:style>
  <w:style w:type="paragraph" w:styleId="BalloonText">
    <w:name w:val="Balloon Text"/>
    <w:basedOn w:val="Normal"/>
    <w:semiHidden/>
    <w:rsid w:val="0008357A"/>
    <w:rPr>
      <w:rFonts w:ascii="Tahoma" w:hAnsi="Tahoma" w:cs="Tahoma"/>
      <w:sz w:val="16"/>
      <w:szCs w:val="16"/>
    </w:rPr>
  </w:style>
  <w:style w:type="character" w:styleId="FootnoteReference">
    <w:name w:val="footnote reference"/>
    <w:semiHidden/>
    <w:rsid w:val="0008357A"/>
  </w:style>
  <w:style w:type="paragraph" w:customStyle="1" w:styleId="Definition">
    <w:name w:val="Definition"/>
    <w:basedOn w:val="Normal"/>
    <w:rsid w:val="0008357A"/>
    <w:pPr>
      <w:widowControl/>
      <w:spacing w:before="240" w:after="240"/>
    </w:pPr>
  </w:style>
  <w:style w:type="paragraph" w:customStyle="1" w:styleId="Definitionindent">
    <w:name w:val="Definition indent"/>
    <w:basedOn w:val="Definition"/>
    <w:rsid w:val="0008357A"/>
    <w:pPr>
      <w:spacing w:before="120" w:after="120"/>
      <w:ind w:left="720"/>
    </w:pPr>
  </w:style>
  <w:style w:type="paragraph" w:customStyle="1" w:styleId="alphapara">
    <w:name w:val="alpha para"/>
    <w:basedOn w:val="Bodypara"/>
    <w:rsid w:val="0008357A"/>
    <w:pPr>
      <w:ind w:left="1440" w:hanging="720"/>
    </w:pPr>
  </w:style>
  <w:style w:type="paragraph" w:customStyle="1" w:styleId="TOCHeading1">
    <w:name w:val="TOC Heading1"/>
    <w:basedOn w:val="Normal"/>
    <w:rsid w:val="0008357A"/>
    <w:pPr>
      <w:spacing w:before="240" w:after="240"/>
    </w:pPr>
    <w:rPr>
      <w:b/>
    </w:rPr>
  </w:style>
  <w:style w:type="paragraph" w:customStyle="1" w:styleId="Footers">
    <w:name w:val="Footers"/>
    <w:basedOn w:val="Heading1"/>
    <w:rsid w:val="0008357A"/>
    <w:pPr>
      <w:tabs>
        <w:tab w:val="left" w:pos="1440"/>
        <w:tab w:val="left" w:pos="7020"/>
        <w:tab w:val="right" w:pos="9360"/>
      </w:tabs>
    </w:pPr>
    <w:rPr>
      <w:b w:val="0"/>
      <w:sz w:val="20"/>
    </w:rPr>
  </w:style>
  <w:style w:type="paragraph" w:customStyle="1" w:styleId="subhead">
    <w:name w:val="subhead"/>
    <w:basedOn w:val="Heading4"/>
    <w:rsid w:val="0008357A"/>
    <w:pPr>
      <w:tabs>
        <w:tab w:val="clear" w:pos="1800"/>
      </w:tabs>
      <w:ind w:left="720" w:firstLine="0"/>
    </w:pPr>
  </w:style>
  <w:style w:type="paragraph" w:customStyle="1" w:styleId="alphaheading">
    <w:name w:val="alpha heading"/>
    <w:basedOn w:val="Normal"/>
    <w:rsid w:val="0008357A"/>
    <w:pPr>
      <w:keepNext/>
      <w:tabs>
        <w:tab w:val="left" w:pos="1440"/>
      </w:tabs>
      <w:spacing w:before="240" w:after="240"/>
      <w:ind w:left="1440" w:hanging="720"/>
    </w:pPr>
    <w:rPr>
      <w:b/>
      <w:szCs w:val="24"/>
    </w:rPr>
  </w:style>
  <w:style w:type="paragraph" w:customStyle="1" w:styleId="romannumeralpara">
    <w:name w:val="roman numeral para"/>
    <w:basedOn w:val="Normal"/>
    <w:rsid w:val="0008357A"/>
    <w:pPr>
      <w:spacing w:line="480" w:lineRule="auto"/>
      <w:ind w:left="1440" w:hanging="720"/>
    </w:pPr>
  </w:style>
  <w:style w:type="paragraph" w:customStyle="1" w:styleId="Bulletpara">
    <w:name w:val="Bullet para"/>
    <w:basedOn w:val="Normal"/>
    <w:rsid w:val="0008357A"/>
    <w:pPr>
      <w:widowControl/>
      <w:numPr>
        <w:numId w:val="28"/>
      </w:numPr>
      <w:tabs>
        <w:tab w:val="left" w:pos="900"/>
      </w:tabs>
      <w:spacing w:before="120" w:after="120"/>
    </w:pPr>
    <w:rPr>
      <w:szCs w:val="24"/>
    </w:rPr>
  </w:style>
  <w:style w:type="paragraph" w:customStyle="1" w:styleId="Tarifftitle">
    <w:name w:val="Tariff title"/>
    <w:basedOn w:val="Normal"/>
    <w:rsid w:val="0008357A"/>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08357A"/>
    <w:pPr>
      <w:widowControl/>
      <w:tabs>
        <w:tab w:val="center" w:pos="4680"/>
        <w:tab w:val="right" w:pos="9360"/>
      </w:tabs>
    </w:pPr>
    <w:rPr>
      <w:snapToGrid/>
      <w:szCs w:val="24"/>
    </w:rPr>
  </w:style>
  <w:style w:type="paragraph" w:styleId="Date">
    <w:name w:val="Date"/>
    <w:basedOn w:val="Normal"/>
    <w:next w:val="Normal"/>
    <w:rsid w:val="0008357A"/>
    <w:pPr>
      <w:widowControl/>
    </w:pPr>
  </w:style>
  <w:style w:type="character" w:customStyle="1" w:styleId="Heading1Char">
    <w:name w:val="Heading 1 Char"/>
    <w:basedOn w:val="DefaultParagraphFont"/>
    <w:link w:val="Heading1"/>
    <w:rsid w:val="0008357A"/>
    <w:rPr>
      <w:b/>
      <w:snapToGrid w:val="0"/>
      <w:sz w:val="24"/>
    </w:rPr>
  </w:style>
  <w:style w:type="character" w:customStyle="1" w:styleId="Heading3Char1">
    <w:name w:val="Heading 3 Char1"/>
    <w:basedOn w:val="DefaultParagraphFont"/>
    <w:link w:val="Heading3"/>
    <w:rsid w:val="0008357A"/>
    <w:rPr>
      <w:b/>
      <w:snapToGrid w:val="0"/>
      <w:sz w:val="24"/>
    </w:rPr>
  </w:style>
  <w:style w:type="paragraph" w:customStyle="1" w:styleId="a">
    <w:name w:val="_"/>
    <w:basedOn w:val="Normal"/>
    <w:rsid w:val="0008357A"/>
    <w:pPr>
      <w:ind w:left="1800" w:hanging="630"/>
    </w:pPr>
  </w:style>
  <w:style w:type="character" w:styleId="CommentReference">
    <w:name w:val="annotation reference"/>
    <w:basedOn w:val="DefaultParagraphFont"/>
    <w:rsid w:val="0008357A"/>
    <w:rPr>
      <w:sz w:val="16"/>
      <w:szCs w:val="16"/>
    </w:rPr>
  </w:style>
  <w:style w:type="paragraph" w:styleId="CommentSubject">
    <w:name w:val="annotation subject"/>
    <w:basedOn w:val="CommentText"/>
    <w:next w:val="CommentText"/>
    <w:link w:val="CommentSubjectChar"/>
    <w:rsid w:val="0008357A"/>
    <w:rPr>
      <w:b/>
      <w:bCs/>
    </w:rPr>
  </w:style>
  <w:style w:type="character" w:customStyle="1" w:styleId="CommentTextChar">
    <w:name w:val="Comment Text Char"/>
    <w:basedOn w:val="DefaultParagraphFont"/>
    <w:link w:val="CommentText"/>
    <w:semiHidden/>
    <w:rsid w:val="00820274"/>
    <w:rPr>
      <w:snapToGrid w:val="0"/>
    </w:rPr>
  </w:style>
  <w:style w:type="character" w:customStyle="1" w:styleId="CommentSubjectChar">
    <w:name w:val="Comment Subject Char"/>
    <w:basedOn w:val="CommentTextChar"/>
    <w:link w:val="CommentSubject"/>
    <w:rsid w:val="00820274"/>
    <w:rPr>
      <w:b/>
      <w:bCs/>
      <w:snapToGrid w:val="0"/>
    </w:rPr>
  </w:style>
  <w:style w:type="paragraph" w:styleId="Footer">
    <w:name w:val="footer"/>
    <w:basedOn w:val="Normal"/>
    <w:link w:val="FooterChar"/>
    <w:rsid w:val="0008357A"/>
    <w:pPr>
      <w:tabs>
        <w:tab w:val="center" w:pos="4320"/>
        <w:tab w:val="right" w:pos="8640"/>
      </w:tabs>
    </w:pPr>
  </w:style>
  <w:style w:type="character" w:customStyle="1" w:styleId="FooterChar">
    <w:name w:val="Footer Char"/>
    <w:basedOn w:val="DefaultParagraphFont"/>
    <w:link w:val="Footer"/>
    <w:rsid w:val="00820274"/>
    <w:rPr>
      <w:snapToGrid w:val="0"/>
      <w:sz w:val="24"/>
    </w:rPr>
  </w:style>
  <w:style w:type="character" w:styleId="PageNumber">
    <w:name w:val="page number"/>
    <w:basedOn w:val="DefaultParagraphFont"/>
    <w:rsid w:val="0008357A"/>
  </w:style>
  <w:style w:type="paragraph" w:styleId="BodyTextIndent">
    <w:name w:val="Body Text Indent"/>
    <w:aliases w:val="bi"/>
    <w:basedOn w:val="Normal"/>
    <w:link w:val="BodyTextIndentChar"/>
    <w:rsid w:val="000835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820274"/>
    <w:rPr>
      <w:snapToGrid w:val="0"/>
      <w:sz w:val="24"/>
    </w:rPr>
  </w:style>
  <w:style w:type="table" w:styleId="TableGrid">
    <w:name w:val="Table Grid"/>
    <w:basedOn w:val="TableNormal"/>
    <w:rsid w:val="00083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1790</Words>
  <Characters>10204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11971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2010-03-09T17:23:00Z</cp:lastPrinted>
  <dcterms:created xsi:type="dcterms:W3CDTF">2019-09-01T16:27:00Z</dcterms:created>
  <dcterms:modified xsi:type="dcterms:W3CDTF">2019-09-01T16:27:00Z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412577819</vt:i4>
  </property>
  <property fmtid="{D5CDD505-2E9C-101B-9397-08002B2CF9AE}" pid="3" name="_AuthorEmail">
    <vt:lpwstr>MAkter@nyiso.com</vt:lpwstr>
  </property>
  <property fmtid="{D5CDD505-2E9C-101B-9397-08002B2CF9AE}" pid="4" name="_AuthorEmailDisplayName">
    <vt:lpwstr>Akter, Mohsana</vt:lpwstr>
  </property>
  <property fmtid="{D5CDD505-2E9C-101B-9397-08002B2CF9AE}" pid="5" name="_EmailSubject">
    <vt:lpwstr>Tariff Section Request</vt:lpwstr>
  </property>
  <property fmtid="{D5CDD505-2E9C-101B-9397-08002B2CF9AE}" pid="6" name="_NewReviewCycle">
    <vt:lpwstr/>
  </property>
  <property fmtid="{D5CDD505-2E9C-101B-9397-08002B2CF9AE}" pid="7" name="_PreviousAdHocReviewCycleID">
    <vt:i4>331310846</vt:i4>
  </property>
  <property fmtid="{D5CDD505-2E9C-101B-9397-08002B2CF9AE}" pid="8" name="_ReviewingToolsShownOnce">
    <vt:lpwstr/>
  </property>
</Properties>
</file>