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EE53A4" w:rsidP="00CA43B9">
      <w:pPr>
        <w:pStyle w:val="Heading2"/>
      </w:pPr>
      <w:bookmarkStart w:id="0" w:name="_Toc261444336"/>
      <w:r>
        <w:t>1.14</w:t>
      </w:r>
      <w:r>
        <w:tab/>
        <w:t>Definitions - N</w:t>
      </w:r>
      <w:bookmarkEnd w:id="0"/>
    </w:p>
    <w:p w:rsidR="006B01AD" w:rsidRDefault="00EE53A4"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EE53A4"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EE53A4"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EE53A4"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EE53A4"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EE53A4"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EE53A4"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131223" w:rsidRDefault="00EE53A4" w:rsidP="00131223">
      <w:pPr>
        <w:pStyle w:val="Definition10"/>
      </w:pPr>
      <w:r w:rsidRPr="0095009B">
        <w:rPr>
          <w:b/>
        </w:rPr>
        <w:t>Net In</w:t>
      </w:r>
      <w:r w:rsidRPr="0095009B">
        <w:rPr>
          <w:b/>
        </w:rPr>
        <w:t>stalled Capacity (“Net-ICAP”):</w:t>
      </w:r>
      <w:r>
        <w:t xml:space="preserve">  </w:t>
      </w:r>
      <w:r w:rsidRPr="00B55291">
        <w:t>As defined in the ISO Services Tariff.</w:t>
      </w:r>
    </w:p>
    <w:p w:rsidR="00131223" w:rsidRDefault="00EE53A4" w:rsidP="00131223">
      <w:pPr>
        <w:pStyle w:val="Definition10"/>
      </w:pPr>
      <w:r w:rsidRPr="0095009B">
        <w:rPr>
          <w:b/>
        </w:rPr>
        <w:t>Net Unforced Capacity (“Net-UCAP”):</w:t>
      </w:r>
      <w:r>
        <w:t xml:space="preserve">  </w:t>
      </w:r>
      <w:r w:rsidRPr="00B55291">
        <w:t>As defined in the ISO Services Tariff.</w:t>
      </w:r>
    </w:p>
    <w:p w:rsidR="00B1014A" w:rsidRPr="001F5548" w:rsidRDefault="00EE53A4" w:rsidP="00FE1767">
      <w:pPr>
        <w:pStyle w:val="Definition"/>
      </w:pPr>
      <w:r w:rsidRPr="001F5548">
        <w:rPr>
          <w:b/>
        </w:rPr>
        <w:t>Network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EE53A4" w:rsidP="00FE1767">
      <w:pPr>
        <w:pStyle w:val="Definition"/>
      </w:pPr>
      <w:r w:rsidRPr="001F5548">
        <w:rPr>
          <w:b/>
        </w:rPr>
        <w:lastRenderedPageBreak/>
        <w:t>Network Integration Transmission Service:</w:t>
      </w:r>
      <w:r w:rsidRPr="001F5548">
        <w:t xml:space="preserve">  The Transmission Service provided under Part</w:t>
      </w:r>
      <w:r>
        <w:t> 4</w:t>
      </w:r>
      <w:r w:rsidRPr="001F5548">
        <w:t xml:space="preserve"> </w:t>
      </w:r>
      <w:r w:rsidRPr="001F5548">
        <w:t>of the Tariff.</w:t>
      </w:r>
    </w:p>
    <w:p w:rsidR="006A03EA" w:rsidRDefault="00EE53A4" w:rsidP="00FE1767">
      <w:pPr>
        <w:pStyle w:val="Definition"/>
      </w:pPr>
      <w:r w:rsidRPr="001F5548">
        <w:rPr>
          <w:b/>
        </w:rPr>
        <w:t>Netwo</w:t>
      </w:r>
      <w:r w:rsidRPr="001F5548">
        <w:rPr>
          <w:b/>
        </w:rPr>
        <w:t>rk Load:</w:t>
      </w:r>
      <w:r w:rsidRPr="001F5548">
        <w:t xml:space="preserve"> The Load that a Network Customer designates for Network Integration Transmission Service under Part </w:t>
      </w:r>
      <w:r>
        <w:t>4</w:t>
      </w:r>
      <w:r w:rsidRPr="001F5548">
        <w:t xml:space="preserve"> </w:t>
      </w:r>
      <w:r w:rsidRPr="001F5548">
        <w:t>of the Tariff.  The Network Customer’s Network Load shall include all Load served by the output of any Network Resources designated by the Networ</w:t>
      </w:r>
      <w:r w:rsidRPr="001F5548">
        <w:t>k Customer.  A Network Customer may elect to designate less than its total Load as Network Load but may not designate only part of the Load at a discrete Point of Delivery.  Where an Eligible Customer has elected not to designate a particular Load at discr</w:t>
      </w:r>
      <w:r w:rsidRPr="001F5548">
        <w:t xml:space="preserve">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EE53A4" w:rsidP="00FE1767">
      <w:pPr>
        <w:pStyle w:val="Definition"/>
      </w:pPr>
      <w:r w:rsidRPr="00F64778">
        <w:rPr>
          <w:b/>
        </w:rPr>
        <w:t>Network Operating Agre</w:t>
      </w:r>
      <w:r w:rsidRPr="00F64778">
        <w:rPr>
          <w:b/>
        </w:rPr>
        <w:t>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Service under</w:t>
      </w:r>
      <w:r w:rsidRPr="00F64778">
        <w:t xml:space="preserve">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EE53A4"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p>
    <w:p w:rsidR="00B1014A" w:rsidRPr="00F64778" w:rsidRDefault="00EE53A4" w:rsidP="00FE1767">
      <w:pPr>
        <w:pStyle w:val="Definition"/>
      </w:pPr>
      <w:r w:rsidRPr="00F64778">
        <w:rPr>
          <w:b/>
        </w:rPr>
        <w:t>Network Res</w:t>
      </w:r>
      <w:r w:rsidRPr="00F64778">
        <w:rPr>
          <w:b/>
        </w:rPr>
        <w:t>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is committed f</w:t>
      </w:r>
      <w:r w:rsidRPr="00F64778">
        <w:t>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EE53A4" w:rsidP="00FE1767">
      <w:pPr>
        <w:pStyle w:val="Definition"/>
      </w:pPr>
      <w:r>
        <w:rPr>
          <w:b/>
        </w:rPr>
        <w:t>Network Upgrades:</w:t>
      </w:r>
      <w:r>
        <w:t xml:space="preserve"> Modifications or addition</w:t>
      </w:r>
      <w:r>
        <w:t>s to transmission facilities that are integrated with and support the Transmission Owner’s overall Transmission System for the general benefit of all users of such Transmission System.</w:t>
      </w:r>
    </w:p>
    <w:p w:rsidR="00203E47" w:rsidRPr="00F64778" w:rsidRDefault="00EE53A4" w:rsidP="00FE1767">
      <w:pPr>
        <w:pStyle w:val="Definition"/>
        <w:rPr>
          <w:u w:val="double"/>
        </w:rPr>
      </w:pPr>
      <w:r w:rsidRPr="00F909B8">
        <w:rPr>
          <w:b/>
        </w:rPr>
        <w:t>Network Upgrade Agreement:</w:t>
      </w:r>
      <w:r w:rsidRPr="00F909B8">
        <w:t xml:space="preserve"> An agreement entered into between a Transmis</w:t>
      </w:r>
      <w:r w:rsidRPr="00F909B8">
        <w:t>sion Customer and a Transmission Owner that identifies the rights and obligations of each party with respect to the Network Upgrade, as described in this Tariff.</w:t>
      </w:r>
    </w:p>
    <w:p w:rsidR="00203E47" w:rsidRDefault="00EE53A4"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w:t>
      </w:r>
      <w:r>
        <w:rPr>
          <w:bCs/>
        </w:rPr>
        <w:t>res.</w:t>
      </w:r>
    </w:p>
    <w:p w:rsidR="004A4DDF" w:rsidRDefault="00EE53A4" w:rsidP="00FE1767">
      <w:pPr>
        <w:pStyle w:val="Definition"/>
      </w:pPr>
      <w:r>
        <w:rPr>
          <w:b/>
        </w:rPr>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t>
      </w:r>
      <w:r>
        <w:t>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EE53A4" w:rsidP="00FE1767">
      <w:pPr>
        <w:pStyle w:val="Definition"/>
      </w:pPr>
      <w:r>
        <w:rPr>
          <w:b/>
        </w:rPr>
        <w:t>New York Power Pool (“NYPP”):</w:t>
      </w:r>
      <w:r>
        <w:t xml:space="preserve"> </w:t>
      </w:r>
      <w:r>
        <w:t xml:space="preserve"> </w:t>
      </w:r>
      <w:r>
        <w:t xml:space="preserve">An organization established by agreement (the “New York Power Pool  Agreement”) made as of July 21, 1966, and amended as of July 16, 1991, by and </w:t>
      </w:r>
      <w:r>
        <w:lastRenderedPageBreak/>
        <w:t>among Central Hudson Gas &amp; Electric</w:t>
      </w:r>
      <w:r>
        <w:t xml:space="preserve"> </w:t>
      </w:r>
      <w:r>
        <w:t>Corporation, Consolidated Edison Company of New York, Inc., Long Island Li</w:t>
      </w:r>
      <w:r>
        <w:t xml:space="preserve">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NYPP on</w:t>
      </w:r>
      <w:r>
        <w:t xml:space="preserve">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EE53A4"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EE53A4" w:rsidP="00FE1767">
      <w:pPr>
        <w:pStyle w:val="Definition"/>
      </w:pPr>
      <w:r>
        <w:rPr>
          <w:b/>
        </w:rPr>
        <w:t xml:space="preserve">New York State Power </w:t>
      </w:r>
      <w:r>
        <w:rPr>
          <w:b/>
        </w:rPr>
        <w:t xml:space="preserve">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EE53A4"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w:t>
      </w:r>
      <w:r>
        <w:rPr>
          <w:b/>
        </w:rPr>
        <w:t xml:space="preserve">Council (“NYSRC”): </w:t>
      </w:r>
      <w:r>
        <w:t xml:space="preserve"> An organization established by agreement among the Member Systems of the New York Power Pool (the “NYSRC Agreement”).</w:t>
      </w:r>
    </w:p>
    <w:p w:rsidR="004A4DDF" w:rsidRPr="0057580C" w:rsidRDefault="00EE53A4" w:rsidP="00FE1767">
      <w:pPr>
        <w:pStyle w:val="Definition"/>
      </w:pPr>
      <w:r w:rsidRPr="0057580C">
        <w:rPr>
          <w:b/>
        </w:rPr>
        <w:t>New York State Transmission System (“NYS Transmission System”):</w:t>
      </w:r>
      <w:r w:rsidRPr="0057580C">
        <w:t xml:space="preserve">  The entire New York State electric transmission syste</w:t>
      </w:r>
      <w:r w:rsidRPr="0057580C">
        <w:t xml:space="preserv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EE53A4" w:rsidP="00FE1767">
      <w:pPr>
        <w:pStyle w:val="Definition"/>
        <w:rPr>
          <w:bCs/>
        </w:rPr>
      </w:pPr>
      <w:r w:rsidRPr="0057580C">
        <w:rPr>
          <w:b/>
        </w:rPr>
        <w:t>Non-Competitive Proxy Generator Bus:</w:t>
      </w:r>
      <w:r w:rsidRPr="0057580C">
        <w:rPr>
          <w:bCs/>
        </w:rPr>
        <w:t xml:space="preserve">  </w:t>
      </w:r>
      <w:r w:rsidRPr="0057580C">
        <w:rPr>
          <w:bCs/>
        </w:rPr>
        <w:t xml:space="preserve">A </w:t>
      </w:r>
      <w:r w:rsidRPr="0057580C">
        <w:rPr>
          <w:bCs/>
        </w:rPr>
        <w:t>Proxy Gene</w:t>
      </w:r>
      <w:r w:rsidRPr="0057580C">
        <w:rPr>
          <w:bCs/>
        </w:rPr>
        <w:t xml:space="preserv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Non-Competitive Proxy Generator Bu</w:t>
      </w:r>
      <w:r w:rsidRPr="0057580C">
        <w:rPr>
          <w:bCs/>
        </w:rPr>
        <w:t>s.</w:t>
      </w:r>
      <w:r w:rsidRPr="0057580C">
        <w:rPr>
          <w:bCs/>
        </w:rPr>
        <w:t xml:space="preserve">  Non</w:t>
      </w:r>
      <w:r w:rsidRPr="0057580C">
        <w:rPr>
          <w:szCs w:val="24"/>
        </w:rPr>
        <w:t>-Competitive Proxy Generator Buses are identified in Section 4.4.4 of the Services Tariff.</w:t>
      </w:r>
    </w:p>
    <w:p w:rsidR="00927B69" w:rsidRPr="009E5B31" w:rsidRDefault="00EE53A4"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 xml:space="preserve">Point Transmission Service for which a Transmission Customer is not willing to pay Congestion.  Such </w:t>
      </w:r>
      <w:r w:rsidRPr="0057580C">
        <w:t>service is</w:t>
      </w:r>
      <w:r>
        <w:t xml:space="preserve"> not available in the markets that the NYISO administers. </w:t>
      </w:r>
    </w:p>
    <w:p w:rsidR="00A8398A" w:rsidRPr="00BF6142" w:rsidRDefault="00EE53A4"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EE53A4" w:rsidP="00FE1767">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term includes, but is not limited to, cogenerators and small power producers and all other non</w:t>
      </w:r>
      <w:r>
        <w:noBreakHyphen/>
        <w:t>utility electricity producers, s</w:t>
      </w:r>
      <w:r>
        <w:t>uch as exempt wholesale generators that sell electricity.</w:t>
      </w:r>
    </w:p>
    <w:p w:rsidR="00A8398A" w:rsidRPr="00B30F79" w:rsidRDefault="00EE53A4"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w:t>
      </w:r>
      <w:r>
        <w:t>ty Rules.  These parameters include, but are not limited to, thermal, voltage, stability, frequency, operating reserve and Pool Control Error limitations.</w:t>
      </w:r>
    </w:p>
    <w:p w:rsidR="00A8398A" w:rsidRDefault="00EE53A4" w:rsidP="00FE1767">
      <w:pPr>
        <w:pStyle w:val="Definition"/>
      </w:pPr>
      <w:r w:rsidRPr="00F25AA2">
        <w:rPr>
          <w:b/>
        </w:rPr>
        <w:t>Northport-Norwalk Scheduled Line:</w:t>
      </w:r>
      <w:r w:rsidRPr="00F25AA2">
        <w:t xml:space="preserve"> A transmission facility that originates at the Northport substation</w:t>
      </w:r>
      <w:r w:rsidRPr="00F25AA2">
        <w:t xml:space="preserve">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EE53A4"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EE53A4" w:rsidP="00FE1767">
      <w:pPr>
        <w:pStyle w:val="Definition"/>
      </w:pPr>
      <w:r>
        <w:rPr>
          <w:b/>
        </w:rPr>
        <w:t>Notification:</w:t>
      </w:r>
      <w:r>
        <w:t xml:space="preserve"> Informing the ISO of all changes in status of the </w:t>
      </w:r>
      <w:r>
        <w:t>Transmission Facilities Requiring ISO Notification.  Notifica</w:t>
      </w:r>
      <w:r>
        <w:t xml:space="preserve">tion includes the Transmission </w:t>
      </w:r>
      <w:r>
        <w:t>Owners informing the ISO of all changes in the status of the designated transmission facilities.</w:t>
      </w:r>
    </w:p>
    <w:p w:rsidR="00A8398A" w:rsidRDefault="00EE53A4" w:rsidP="00FE1767">
      <w:pPr>
        <w:pStyle w:val="Definition"/>
      </w:pPr>
      <w:r>
        <w:rPr>
          <w:b/>
        </w:rPr>
        <w:t xml:space="preserve">Nuclear Regulatory Commission (“NRC”):  </w:t>
      </w:r>
      <w:r>
        <w:t>Nuclear Regulatory Commissi</w:t>
      </w:r>
      <w:r>
        <w:t>on, or any successor thereto.</w:t>
      </w:r>
    </w:p>
    <w:p w:rsidR="00A8398A" w:rsidRDefault="00EE53A4"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EE53A4" w:rsidP="00407DBF">
      <w:pPr>
        <w:pStyle w:val="Definition"/>
      </w:pPr>
      <w:r>
        <w:rPr>
          <w:b/>
        </w:rPr>
        <w:t xml:space="preserve">NYPA Transmission Adjustment Charge (“NTAC”):  </w:t>
      </w:r>
      <w:r>
        <w:t xml:space="preserve">A surcharge on all Energy Transactions designed to recover the Annual Transmission Revenue Requirement of NYPA which cannot be </w:t>
      </w:r>
      <w:r>
        <w:t>recovered through its TSC, TCCs, or other transmission revenues, including, but not limited to, its ETA revenues.  This charge will be assessed to all Load statewide, as well as Transmission Customers in Wheels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BC" w:rsidRDefault="00DD17BC" w:rsidP="00DD17BC">
      <w:r>
        <w:separator/>
      </w:r>
    </w:p>
  </w:endnote>
  <w:endnote w:type="continuationSeparator" w:id="0">
    <w:p w:rsidR="00DD17BC" w:rsidRDefault="00DD17BC" w:rsidP="00DD1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BC" w:rsidRDefault="00EE53A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D17BC">
      <w:rPr>
        <w:rFonts w:ascii="Arial" w:eastAsia="Arial" w:hAnsi="Arial" w:cs="Arial"/>
        <w:color w:val="000000"/>
        <w:sz w:val="16"/>
      </w:rPr>
      <w:fldChar w:fldCharType="begin"/>
    </w:r>
    <w:r>
      <w:rPr>
        <w:rFonts w:ascii="Arial" w:eastAsia="Arial" w:hAnsi="Arial" w:cs="Arial"/>
        <w:color w:val="000000"/>
        <w:sz w:val="16"/>
      </w:rPr>
      <w:instrText>PAGE</w:instrText>
    </w:r>
    <w:r w:rsidR="00DD17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BC" w:rsidRDefault="00EE53A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D17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D17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BC" w:rsidRDefault="00EE53A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D17BC">
      <w:rPr>
        <w:rFonts w:ascii="Arial" w:eastAsia="Arial" w:hAnsi="Arial" w:cs="Arial"/>
        <w:color w:val="000000"/>
        <w:sz w:val="16"/>
      </w:rPr>
      <w:fldChar w:fldCharType="begin"/>
    </w:r>
    <w:r>
      <w:rPr>
        <w:rFonts w:ascii="Arial" w:eastAsia="Arial" w:hAnsi="Arial" w:cs="Arial"/>
        <w:color w:val="000000"/>
        <w:sz w:val="16"/>
      </w:rPr>
      <w:instrText>PAGE</w:instrText>
    </w:r>
    <w:r w:rsidR="00DD17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BC" w:rsidRDefault="00DD17BC" w:rsidP="00DD17BC">
      <w:r>
        <w:separator/>
      </w:r>
    </w:p>
  </w:footnote>
  <w:footnote w:type="continuationSeparator" w:id="0">
    <w:p w:rsidR="00DD17BC" w:rsidRDefault="00DD17BC" w:rsidP="00DD1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BC" w:rsidRDefault="00EE53A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BC" w:rsidRDefault="00EE53A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w:t>
    </w:r>
    <w:r>
      <w:rPr>
        <w:rFonts w:ascii="Arial" w:eastAsia="Arial" w:hAnsi="Arial" w:cs="Arial"/>
        <w:color w:val="000000"/>
        <w:sz w:val="16"/>
      </w:rPr>
      <w:t>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BC" w:rsidRDefault="00EE53A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ACEA356">
      <w:start w:val="1"/>
      <w:numFmt w:val="bullet"/>
      <w:pStyle w:val="Bulletpara"/>
      <w:lvlText w:val=""/>
      <w:lvlJc w:val="left"/>
      <w:pPr>
        <w:tabs>
          <w:tab w:val="num" w:pos="720"/>
        </w:tabs>
        <w:ind w:left="720" w:hanging="360"/>
      </w:pPr>
      <w:rPr>
        <w:rFonts w:ascii="Symbol" w:hAnsi="Symbol" w:hint="default"/>
      </w:rPr>
    </w:lvl>
    <w:lvl w:ilvl="1" w:tplc="A74821D4" w:tentative="1">
      <w:start w:val="1"/>
      <w:numFmt w:val="bullet"/>
      <w:lvlText w:val="o"/>
      <w:lvlJc w:val="left"/>
      <w:pPr>
        <w:tabs>
          <w:tab w:val="num" w:pos="1440"/>
        </w:tabs>
        <w:ind w:left="1440" w:hanging="360"/>
      </w:pPr>
      <w:rPr>
        <w:rFonts w:ascii="Courier New" w:hAnsi="Courier New" w:cs="Courier New" w:hint="default"/>
      </w:rPr>
    </w:lvl>
    <w:lvl w:ilvl="2" w:tplc="10A4C070" w:tentative="1">
      <w:start w:val="1"/>
      <w:numFmt w:val="bullet"/>
      <w:lvlText w:val=""/>
      <w:lvlJc w:val="left"/>
      <w:pPr>
        <w:tabs>
          <w:tab w:val="num" w:pos="2160"/>
        </w:tabs>
        <w:ind w:left="2160" w:hanging="360"/>
      </w:pPr>
      <w:rPr>
        <w:rFonts w:ascii="Wingdings" w:hAnsi="Wingdings" w:hint="default"/>
      </w:rPr>
    </w:lvl>
    <w:lvl w:ilvl="3" w:tplc="FF5AABEC" w:tentative="1">
      <w:start w:val="1"/>
      <w:numFmt w:val="bullet"/>
      <w:lvlText w:val=""/>
      <w:lvlJc w:val="left"/>
      <w:pPr>
        <w:tabs>
          <w:tab w:val="num" w:pos="2880"/>
        </w:tabs>
        <w:ind w:left="2880" w:hanging="360"/>
      </w:pPr>
      <w:rPr>
        <w:rFonts w:ascii="Symbol" w:hAnsi="Symbol" w:hint="default"/>
      </w:rPr>
    </w:lvl>
    <w:lvl w:ilvl="4" w:tplc="F036DC70" w:tentative="1">
      <w:start w:val="1"/>
      <w:numFmt w:val="bullet"/>
      <w:lvlText w:val="o"/>
      <w:lvlJc w:val="left"/>
      <w:pPr>
        <w:tabs>
          <w:tab w:val="num" w:pos="3600"/>
        </w:tabs>
        <w:ind w:left="3600" w:hanging="360"/>
      </w:pPr>
      <w:rPr>
        <w:rFonts w:ascii="Courier New" w:hAnsi="Courier New" w:cs="Courier New" w:hint="default"/>
      </w:rPr>
    </w:lvl>
    <w:lvl w:ilvl="5" w:tplc="62AE35B8" w:tentative="1">
      <w:start w:val="1"/>
      <w:numFmt w:val="bullet"/>
      <w:lvlText w:val=""/>
      <w:lvlJc w:val="left"/>
      <w:pPr>
        <w:tabs>
          <w:tab w:val="num" w:pos="4320"/>
        </w:tabs>
        <w:ind w:left="4320" w:hanging="360"/>
      </w:pPr>
      <w:rPr>
        <w:rFonts w:ascii="Wingdings" w:hAnsi="Wingdings" w:hint="default"/>
      </w:rPr>
    </w:lvl>
    <w:lvl w:ilvl="6" w:tplc="3AAC6C08" w:tentative="1">
      <w:start w:val="1"/>
      <w:numFmt w:val="bullet"/>
      <w:lvlText w:val=""/>
      <w:lvlJc w:val="left"/>
      <w:pPr>
        <w:tabs>
          <w:tab w:val="num" w:pos="5040"/>
        </w:tabs>
        <w:ind w:left="5040" w:hanging="360"/>
      </w:pPr>
      <w:rPr>
        <w:rFonts w:ascii="Symbol" w:hAnsi="Symbol" w:hint="default"/>
      </w:rPr>
    </w:lvl>
    <w:lvl w:ilvl="7" w:tplc="D3421C8E" w:tentative="1">
      <w:start w:val="1"/>
      <w:numFmt w:val="bullet"/>
      <w:lvlText w:val="o"/>
      <w:lvlJc w:val="left"/>
      <w:pPr>
        <w:tabs>
          <w:tab w:val="num" w:pos="5760"/>
        </w:tabs>
        <w:ind w:left="5760" w:hanging="360"/>
      </w:pPr>
      <w:rPr>
        <w:rFonts w:ascii="Courier New" w:hAnsi="Courier New" w:cs="Courier New" w:hint="default"/>
      </w:rPr>
    </w:lvl>
    <w:lvl w:ilvl="8" w:tplc="D2F0C4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9243C2E">
      <w:start w:val="1"/>
      <w:numFmt w:val="bullet"/>
      <w:lvlText w:val="­"/>
      <w:lvlJc w:val="left"/>
      <w:pPr>
        <w:tabs>
          <w:tab w:val="num" w:pos="720"/>
        </w:tabs>
        <w:ind w:left="720" w:hanging="360"/>
      </w:pPr>
      <w:rPr>
        <w:rFonts w:ascii="Courier New" w:hAnsi="Courier New" w:hint="default"/>
      </w:rPr>
    </w:lvl>
    <w:lvl w:ilvl="1" w:tplc="0032DF2C" w:tentative="1">
      <w:start w:val="1"/>
      <w:numFmt w:val="bullet"/>
      <w:lvlText w:val="o"/>
      <w:lvlJc w:val="left"/>
      <w:pPr>
        <w:tabs>
          <w:tab w:val="num" w:pos="1440"/>
        </w:tabs>
        <w:ind w:left="1440" w:hanging="360"/>
      </w:pPr>
      <w:rPr>
        <w:rFonts w:ascii="Courier New" w:hAnsi="Courier New" w:cs="Courier New" w:hint="default"/>
      </w:rPr>
    </w:lvl>
    <w:lvl w:ilvl="2" w:tplc="4538D840" w:tentative="1">
      <w:start w:val="1"/>
      <w:numFmt w:val="bullet"/>
      <w:lvlText w:val=""/>
      <w:lvlJc w:val="left"/>
      <w:pPr>
        <w:tabs>
          <w:tab w:val="num" w:pos="2160"/>
        </w:tabs>
        <w:ind w:left="2160" w:hanging="360"/>
      </w:pPr>
      <w:rPr>
        <w:rFonts w:ascii="Wingdings" w:hAnsi="Wingdings" w:hint="default"/>
      </w:rPr>
    </w:lvl>
    <w:lvl w:ilvl="3" w:tplc="9AC4B5F6" w:tentative="1">
      <w:start w:val="1"/>
      <w:numFmt w:val="bullet"/>
      <w:lvlText w:val=""/>
      <w:lvlJc w:val="left"/>
      <w:pPr>
        <w:tabs>
          <w:tab w:val="num" w:pos="2880"/>
        </w:tabs>
        <w:ind w:left="2880" w:hanging="360"/>
      </w:pPr>
      <w:rPr>
        <w:rFonts w:ascii="Symbol" w:hAnsi="Symbol" w:hint="default"/>
      </w:rPr>
    </w:lvl>
    <w:lvl w:ilvl="4" w:tplc="3E7ECAA6" w:tentative="1">
      <w:start w:val="1"/>
      <w:numFmt w:val="bullet"/>
      <w:lvlText w:val="o"/>
      <w:lvlJc w:val="left"/>
      <w:pPr>
        <w:tabs>
          <w:tab w:val="num" w:pos="3600"/>
        </w:tabs>
        <w:ind w:left="3600" w:hanging="360"/>
      </w:pPr>
      <w:rPr>
        <w:rFonts w:ascii="Courier New" w:hAnsi="Courier New" w:cs="Courier New" w:hint="default"/>
      </w:rPr>
    </w:lvl>
    <w:lvl w:ilvl="5" w:tplc="FE827734" w:tentative="1">
      <w:start w:val="1"/>
      <w:numFmt w:val="bullet"/>
      <w:lvlText w:val=""/>
      <w:lvlJc w:val="left"/>
      <w:pPr>
        <w:tabs>
          <w:tab w:val="num" w:pos="4320"/>
        </w:tabs>
        <w:ind w:left="4320" w:hanging="360"/>
      </w:pPr>
      <w:rPr>
        <w:rFonts w:ascii="Wingdings" w:hAnsi="Wingdings" w:hint="default"/>
      </w:rPr>
    </w:lvl>
    <w:lvl w:ilvl="6" w:tplc="A782D74E" w:tentative="1">
      <w:start w:val="1"/>
      <w:numFmt w:val="bullet"/>
      <w:lvlText w:val=""/>
      <w:lvlJc w:val="left"/>
      <w:pPr>
        <w:tabs>
          <w:tab w:val="num" w:pos="5040"/>
        </w:tabs>
        <w:ind w:left="5040" w:hanging="360"/>
      </w:pPr>
      <w:rPr>
        <w:rFonts w:ascii="Symbol" w:hAnsi="Symbol" w:hint="default"/>
      </w:rPr>
    </w:lvl>
    <w:lvl w:ilvl="7" w:tplc="83C24C0C" w:tentative="1">
      <w:start w:val="1"/>
      <w:numFmt w:val="bullet"/>
      <w:lvlText w:val="o"/>
      <w:lvlJc w:val="left"/>
      <w:pPr>
        <w:tabs>
          <w:tab w:val="num" w:pos="5760"/>
        </w:tabs>
        <w:ind w:left="5760" w:hanging="360"/>
      </w:pPr>
      <w:rPr>
        <w:rFonts w:ascii="Courier New" w:hAnsi="Courier New" w:cs="Courier New" w:hint="default"/>
      </w:rPr>
    </w:lvl>
    <w:lvl w:ilvl="8" w:tplc="CC1E26A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5D2E96C">
      <w:start w:val="1"/>
      <w:numFmt w:val="lowerRoman"/>
      <w:lvlText w:val="(%1)"/>
      <w:lvlJc w:val="left"/>
      <w:pPr>
        <w:tabs>
          <w:tab w:val="num" w:pos="2448"/>
        </w:tabs>
        <w:ind w:left="2448" w:hanging="648"/>
      </w:pPr>
      <w:rPr>
        <w:rFonts w:hint="default"/>
        <w:b w:val="0"/>
        <w:i w:val="0"/>
        <w:u w:val="none"/>
      </w:rPr>
    </w:lvl>
    <w:lvl w:ilvl="1" w:tplc="7CC647AC" w:tentative="1">
      <w:start w:val="1"/>
      <w:numFmt w:val="lowerLetter"/>
      <w:lvlText w:val="%2."/>
      <w:lvlJc w:val="left"/>
      <w:pPr>
        <w:tabs>
          <w:tab w:val="num" w:pos="1440"/>
        </w:tabs>
        <w:ind w:left="1440" w:hanging="360"/>
      </w:pPr>
    </w:lvl>
    <w:lvl w:ilvl="2" w:tplc="E1DC3404" w:tentative="1">
      <w:start w:val="1"/>
      <w:numFmt w:val="lowerRoman"/>
      <w:lvlText w:val="%3."/>
      <w:lvlJc w:val="right"/>
      <w:pPr>
        <w:tabs>
          <w:tab w:val="num" w:pos="2160"/>
        </w:tabs>
        <w:ind w:left="2160" w:hanging="180"/>
      </w:pPr>
    </w:lvl>
    <w:lvl w:ilvl="3" w:tplc="05EA413E" w:tentative="1">
      <w:start w:val="1"/>
      <w:numFmt w:val="decimal"/>
      <w:lvlText w:val="%4."/>
      <w:lvlJc w:val="left"/>
      <w:pPr>
        <w:tabs>
          <w:tab w:val="num" w:pos="2880"/>
        </w:tabs>
        <w:ind w:left="2880" w:hanging="360"/>
      </w:pPr>
    </w:lvl>
    <w:lvl w:ilvl="4" w:tplc="439868E8" w:tentative="1">
      <w:start w:val="1"/>
      <w:numFmt w:val="lowerLetter"/>
      <w:lvlText w:val="%5."/>
      <w:lvlJc w:val="left"/>
      <w:pPr>
        <w:tabs>
          <w:tab w:val="num" w:pos="3600"/>
        </w:tabs>
        <w:ind w:left="3600" w:hanging="360"/>
      </w:pPr>
    </w:lvl>
    <w:lvl w:ilvl="5" w:tplc="079C3964" w:tentative="1">
      <w:start w:val="1"/>
      <w:numFmt w:val="lowerRoman"/>
      <w:lvlText w:val="%6."/>
      <w:lvlJc w:val="right"/>
      <w:pPr>
        <w:tabs>
          <w:tab w:val="num" w:pos="4320"/>
        </w:tabs>
        <w:ind w:left="4320" w:hanging="180"/>
      </w:pPr>
    </w:lvl>
    <w:lvl w:ilvl="6" w:tplc="2D66F362" w:tentative="1">
      <w:start w:val="1"/>
      <w:numFmt w:val="decimal"/>
      <w:lvlText w:val="%7."/>
      <w:lvlJc w:val="left"/>
      <w:pPr>
        <w:tabs>
          <w:tab w:val="num" w:pos="5040"/>
        </w:tabs>
        <w:ind w:left="5040" w:hanging="360"/>
      </w:pPr>
    </w:lvl>
    <w:lvl w:ilvl="7" w:tplc="A84E60A4" w:tentative="1">
      <w:start w:val="1"/>
      <w:numFmt w:val="lowerLetter"/>
      <w:lvlText w:val="%8."/>
      <w:lvlJc w:val="left"/>
      <w:pPr>
        <w:tabs>
          <w:tab w:val="num" w:pos="5760"/>
        </w:tabs>
        <w:ind w:left="5760" w:hanging="360"/>
      </w:pPr>
    </w:lvl>
    <w:lvl w:ilvl="8" w:tplc="CBF40B6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F5C3A66">
      <w:start w:val="1"/>
      <w:numFmt w:val="bullet"/>
      <w:lvlText w:val=""/>
      <w:lvlJc w:val="left"/>
      <w:pPr>
        <w:tabs>
          <w:tab w:val="num" w:pos="5760"/>
        </w:tabs>
        <w:ind w:left="5760" w:hanging="360"/>
      </w:pPr>
      <w:rPr>
        <w:rFonts w:ascii="Symbol" w:hAnsi="Symbol" w:hint="default"/>
        <w:color w:val="auto"/>
        <w:u w:val="none"/>
      </w:rPr>
    </w:lvl>
    <w:lvl w:ilvl="1" w:tplc="BA46BAF8" w:tentative="1">
      <w:start w:val="1"/>
      <w:numFmt w:val="bullet"/>
      <w:lvlText w:val="o"/>
      <w:lvlJc w:val="left"/>
      <w:pPr>
        <w:tabs>
          <w:tab w:val="num" w:pos="3600"/>
        </w:tabs>
        <w:ind w:left="3600" w:hanging="360"/>
      </w:pPr>
      <w:rPr>
        <w:rFonts w:ascii="Courier New" w:hAnsi="Courier New" w:hint="default"/>
      </w:rPr>
    </w:lvl>
    <w:lvl w:ilvl="2" w:tplc="7346DE10" w:tentative="1">
      <w:start w:val="1"/>
      <w:numFmt w:val="bullet"/>
      <w:lvlText w:val=""/>
      <w:lvlJc w:val="left"/>
      <w:pPr>
        <w:tabs>
          <w:tab w:val="num" w:pos="4320"/>
        </w:tabs>
        <w:ind w:left="4320" w:hanging="360"/>
      </w:pPr>
      <w:rPr>
        <w:rFonts w:ascii="Wingdings" w:hAnsi="Wingdings" w:hint="default"/>
      </w:rPr>
    </w:lvl>
    <w:lvl w:ilvl="3" w:tplc="D026FCD6">
      <w:start w:val="1"/>
      <w:numFmt w:val="bullet"/>
      <w:lvlText w:val=""/>
      <w:lvlJc w:val="left"/>
      <w:pPr>
        <w:tabs>
          <w:tab w:val="num" w:pos="5040"/>
        </w:tabs>
        <w:ind w:left="5040" w:hanging="360"/>
      </w:pPr>
      <w:rPr>
        <w:rFonts w:ascii="Symbol" w:hAnsi="Symbol" w:hint="default"/>
      </w:rPr>
    </w:lvl>
    <w:lvl w:ilvl="4" w:tplc="35D6B6BA" w:tentative="1">
      <w:start w:val="1"/>
      <w:numFmt w:val="bullet"/>
      <w:lvlText w:val="o"/>
      <w:lvlJc w:val="left"/>
      <w:pPr>
        <w:tabs>
          <w:tab w:val="num" w:pos="5760"/>
        </w:tabs>
        <w:ind w:left="5760" w:hanging="360"/>
      </w:pPr>
      <w:rPr>
        <w:rFonts w:ascii="Courier New" w:hAnsi="Courier New" w:hint="default"/>
      </w:rPr>
    </w:lvl>
    <w:lvl w:ilvl="5" w:tplc="83FE0674" w:tentative="1">
      <w:start w:val="1"/>
      <w:numFmt w:val="bullet"/>
      <w:lvlText w:val=""/>
      <w:lvlJc w:val="left"/>
      <w:pPr>
        <w:tabs>
          <w:tab w:val="num" w:pos="6480"/>
        </w:tabs>
        <w:ind w:left="6480" w:hanging="360"/>
      </w:pPr>
      <w:rPr>
        <w:rFonts w:ascii="Wingdings" w:hAnsi="Wingdings" w:hint="default"/>
      </w:rPr>
    </w:lvl>
    <w:lvl w:ilvl="6" w:tplc="07E88D3A" w:tentative="1">
      <w:start w:val="1"/>
      <w:numFmt w:val="bullet"/>
      <w:lvlText w:val=""/>
      <w:lvlJc w:val="left"/>
      <w:pPr>
        <w:tabs>
          <w:tab w:val="num" w:pos="7200"/>
        </w:tabs>
        <w:ind w:left="7200" w:hanging="360"/>
      </w:pPr>
      <w:rPr>
        <w:rFonts w:ascii="Symbol" w:hAnsi="Symbol" w:hint="default"/>
      </w:rPr>
    </w:lvl>
    <w:lvl w:ilvl="7" w:tplc="857E9114" w:tentative="1">
      <w:start w:val="1"/>
      <w:numFmt w:val="bullet"/>
      <w:lvlText w:val="o"/>
      <w:lvlJc w:val="left"/>
      <w:pPr>
        <w:tabs>
          <w:tab w:val="num" w:pos="7920"/>
        </w:tabs>
        <w:ind w:left="7920" w:hanging="360"/>
      </w:pPr>
      <w:rPr>
        <w:rFonts w:ascii="Courier New" w:hAnsi="Courier New" w:hint="default"/>
      </w:rPr>
    </w:lvl>
    <w:lvl w:ilvl="8" w:tplc="3BCA378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D17BC"/>
    <w:rsid w:val="00DD17BC"/>
    <w:rsid w:val="00EE53A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91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B4915"/>
    <w:pPr>
      <w:keepNext/>
      <w:spacing w:line="480" w:lineRule="auto"/>
      <w:ind w:left="1440" w:right="-90" w:hanging="720"/>
      <w:outlineLvl w:val="4"/>
    </w:pPr>
    <w:rPr>
      <w:b/>
    </w:rPr>
  </w:style>
  <w:style w:type="paragraph" w:styleId="Heading6">
    <w:name w:val="heading 6"/>
    <w:basedOn w:val="Normal"/>
    <w:next w:val="Normal"/>
    <w:qFormat/>
    <w:rsid w:val="00FB4915"/>
    <w:pPr>
      <w:keepNext/>
      <w:spacing w:line="480" w:lineRule="auto"/>
      <w:ind w:left="1080" w:right="-90" w:hanging="360"/>
      <w:outlineLvl w:val="5"/>
    </w:pPr>
    <w:rPr>
      <w:b/>
    </w:rPr>
  </w:style>
  <w:style w:type="paragraph" w:styleId="Heading7">
    <w:name w:val="heading 7"/>
    <w:basedOn w:val="Normal"/>
    <w:next w:val="Normal"/>
    <w:qFormat/>
    <w:rsid w:val="00FB4915"/>
    <w:pPr>
      <w:keepNext/>
      <w:spacing w:line="480" w:lineRule="auto"/>
      <w:ind w:left="720" w:right="630"/>
      <w:outlineLvl w:val="6"/>
    </w:pPr>
    <w:rPr>
      <w:b/>
    </w:rPr>
  </w:style>
  <w:style w:type="paragraph" w:styleId="Heading8">
    <w:name w:val="heading 8"/>
    <w:basedOn w:val="Normal"/>
    <w:next w:val="Normal"/>
    <w:qFormat/>
    <w:rsid w:val="00FB4915"/>
    <w:pPr>
      <w:keepNext/>
      <w:spacing w:line="480" w:lineRule="auto"/>
      <w:ind w:left="720" w:right="-90"/>
      <w:outlineLvl w:val="7"/>
    </w:pPr>
    <w:rPr>
      <w:b/>
    </w:rPr>
  </w:style>
  <w:style w:type="paragraph" w:styleId="Heading9">
    <w:name w:val="heading 9"/>
    <w:basedOn w:val="Normal"/>
    <w:next w:val="Normal"/>
    <w:qFormat/>
    <w:rsid w:val="00FB49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B491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B4915"/>
    <w:pPr>
      <w:widowControl/>
      <w:tabs>
        <w:tab w:val="center" w:pos="4680"/>
        <w:tab w:val="right" w:pos="9360"/>
      </w:tabs>
    </w:pPr>
    <w:rPr>
      <w:snapToGrid/>
      <w:szCs w:val="24"/>
    </w:rPr>
  </w:style>
  <w:style w:type="paragraph" w:styleId="Date">
    <w:name w:val="Date"/>
    <w:basedOn w:val="Normal"/>
    <w:next w:val="Normal"/>
    <w:rsid w:val="00FB491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10">
    <w:name w:val="Definition_10"/>
    <w:basedOn w:val="Normal"/>
    <w:rsid w:val="00131223"/>
    <w:pPr>
      <w:widowControl/>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2017-03-23T23:14:00Z</dcterms:created>
  <dcterms:modified xsi:type="dcterms:W3CDTF">2017-03-23T23:14:00Z</dcterms:modified>
</cp:coreProperties>
</file>