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E2" w:rsidRPr="00661C1E" w:rsidRDefault="0027704D" w:rsidP="00830EE2">
      <w:pPr>
        <w:pStyle w:val="Heading1"/>
      </w:pPr>
      <w:r>
        <w:t>26</w:t>
      </w:r>
      <w:r>
        <w:tab/>
      </w:r>
      <w:r w:rsidRPr="00661C1E">
        <w:t>Attachment T</w:t>
      </w:r>
      <w:r>
        <w:t xml:space="preserve"> – </w:t>
      </w:r>
      <w:r w:rsidRPr="00661C1E">
        <w:t xml:space="preserve">Cost Allocation Methodology </w:t>
      </w:r>
      <w:r>
        <w:t>f</w:t>
      </w:r>
      <w:r w:rsidRPr="00661C1E">
        <w:t xml:space="preserve">or Schedule 1 Bid Production Guarantees </w:t>
      </w:r>
      <w:r>
        <w:t>f</w:t>
      </w:r>
      <w:r w:rsidRPr="00661C1E">
        <w:t xml:space="preserve">or Additional Generating Units Committed </w:t>
      </w:r>
      <w:r>
        <w:t>t</w:t>
      </w:r>
      <w:r w:rsidRPr="00661C1E">
        <w:t>o Meet Forecast Load</w:t>
      </w:r>
    </w:p>
    <w:p w:rsidR="00830EE2" w:rsidRDefault="0027704D" w:rsidP="00830EE2">
      <w:pPr>
        <w:pStyle w:val="Bodypara"/>
      </w:pPr>
      <w:r w:rsidRPr="00661C1E">
        <w:t xml:space="preserve">The Day-Ahead commitment of generating units includes sufficient </w:t>
      </w:r>
      <w:r>
        <w:t>Resources</w:t>
      </w:r>
      <w:r w:rsidRPr="00661C1E">
        <w:t xml:space="preserve"> to provide for the safe and reliable operation of the NYS Power System. In cases in which the sum of all </w:t>
      </w:r>
      <w:r>
        <w:t xml:space="preserve">Day-Ahead </w:t>
      </w:r>
      <w:r w:rsidRPr="00661C1E">
        <w:t>Bilateral Schedules,</w:t>
      </w:r>
      <w:r>
        <w:t xml:space="preserve"> and all Day-Ahead</w:t>
      </w:r>
      <w:r w:rsidRPr="00661C1E">
        <w:t xml:space="preserve"> purchases of energy </w:t>
      </w:r>
      <w:r>
        <w:t xml:space="preserve">to serve Load </w:t>
      </w:r>
      <w:r w:rsidRPr="00661C1E">
        <w:t>within the NYCA is</w:t>
      </w:r>
      <w:r>
        <w:t xml:space="preserve"> less than the ISO’s Day-Ahead forecast of Load, </w:t>
      </w:r>
      <w:r>
        <w:t>the ISO may commit Resources in addition to the reserves it normally maintains (“Additional Resources”).  Payments for Bid Production Cost guarantees (“BPCG”) made to such</w:t>
      </w:r>
      <w:r>
        <w:t xml:space="preserve"> Additional Resources are to be</w:t>
      </w:r>
      <w:r>
        <w:t xml:space="preserve"> allocated pursuant to the methodology set forth below</w:t>
      </w:r>
      <w:r>
        <w:t xml:space="preserve"> and recovered under Rate Schedule 1 of the OATT. Any BPCG payments made to Additional Resources that are not allocated pursuant to this methodology shall be allocated to Transmission Customers according to the provisions of </w:t>
      </w:r>
      <w:r w:rsidRPr="00C918F8">
        <w:t>Section 6.1.7.2</w:t>
      </w:r>
      <w:r>
        <w:t>, of Rate Schedu</w:t>
      </w:r>
      <w:r>
        <w:t xml:space="preserve">le 1 of the OATT  </w:t>
      </w:r>
    </w:p>
    <w:p w:rsidR="00830EE2" w:rsidRDefault="0027704D" w:rsidP="00830EE2">
      <w:pPr>
        <w:pStyle w:val="Bodypara"/>
      </w:pPr>
      <w:r>
        <w:t>For purposes of this Attachment T, “Eligible Transmission Customers” are Transmission Customers that are scheduled to sell Energy at a Load bus specified for Virtual Transactions in the Day-Ahead Market and Transmission Customers purchas</w:t>
      </w:r>
      <w:r>
        <w:t>ing Energy to serve load in the real-time market at a Load bus that is not a Load bus specified for Virtual Transactions and not a Proxy Generator Bus.  Load Zones and composite Load Zones used in the allocation of Bid Production Cost guarantee payments ma</w:t>
      </w:r>
      <w:r>
        <w:t>de to Additional Resources are initially set as: (i) Load Zones A-E, (ii) Load Zones F-I, (iii) Load Zone J, and (iv) Load Zone K and may be adjusted by the ISO to reflect the most frequently constrained transmission interfaces in the NYCA.</w:t>
      </w:r>
    </w:p>
    <w:p w:rsidR="00830EE2" w:rsidRDefault="0027704D" w:rsidP="00830EE2">
      <w:pPr>
        <w:pStyle w:val="Bodypara"/>
      </w:pPr>
      <w:r>
        <w:t>BPCG payments m</w:t>
      </w:r>
      <w:r>
        <w:t>ade to Additional Resources shall be allocated to each Eligible Transmission Customer as follows:</w:t>
      </w:r>
    </w:p>
    <w:p w:rsidR="00083EE3" w:rsidRDefault="00FD5D6F">
      <w:pPr>
        <w:spacing w:after="240"/>
        <w:ind w:firstLine="720"/>
        <w:jc w:val="both"/>
      </w:pPr>
      <m:oMathPara>
        <m:oMath>
          <m:sSub>
            <m:sSubPr>
              <m:ctrlPr>
                <w:rPr>
                  <w:rFonts w:ascii="Cambria Math" w:hAnsi="Cambria Math"/>
                  <w:i/>
                </w:rPr>
              </m:ctrlPr>
            </m:sSubPr>
            <m:e>
              <m:r>
                <w:rPr>
                  <w:rFonts w:ascii="Cambria Math" w:hAnsi="Cambria Math"/>
                </w:rPr>
                <m:t>BPCG</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BPCG</m:t>
              </m:r>
            </m:e>
            <m:sub>
              <m:r>
                <w:rPr>
                  <w:rFonts w:ascii="Cambria Math" w:hAnsi="Cambria Math"/>
                </w:rPr>
                <m:t>NYCA</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L∈NYCA</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fe</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loc</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e>
              </m:d>
            </m:e>
          </m:nary>
        </m:oMath>
      </m:oMathPara>
    </w:p>
    <w:p w:rsidR="00830EE2" w:rsidRDefault="0027704D">
      <w:pPr>
        <w:spacing w:after="240"/>
        <w:ind w:firstLine="720"/>
        <w:jc w:val="both"/>
      </w:pPr>
      <w:r>
        <w:lastRenderedPageBreak/>
        <w:t>Where:</w:t>
      </w:r>
    </w:p>
    <w:tbl>
      <w:tblPr>
        <w:tblW w:w="9738" w:type="dxa"/>
        <w:tblLayout w:type="fixed"/>
        <w:tblLook w:val="0000"/>
      </w:tblPr>
      <w:tblGrid>
        <w:gridCol w:w="1458"/>
        <w:gridCol w:w="360"/>
        <w:gridCol w:w="7920"/>
      </w:tblGrid>
      <w:tr w:rsidR="00FD5D6F" w:rsidTr="00083EE3">
        <w:tc>
          <w:tcPr>
            <w:tcW w:w="1458" w:type="dxa"/>
          </w:tcPr>
          <w:p w:rsidR="000147A1" w:rsidRDefault="00FD5D6F">
            <w:pPr>
              <w:spacing w:after="240"/>
            </w:pPr>
            <m:oMathPara>
              <m:oMathParaPr>
                <m:jc m:val="left"/>
              </m:oMathParaPr>
              <m:oMath>
                <m:sSub>
                  <m:sSubPr>
                    <m:ctrlPr>
                      <w:rPr>
                        <w:rFonts w:ascii="Cambria Math" w:hAnsi="Cambria Math"/>
                        <w:i/>
                        <w:vertAlign w:val="subscript"/>
                      </w:rPr>
                    </m:ctrlPr>
                  </m:sSubPr>
                  <m:e>
                    <m:r>
                      <w:rPr>
                        <w:rFonts w:ascii="Cambria Math" w:hAnsi="Cambria Math"/>
                        <w:vertAlign w:val="subscript"/>
                      </w:rPr>
                      <m:t>BPCG</m:t>
                    </m:r>
                  </m:e>
                  <m:sub>
                    <m:r>
                      <w:rPr>
                        <w:rFonts w:ascii="Cambria Math" w:hAnsi="Cambria Math"/>
                        <w:vertAlign w:val="subscript"/>
                      </w:rPr>
                      <m:t>c</m:t>
                    </m:r>
                  </m:sub>
                </m:sSub>
              </m:oMath>
            </m:oMathPara>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Obligation of Transmission Customer “c” for the Bid Pr</w:t>
            </w:r>
            <w:r>
              <w:t>oduction Cost guarantees for Additional Resources for the day.</w:t>
            </w:r>
          </w:p>
        </w:tc>
      </w:tr>
      <w:tr w:rsidR="00FD5D6F" w:rsidTr="00083EE3">
        <w:tc>
          <w:tcPr>
            <w:tcW w:w="1458" w:type="dxa"/>
          </w:tcPr>
          <w:p w:rsidR="000147A1" w:rsidRDefault="00FD5D6F" w:rsidP="00E63216">
            <w:pPr>
              <w:spacing w:after="240"/>
            </w:pPr>
            <m:oMathPara>
              <m:oMathParaPr>
                <m:jc m:val="left"/>
              </m:oMathParaPr>
              <m:oMath>
                <m:sSub>
                  <m:sSubPr>
                    <m:ctrlPr>
                      <w:rPr>
                        <w:rFonts w:ascii="Cambria Math" w:hAnsi="Cambria Math"/>
                        <w:i/>
                      </w:rPr>
                    </m:ctrlPr>
                  </m:sSubPr>
                  <m:e>
                    <m:r>
                      <w:rPr>
                        <w:rFonts w:ascii="Cambria Math" w:hAnsi="Cambria Math"/>
                      </w:rPr>
                      <m:t>BPCG</m:t>
                    </m:r>
                  </m:e>
                  <m:sub>
                    <m:r>
                      <w:rPr>
                        <w:rFonts w:ascii="Cambria Math" w:hAnsi="Cambria Math"/>
                      </w:rPr>
                      <m:t>NYCA</m:t>
                    </m:r>
                  </m:sub>
                </m:sSub>
              </m:oMath>
            </m:oMathPara>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 xml:space="preserve">Total Bid Production Cost guarantees paid to Additional Resources in the NYCA for the day. </w:t>
            </w:r>
          </w:p>
        </w:tc>
      </w:tr>
      <w:tr w:rsidR="00FD5D6F" w:rsidTr="00083EE3">
        <w:tc>
          <w:tcPr>
            <w:tcW w:w="1458" w:type="dxa"/>
          </w:tcPr>
          <w:p w:rsidR="000147A1" w:rsidRDefault="0027704D">
            <w:pPr>
              <w:spacing w:after="240"/>
            </w:pPr>
            <w:r>
              <w:t>c</w:t>
            </w:r>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 xml:space="preserve">An Eligible Transmission Customer. </w:t>
            </w:r>
          </w:p>
        </w:tc>
      </w:tr>
      <w:tr w:rsidR="00FD5D6F" w:rsidTr="00083EE3">
        <w:tc>
          <w:tcPr>
            <w:tcW w:w="1458" w:type="dxa"/>
          </w:tcPr>
          <w:p w:rsidR="000147A1" w:rsidRDefault="0027704D">
            <w:pPr>
              <w:spacing w:after="240"/>
            </w:pPr>
            <w:r>
              <w:t>J</w:t>
            </w:r>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 xml:space="preserve">Index for Load Zones or Composite </w:t>
            </w:r>
            <w:r>
              <w:t>Load Zones in the set NYCA</w:t>
            </w:r>
          </w:p>
        </w:tc>
      </w:tr>
      <w:tr w:rsidR="00FD5D6F" w:rsidTr="00083EE3">
        <w:tc>
          <w:tcPr>
            <w:tcW w:w="1458" w:type="dxa"/>
          </w:tcPr>
          <w:p w:rsidR="000147A1" w:rsidRDefault="0027704D">
            <w:pPr>
              <w:spacing w:after="240"/>
            </w:pPr>
            <w:r>
              <w:t>D</w:t>
            </w:r>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Index for eligible transmission customers in the NYCA</w:t>
            </w:r>
          </w:p>
        </w:tc>
      </w:tr>
      <w:tr w:rsidR="00FD5D6F" w:rsidTr="00083EE3">
        <w:tc>
          <w:tcPr>
            <w:tcW w:w="1458" w:type="dxa"/>
          </w:tcPr>
          <w:p w:rsidR="000147A1" w:rsidRDefault="0027704D">
            <w:pPr>
              <w:spacing w:after="240"/>
            </w:pPr>
            <w:r>
              <w:t>E</w:t>
            </w:r>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Set of all eligible transmission customers</w:t>
            </w:r>
          </w:p>
        </w:tc>
      </w:tr>
      <w:tr w:rsidR="00FD5D6F" w:rsidTr="00083EE3">
        <w:tc>
          <w:tcPr>
            <w:tcW w:w="1458" w:type="dxa"/>
          </w:tcPr>
          <w:p w:rsidR="000147A1" w:rsidRDefault="0027704D">
            <w:pPr>
              <w:spacing w:after="240"/>
            </w:pPr>
            <w:r>
              <w:t>L</w:t>
            </w:r>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Load Zone or Composite Load Zone</w:t>
            </w:r>
          </w:p>
        </w:tc>
      </w:tr>
      <w:tr w:rsidR="00FD5D6F" w:rsidTr="00083EE3">
        <w:tc>
          <w:tcPr>
            <w:tcW w:w="1458" w:type="dxa"/>
          </w:tcPr>
          <w:p w:rsidR="000147A1" w:rsidRDefault="00FD5D6F">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fe</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A scale factor calculated for each Load Zone or Composite Load Zone that</w:t>
            </w:r>
            <w:r>
              <w:t xml:space="preserve"> determines the portion of BPCG to Additional Resources that will be allocated through the procedures described in this attachment.</w:t>
            </w:r>
          </w:p>
        </w:tc>
      </w:tr>
      <w:tr w:rsidR="00FD5D6F" w:rsidTr="00083EE3">
        <w:tc>
          <w:tcPr>
            <w:tcW w:w="1458" w:type="dxa"/>
          </w:tcPr>
          <w:p w:rsidR="000147A1" w:rsidRDefault="00FD5D6F">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loc</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A scale factor calculated for each Load Zone or Composite Load Zone “L” that determines the share of BPCG to A</w:t>
            </w:r>
            <w:r>
              <w:t>dditional Resources that shall be allocated to that Load Zone or Composite Load Zone.  The scale factor is based on the ratio of Energy purchases in the real-time market by Eligible Transmission Customers in load zone or composite load zone “L” in each hou</w:t>
            </w:r>
            <w:r>
              <w:t>r, summed over the hours of the day in which these purchases are positive, to all Energy purchases in the real-time market by Eligible Transmission Customers in each Load Zone or Composite Load Zone in each hour, summed over the hours of the day in which t</w:t>
            </w:r>
            <w:r>
              <w:t>hese purchases in a given Load Zone or Composite Load Zone are positive, and summed over all Load Zones or Composite Load Zones.</w:t>
            </w:r>
          </w:p>
        </w:tc>
      </w:tr>
      <w:tr w:rsidR="00FD5D6F" w:rsidTr="00083EE3">
        <w:tc>
          <w:tcPr>
            <w:tcW w:w="1458" w:type="dxa"/>
          </w:tcPr>
          <w:p w:rsidR="000147A1" w:rsidRDefault="00FD5D6F">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c,L</m:t>
                    </m:r>
                  </m:sub>
                  <m:sup>
                    <m:r>
                      <w:rPr>
                        <w:rFonts w:ascii="Cambria Math" w:hAnsi="Cambria Math"/>
                        <w:vertAlign w:val="subscript"/>
                      </w:rPr>
                      <m:t>customer</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pPr>
              <w:spacing w:after="240"/>
              <w:jc w:val="both"/>
            </w:pPr>
            <w:r>
              <w:t>A scale factor calculated for Eligible Transmission Customer “c” in Load Zone or Composite Load Zone</w:t>
            </w:r>
            <w:r>
              <w:t xml:space="preserve"> “L” which determines the portion of the BPCG to Additional Resources allocated to that Load Zone or Composite Load Zone that shall be allocated to that Eligible Transmission Customer “c.” </w:t>
            </w:r>
          </w:p>
        </w:tc>
      </w:tr>
      <w:tr w:rsidR="00FD5D6F" w:rsidTr="00083EE3">
        <w:trPr>
          <w:trHeight w:val="872"/>
        </w:trPr>
        <w:tc>
          <w:tcPr>
            <w:tcW w:w="1458" w:type="dxa"/>
          </w:tcPr>
          <w:p w:rsidR="000147A1" w:rsidRDefault="00FD5D6F"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L</m:t>
                    </m:r>
                  </m:sub>
                  <m:sup>
                    <m:r>
                      <w:rPr>
                        <w:rFonts w:ascii="Cambria Math" w:hAnsi="Cambria Math"/>
                        <w:vertAlign w:val="subscript"/>
                      </w:rPr>
                      <m:t>act</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rsidP="00830EE2">
            <w:pPr>
              <w:spacing w:after="240"/>
              <w:jc w:val="both"/>
            </w:pPr>
            <w:r>
              <w:t xml:space="preserve">Net Energy purchases from the Real-Time market </w:t>
            </w:r>
            <w:r>
              <w:t>in Load Zone or Composite Load Zone “L” by all Eligible Transmission Customers in each hour, summed over the hours of the day in which these purchases are positive.</w:t>
            </w:r>
          </w:p>
        </w:tc>
      </w:tr>
      <w:tr w:rsidR="00FD5D6F" w:rsidTr="00083EE3">
        <w:trPr>
          <w:trHeight w:val="872"/>
        </w:trPr>
        <w:tc>
          <w:tcPr>
            <w:tcW w:w="1458" w:type="dxa"/>
          </w:tcPr>
          <w:p w:rsidR="000147A1" w:rsidRDefault="00FD5D6F"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c, L</m:t>
                    </m:r>
                  </m:sub>
                  <m:sup>
                    <m:r>
                      <w:rPr>
                        <w:rFonts w:ascii="Cambria Math" w:hAnsi="Cambria Math"/>
                        <w:vertAlign w:val="subscript"/>
                      </w:rPr>
                      <m:t>act</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rsidP="00830EE2">
            <w:pPr>
              <w:spacing w:after="240"/>
              <w:jc w:val="both"/>
            </w:pPr>
            <w:r>
              <w:t xml:space="preserve">Energy purchases from the Real-Time market in Load Zone or Composite </w:t>
            </w:r>
            <w:r>
              <w:t>Load Zone “L” by an Eligible Transmission Customer “c”  in each hour summed over hours of the day in which these purchases are positive.</w:t>
            </w:r>
          </w:p>
        </w:tc>
      </w:tr>
      <w:tr w:rsidR="00FD5D6F" w:rsidTr="00083EE3">
        <w:tc>
          <w:tcPr>
            <w:tcW w:w="1458" w:type="dxa"/>
          </w:tcPr>
          <w:p w:rsidR="000147A1" w:rsidRDefault="00FD5D6F"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L</m:t>
                    </m:r>
                  </m:sub>
                  <m:sup>
                    <m:r>
                      <w:rPr>
                        <w:rFonts w:ascii="Cambria Math" w:hAnsi="Cambria Math"/>
                        <w:vertAlign w:val="subscript"/>
                      </w:rPr>
                      <m:t>fcst</m:t>
                    </m:r>
                  </m:sup>
                </m:sSubSup>
              </m:oMath>
            </m:oMathPara>
          </w:p>
        </w:tc>
        <w:tc>
          <w:tcPr>
            <w:tcW w:w="360" w:type="dxa"/>
          </w:tcPr>
          <w:p w:rsidR="000147A1" w:rsidRDefault="0027704D" w:rsidP="000147A1">
            <w:pPr>
              <w:spacing w:after="240"/>
              <w:ind w:left="-18"/>
              <w:jc w:val="center"/>
            </w:pPr>
            <w:r>
              <w:t>=</w:t>
            </w:r>
          </w:p>
        </w:tc>
        <w:tc>
          <w:tcPr>
            <w:tcW w:w="7920" w:type="dxa"/>
          </w:tcPr>
          <w:p w:rsidR="000147A1" w:rsidRDefault="0027704D" w:rsidP="00830EE2">
            <w:pPr>
              <w:spacing w:after="240"/>
              <w:jc w:val="both"/>
            </w:pPr>
            <w:r>
              <w:t>The sum of (1) Day-Ahead sales for each hour of the day in the Day-Ahead market at the Load bus spe</w:t>
            </w:r>
            <w:r>
              <w:t>cified for Virtual Transactions in Load Zone or Composite Load Zone “L” by Eligible Transmission Customers; and (2) the ISO’s Day-Ahead forecast Load requirement for Load Zone or Composite Load Zone “L” for that hour of the day less the sum of Energy purch</w:t>
            </w:r>
            <w:r>
              <w:t>ases from the Day-Ahead market at Load buses including Load buses specified for Virtual Transactions but not Proxy Generator Buses and Bilateral Transactions with POWs that are Load Buses other than those specified for Virtual Transactions and other than P</w:t>
            </w:r>
            <w:r>
              <w:t>roxy Generator Buses for that hour; summed over the hours of the day in which the sum of (1) and (2) is positive.</w:t>
            </w:r>
          </w:p>
        </w:tc>
      </w:tr>
    </w:tbl>
    <w:p w:rsidR="00830EE2" w:rsidRDefault="0027704D" w:rsidP="00830EE2">
      <w:pPr>
        <w:ind w:firstLine="720"/>
        <w:jc w:val="both"/>
        <w:rPr>
          <w:u w:val="double"/>
        </w:rPr>
      </w:pPr>
    </w:p>
    <w:p w:rsidR="00830EE2" w:rsidRPr="00577198" w:rsidRDefault="00FD5D6F" w:rsidP="00830EE2">
      <w:pPr>
        <w:pStyle w:val="Bodypara"/>
      </w:p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fe</m:t>
            </m:r>
          </m:sup>
        </m:sSubSup>
      </m:oMath>
      <w:r w:rsidR="0027704D" w:rsidRPr="00577198">
        <w:t>shall be calculated as shown below except that the value one shall be used if the expression yields a number greater than one.</w:t>
      </w:r>
    </w:p>
    <w:p w:rsidR="00083EE3" w:rsidRPr="00E63216" w:rsidRDefault="00FD5D6F" w:rsidP="00830EE2">
      <w:pPr>
        <w:spacing w:after="240"/>
        <w:ind w:firstLine="720"/>
        <w:jc w:val="both"/>
        <w:rPr>
          <w:sz w:val="28"/>
        </w:rPr>
      </w:pPr>
      <m:oMathPara>
        <m:oMath>
          <m:sSubSup>
            <m:sSubSupPr>
              <m:ctrlPr>
                <w:rPr>
                  <w:rFonts w:ascii="Cambria Math" w:hAnsi="Cambria Math"/>
                  <w:i/>
                  <w:sz w:val="28"/>
                </w:rPr>
              </m:ctrlPr>
            </m:sSubSupPr>
            <m:e>
              <m:r>
                <w:rPr>
                  <w:rFonts w:ascii="Cambria Math" w:hAnsi="Cambria Math"/>
                  <w:sz w:val="28"/>
                </w:rPr>
                <m:t>K</m:t>
              </m:r>
            </m:e>
            <m:sub>
              <m:r>
                <w:rPr>
                  <w:rFonts w:ascii="Cambria Math" w:hAnsi="Cambria Math"/>
                  <w:sz w:val="28"/>
                </w:rPr>
                <m:t>L</m:t>
              </m:r>
            </m:sub>
            <m:sup>
              <m:r>
                <w:rPr>
                  <w:rFonts w:ascii="Cambria Math" w:hAnsi="Cambria Math"/>
                  <w:sz w:val="28"/>
                </w:rPr>
                <m:t>fe</m:t>
              </m:r>
            </m:sup>
          </m:sSubSup>
          <m:r>
            <w:rPr>
              <w:rFonts w:ascii="Cambria Math" w:hAnsi="Cambria Math"/>
              <w:sz w:val="28"/>
            </w:rPr>
            <m:t>=</m:t>
          </m:r>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RTP</m:t>
                  </m:r>
                </m:e>
                <m:sub>
                  <m:r>
                    <w:rPr>
                      <w:rFonts w:ascii="Cambria Math" w:hAnsi="Cambria Math"/>
                      <w:sz w:val="28"/>
                    </w:rPr>
                    <m:t>L</m:t>
                  </m:r>
                </m:sub>
                <m:sup>
                  <m:r>
                    <w:rPr>
                      <w:rFonts w:ascii="Cambria Math" w:hAnsi="Cambria Math"/>
                      <w:sz w:val="28"/>
                    </w:rPr>
                    <m:t>act</m:t>
                  </m:r>
                </m:sup>
              </m:sSubSup>
            </m:num>
            <m:den>
              <m:sSubSup>
                <m:sSubSupPr>
                  <m:ctrlPr>
                    <w:rPr>
                      <w:rFonts w:ascii="Cambria Math" w:hAnsi="Cambria Math"/>
                      <w:i/>
                      <w:sz w:val="28"/>
                    </w:rPr>
                  </m:ctrlPr>
                </m:sSubSupPr>
                <m:e>
                  <m:r>
                    <w:rPr>
                      <w:rFonts w:ascii="Cambria Math" w:hAnsi="Cambria Math"/>
                      <w:sz w:val="28"/>
                    </w:rPr>
                    <m:t>RTP</m:t>
                  </m:r>
                </m:e>
                <m:sub>
                  <m:r>
                    <w:rPr>
                      <w:rFonts w:ascii="Cambria Math" w:hAnsi="Cambria Math"/>
                      <w:sz w:val="28"/>
                    </w:rPr>
                    <m:t>L</m:t>
                  </m:r>
                </m:sub>
                <m:sup>
                  <m:r>
                    <w:rPr>
                      <w:rFonts w:ascii="Cambria Math" w:hAnsi="Cambria Math"/>
                      <w:sz w:val="28"/>
                    </w:rPr>
                    <m:t>fcst</m:t>
                  </m:r>
                </m:sup>
              </m:sSubSup>
            </m:den>
          </m:f>
        </m:oMath>
      </m:oMathPara>
    </w:p>
    <w:p w:rsidR="00830EE2" w:rsidRPr="00577198" w:rsidRDefault="00FD5D6F" w:rsidP="00830EE2">
      <w:pPr>
        <w:spacing w:after="240"/>
        <w:ind w:firstLine="720"/>
        <w:jc w:val="both"/>
      </w:p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loc</m:t>
            </m:r>
          </m:sup>
        </m:sSubSup>
      </m:oMath>
      <w:r w:rsidR="0027704D" w:rsidRPr="00577198">
        <w:rPr>
          <w:vertAlign w:val="subscript"/>
        </w:rPr>
        <w:t xml:space="preserve"> </w:t>
      </w:r>
      <w:r w:rsidR="0027704D" w:rsidRPr="00577198">
        <w:t>shall be calculated as shown below.</w:t>
      </w:r>
    </w:p>
    <w:tbl>
      <w:tblPr>
        <w:tblStyle w:val="TableGrid"/>
        <w:tblW w:w="0" w:type="auto"/>
        <w:jc w:val="center"/>
        <w:tblBorders>
          <w:top w:val="nil"/>
          <w:left w:val="nil"/>
          <w:bottom w:val="nil"/>
          <w:right w:val="nil"/>
          <w:insideV w:val="nil"/>
        </w:tblBorders>
        <w:tblLook w:val="04A0"/>
      </w:tblPr>
      <w:tblGrid>
        <w:gridCol w:w="693"/>
        <w:gridCol w:w="352"/>
        <w:gridCol w:w="1427"/>
      </w:tblGrid>
      <w:tr w:rsidR="00FD5D6F" w:rsidTr="00E63216">
        <w:trPr>
          <w:trHeight w:val="373"/>
          <w:jc w:val="center"/>
        </w:trPr>
        <w:tc>
          <w:tcPr>
            <w:tcW w:w="693" w:type="dxa"/>
            <w:vMerge w:val="restart"/>
            <w:vAlign w:val="center"/>
          </w:tcPr>
          <w:p w:rsidR="00830EE2" w:rsidRDefault="00FD5D6F" w:rsidP="00E167B3">
            <w:pPr>
              <w:spacing w:after="240"/>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loc</m:t>
                    </m:r>
                  </m:sup>
                </m:sSubSup>
              </m:oMath>
            </m:oMathPara>
          </w:p>
        </w:tc>
        <w:tc>
          <w:tcPr>
            <w:tcW w:w="352" w:type="dxa"/>
            <w:vMerge w:val="restart"/>
            <w:vAlign w:val="center"/>
          </w:tcPr>
          <w:p w:rsidR="00830EE2" w:rsidRDefault="0027704D" w:rsidP="00830EE2">
            <w:pPr>
              <w:spacing w:after="240"/>
              <w:jc w:val="center"/>
            </w:pPr>
            <w:r>
              <w:t>=</w:t>
            </w:r>
          </w:p>
        </w:tc>
        <w:tc>
          <w:tcPr>
            <w:tcW w:w="1427" w:type="dxa"/>
            <w:vAlign w:val="bottom"/>
          </w:tcPr>
          <w:p w:rsidR="00830EE2" w:rsidRDefault="00FD5D6F" w:rsidP="00776704">
            <w:pPr>
              <w:spacing w:after="240"/>
              <w:jc w:val="center"/>
            </w:pPr>
            <m:oMathPara>
              <m:oMath>
                <m:sSubSup>
                  <m:sSubSupPr>
                    <m:ctrlPr>
                      <w:rPr>
                        <w:rFonts w:ascii="Cambria Math" w:hAnsi="Cambria Math"/>
                        <w:i/>
                        <w:sz w:val="22"/>
                      </w:rPr>
                    </m:ctrlPr>
                  </m:sSubSupPr>
                  <m:e>
                    <m:r>
                      <w:rPr>
                        <w:rFonts w:ascii="Cambria Math" w:hAnsi="Cambria Math"/>
                        <w:sz w:val="22"/>
                      </w:rPr>
                      <m:t>RTP</m:t>
                    </m:r>
                  </m:e>
                  <m:sub>
                    <m:r>
                      <w:rPr>
                        <w:rFonts w:ascii="Cambria Math" w:hAnsi="Cambria Math"/>
                        <w:sz w:val="22"/>
                      </w:rPr>
                      <m:t>L</m:t>
                    </m:r>
                  </m:sub>
                  <m:sup>
                    <m:r>
                      <w:rPr>
                        <w:rFonts w:ascii="Cambria Math" w:hAnsi="Cambria Math"/>
                        <w:sz w:val="22"/>
                      </w:rPr>
                      <m:t>act</m:t>
                    </m:r>
                  </m:sup>
                </m:sSubSup>
              </m:oMath>
            </m:oMathPara>
          </w:p>
        </w:tc>
      </w:tr>
      <w:tr w:rsidR="00FD5D6F" w:rsidTr="00E63216">
        <w:trPr>
          <w:trHeight w:val="105"/>
          <w:jc w:val="center"/>
        </w:trPr>
        <w:tc>
          <w:tcPr>
            <w:tcW w:w="693" w:type="dxa"/>
            <w:vMerge/>
            <w:vAlign w:val="center"/>
          </w:tcPr>
          <w:p w:rsidR="00830EE2" w:rsidRDefault="0027704D" w:rsidP="00830EE2">
            <w:pPr>
              <w:spacing w:after="240"/>
              <w:jc w:val="center"/>
            </w:pPr>
          </w:p>
        </w:tc>
        <w:tc>
          <w:tcPr>
            <w:tcW w:w="352" w:type="dxa"/>
            <w:vMerge/>
            <w:vAlign w:val="center"/>
          </w:tcPr>
          <w:p w:rsidR="00830EE2" w:rsidRDefault="0027704D" w:rsidP="00830EE2">
            <w:pPr>
              <w:spacing w:after="240"/>
              <w:jc w:val="center"/>
            </w:pPr>
          </w:p>
        </w:tc>
        <w:tc>
          <w:tcPr>
            <w:tcW w:w="1427" w:type="dxa"/>
          </w:tcPr>
          <w:p w:rsidR="00830EE2" w:rsidRDefault="00FD5D6F" w:rsidP="00830EE2">
            <w:pPr>
              <w:spacing w:after="240"/>
              <w:jc w:val="both"/>
            </w:pPr>
            <m:oMathPara>
              <m:oMath>
                <m:nary>
                  <m:naryPr>
                    <m:chr m:val="∑"/>
                    <m:limLoc m:val="undOvr"/>
                    <m:supHide m:val="on"/>
                    <m:ctrlPr>
                      <w:rPr>
                        <w:rFonts w:ascii="Cambria Math" w:hAnsi="Cambria Math"/>
                        <w:i/>
                        <w:sz w:val="20"/>
                      </w:rPr>
                    </m:ctrlPr>
                  </m:naryPr>
                  <m:sub>
                    <m:r>
                      <w:rPr>
                        <w:rFonts w:ascii="Cambria Math" w:hAnsi="Cambria Math"/>
                        <w:sz w:val="20"/>
                      </w:rPr>
                      <m:t>j∈NYCA</m:t>
                    </m:r>
                  </m:sub>
                  <m:sup/>
                  <m:e>
                    <m:sSubSup>
                      <m:sSubSupPr>
                        <m:ctrlPr>
                          <w:rPr>
                            <w:rFonts w:ascii="Cambria Math" w:hAnsi="Cambria Math"/>
                            <w:i/>
                            <w:sz w:val="20"/>
                          </w:rPr>
                        </m:ctrlPr>
                      </m:sSubSupPr>
                      <m:e>
                        <m:r>
                          <w:rPr>
                            <w:rFonts w:ascii="Cambria Math" w:hAnsi="Cambria Math"/>
                            <w:sz w:val="20"/>
                          </w:rPr>
                          <m:t>RTP</m:t>
                        </m:r>
                      </m:e>
                      <m:sub>
                        <m:r>
                          <w:rPr>
                            <w:rFonts w:ascii="Cambria Math" w:hAnsi="Cambria Math"/>
                            <w:sz w:val="20"/>
                          </w:rPr>
                          <m:t>j</m:t>
                        </m:r>
                      </m:sub>
                      <m:sup>
                        <m:r>
                          <w:rPr>
                            <w:rFonts w:ascii="Cambria Math" w:hAnsi="Cambria Math"/>
                            <w:sz w:val="20"/>
                          </w:rPr>
                          <m:t>act</m:t>
                        </m:r>
                      </m:sup>
                    </m:sSubSup>
                  </m:e>
                </m:nary>
              </m:oMath>
            </m:oMathPara>
          </w:p>
        </w:tc>
      </w:tr>
    </w:tbl>
    <w:p w:rsidR="00830EE2" w:rsidRDefault="0027704D"/>
    <w:p w:rsidR="00830EE2" w:rsidRDefault="00FD5D6F">
      <w:pPr>
        <w:spacing w:after="240"/>
        <w:ind w:firstLine="720"/>
        <w:jc w:val="both"/>
      </w:pPr>
      <m:oMath>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r>
          <w:rPr>
            <w:rFonts w:ascii="Cambria Math" w:hAnsi="Cambria Math"/>
          </w:rPr>
          <m:t xml:space="preserve"> </m:t>
        </m:r>
      </m:oMath>
      <w:r w:rsidR="0027704D">
        <w:t xml:space="preserve">shall be calculated as shown below. </w:t>
      </w:r>
    </w:p>
    <w:tbl>
      <w:tblPr>
        <w:tblStyle w:val="TableGrid"/>
        <w:tblW w:w="0" w:type="auto"/>
        <w:jc w:val="center"/>
        <w:tblBorders>
          <w:top w:val="nil"/>
          <w:left w:val="nil"/>
          <w:bottom w:val="nil"/>
          <w:right w:val="nil"/>
          <w:insideV w:val="nil"/>
        </w:tblBorders>
        <w:tblLook w:val="04A0"/>
      </w:tblPr>
      <w:tblGrid>
        <w:gridCol w:w="1207"/>
        <w:gridCol w:w="352"/>
        <w:gridCol w:w="1427"/>
      </w:tblGrid>
      <w:tr w:rsidR="00FD5D6F" w:rsidTr="00E63216">
        <w:trPr>
          <w:trHeight w:val="373"/>
          <w:jc w:val="center"/>
        </w:trPr>
        <w:tc>
          <w:tcPr>
            <w:tcW w:w="1207" w:type="dxa"/>
            <w:vMerge w:val="restart"/>
            <w:vAlign w:val="center"/>
          </w:tcPr>
          <w:p w:rsidR="00775910" w:rsidRDefault="00FD5D6F" w:rsidP="00775910">
            <w:pPr>
              <w:spacing w:after="240"/>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oMath>
            </m:oMathPara>
          </w:p>
        </w:tc>
        <w:tc>
          <w:tcPr>
            <w:tcW w:w="352" w:type="dxa"/>
            <w:vMerge w:val="restart"/>
            <w:vAlign w:val="center"/>
          </w:tcPr>
          <w:p w:rsidR="00775910" w:rsidRDefault="0027704D" w:rsidP="004F2021">
            <w:pPr>
              <w:spacing w:after="240"/>
              <w:jc w:val="center"/>
            </w:pPr>
            <w:r>
              <w:t>=</w:t>
            </w:r>
          </w:p>
        </w:tc>
        <w:tc>
          <w:tcPr>
            <w:tcW w:w="1427" w:type="dxa"/>
            <w:vAlign w:val="bottom"/>
          </w:tcPr>
          <w:p w:rsidR="00775910" w:rsidRDefault="00FD5D6F" w:rsidP="004F2021">
            <w:pPr>
              <w:spacing w:after="240"/>
              <w:jc w:val="center"/>
            </w:pPr>
            <m:oMathPara>
              <m:oMath>
                <m:sSubSup>
                  <m:sSubSupPr>
                    <m:ctrlPr>
                      <w:rPr>
                        <w:rFonts w:ascii="Cambria Math" w:hAnsi="Cambria Math"/>
                        <w:i/>
                        <w:sz w:val="22"/>
                      </w:rPr>
                    </m:ctrlPr>
                  </m:sSubSupPr>
                  <m:e>
                    <m:r>
                      <w:rPr>
                        <w:rFonts w:ascii="Cambria Math" w:hAnsi="Cambria Math"/>
                        <w:sz w:val="22"/>
                      </w:rPr>
                      <m:t>RTP</m:t>
                    </m:r>
                  </m:e>
                  <m:sub>
                    <m:r>
                      <w:rPr>
                        <w:rFonts w:ascii="Cambria Math" w:hAnsi="Cambria Math"/>
                        <w:sz w:val="22"/>
                      </w:rPr>
                      <m:t>c, L</m:t>
                    </m:r>
                  </m:sub>
                  <m:sup>
                    <m:r>
                      <w:rPr>
                        <w:rFonts w:ascii="Cambria Math" w:hAnsi="Cambria Math"/>
                        <w:sz w:val="22"/>
                      </w:rPr>
                      <m:t>act</m:t>
                    </m:r>
                  </m:sup>
                </m:sSubSup>
              </m:oMath>
            </m:oMathPara>
          </w:p>
        </w:tc>
      </w:tr>
      <w:tr w:rsidR="00FD5D6F" w:rsidTr="00E63216">
        <w:trPr>
          <w:trHeight w:val="105"/>
          <w:jc w:val="center"/>
        </w:trPr>
        <w:tc>
          <w:tcPr>
            <w:tcW w:w="1207" w:type="dxa"/>
            <w:vMerge/>
            <w:vAlign w:val="center"/>
          </w:tcPr>
          <w:p w:rsidR="00775910" w:rsidRDefault="0027704D" w:rsidP="004F2021">
            <w:pPr>
              <w:spacing w:after="240"/>
              <w:jc w:val="center"/>
            </w:pPr>
          </w:p>
        </w:tc>
        <w:tc>
          <w:tcPr>
            <w:tcW w:w="352" w:type="dxa"/>
            <w:vMerge/>
            <w:vAlign w:val="center"/>
          </w:tcPr>
          <w:p w:rsidR="00775910" w:rsidRDefault="0027704D" w:rsidP="004F2021">
            <w:pPr>
              <w:spacing w:after="240"/>
              <w:jc w:val="center"/>
            </w:pPr>
          </w:p>
        </w:tc>
        <w:tc>
          <w:tcPr>
            <w:tcW w:w="1427" w:type="dxa"/>
          </w:tcPr>
          <w:p w:rsidR="00775910" w:rsidRDefault="00FD5D6F" w:rsidP="00775910">
            <w:pPr>
              <w:spacing w:after="240"/>
              <w:jc w:val="both"/>
            </w:pPr>
            <m:oMathPara>
              <m:oMath>
                <m:nary>
                  <m:naryPr>
                    <m:chr m:val="∑"/>
                    <m:limLoc m:val="undOvr"/>
                    <m:supHide m:val="on"/>
                    <m:ctrlPr>
                      <w:rPr>
                        <w:rFonts w:ascii="Cambria Math" w:hAnsi="Cambria Math"/>
                        <w:i/>
                        <w:sz w:val="20"/>
                      </w:rPr>
                    </m:ctrlPr>
                  </m:naryPr>
                  <m:sub>
                    <m:r>
                      <w:rPr>
                        <w:rFonts w:ascii="Cambria Math" w:hAnsi="Cambria Math"/>
                        <w:sz w:val="20"/>
                      </w:rPr>
                      <m:t>d∈E</m:t>
                    </m:r>
                  </m:sub>
                  <m:sup/>
                  <m:e>
                    <m:sSubSup>
                      <m:sSubSupPr>
                        <m:ctrlPr>
                          <w:rPr>
                            <w:rFonts w:ascii="Cambria Math" w:hAnsi="Cambria Math"/>
                            <w:i/>
                            <w:sz w:val="20"/>
                          </w:rPr>
                        </m:ctrlPr>
                      </m:sSubSupPr>
                      <m:e>
                        <m:r>
                          <w:rPr>
                            <w:rFonts w:ascii="Cambria Math" w:hAnsi="Cambria Math"/>
                            <w:sz w:val="20"/>
                          </w:rPr>
                          <m:t>RTP</m:t>
                        </m:r>
                      </m:e>
                      <m:sub>
                        <m:r>
                          <w:rPr>
                            <w:rFonts w:ascii="Cambria Math" w:hAnsi="Cambria Math"/>
                            <w:sz w:val="20"/>
                          </w:rPr>
                          <m:t>d, L</m:t>
                        </m:r>
                      </m:sub>
                      <m:sup>
                        <m:r>
                          <w:rPr>
                            <w:rFonts w:ascii="Cambria Math" w:hAnsi="Cambria Math"/>
                            <w:sz w:val="20"/>
                          </w:rPr>
                          <m:t>act</m:t>
                        </m:r>
                      </m:sup>
                    </m:sSubSup>
                  </m:e>
                </m:nary>
              </m:oMath>
            </m:oMathPara>
          </w:p>
        </w:tc>
      </w:tr>
    </w:tbl>
    <w:p w:rsidR="00830EE2" w:rsidRDefault="0027704D" w:rsidP="00830EE2">
      <w:pPr>
        <w:pStyle w:val="Bodypara"/>
      </w:pPr>
      <w:r>
        <w:t>The residual BPCG payments not allocated to such Additional Resources according to the methodology described above shall be allocated to all Transmission Customers using the methods described in Section 6.1.7.2., of Rate Schedule 1</w:t>
      </w:r>
      <w:r>
        <w:t xml:space="preserve"> of the OATT.  The residual is determined</w:t>
      </w:r>
      <w:r w:rsidRPr="006568E7">
        <w:t xml:space="preserve"> </w:t>
      </w:r>
      <w:r>
        <w:t>according to:</w:t>
      </w:r>
    </w:p>
    <w:p w:rsidR="00E63216" w:rsidRDefault="00FD5D6F" w:rsidP="00830EE2">
      <w:pPr>
        <w:spacing w:after="240"/>
        <w:ind w:firstLine="720"/>
        <w:jc w:val="both"/>
      </w:pPr>
      <m:oMathPara>
        <m:oMath>
          <m:sSub>
            <m:sSubPr>
              <m:ctrlPr>
                <w:rPr>
                  <w:rFonts w:ascii="Cambria Math" w:hAnsi="Cambria Math"/>
                  <w:i/>
                </w:rPr>
              </m:ctrlPr>
            </m:sSubPr>
            <m:e>
              <m:r>
                <w:rPr>
                  <w:rFonts w:ascii="Cambria Math" w:hAnsi="Cambria Math"/>
                </w:rPr>
                <m:t>BPCG</m:t>
              </m:r>
            </m:e>
            <m:sub>
              <m:r>
                <w:rPr>
                  <w:rFonts w:ascii="Cambria Math" w:hAnsi="Cambria Math"/>
                </w:rPr>
                <m:t>NYCA</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c∈E</m:t>
              </m:r>
            </m:sub>
            <m:sup/>
            <m:e>
              <m:sSub>
                <m:sSubPr>
                  <m:ctrlPr>
                    <w:rPr>
                      <w:rFonts w:ascii="Cambria Math" w:hAnsi="Cambria Math"/>
                      <w:i/>
                    </w:rPr>
                  </m:ctrlPr>
                </m:sSubPr>
                <m:e>
                  <m:r>
                    <w:rPr>
                      <w:rFonts w:ascii="Cambria Math" w:hAnsi="Cambria Math"/>
                    </w:rPr>
                    <m:t>BPCG</m:t>
                  </m:r>
                </m:e>
                <m:sub>
                  <m:r>
                    <w:rPr>
                      <w:rFonts w:ascii="Cambria Math" w:hAnsi="Cambria Math"/>
                    </w:rPr>
                    <m:t>c</m:t>
                  </m:r>
                </m:sub>
              </m:sSub>
            </m:e>
          </m:nary>
        </m:oMath>
      </m:oMathPara>
    </w:p>
    <w:sectPr w:rsidR="00E63216" w:rsidSect="00830E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6F" w:rsidRDefault="00FD5D6F" w:rsidP="00FD5D6F">
      <w:r>
        <w:separator/>
      </w:r>
    </w:p>
  </w:endnote>
  <w:endnote w:type="continuationSeparator" w:id="0">
    <w:p w:rsidR="00FD5D6F" w:rsidRDefault="00FD5D6F" w:rsidP="00FD5D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FD5D6F">
      <w:rPr>
        <w:rFonts w:ascii="Arial" w:eastAsia="Arial" w:hAnsi="Arial" w:cs="Arial"/>
        <w:color w:val="000000"/>
        <w:sz w:val="16"/>
      </w:rPr>
      <w:fldChar w:fldCharType="begin"/>
    </w:r>
    <w:r>
      <w:rPr>
        <w:rFonts w:ascii="Arial" w:eastAsia="Arial" w:hAnsi="Arial" w:cs="Arial"/>
        <w:color w:val="000000"/>
        <w:sz w:val="16"/>
      </w:rPr>
      <w:instrText>PAGE</w:instrText>
    </w:r>
    <w:r w:rsidR="00FD5D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jc w:val="right"/>
      <w:rPr>
        <w:rFonts w:ascii="Arial" w:eastAsia="Arial" w:hAnsi="Arial" w:cs="Arial"/>
        <w:color w:val="000000"/>
        <w:sz w:val="16"/>
      </w:rPr>
    </w:pPr>
    <w:r>
      <w:rPr>
        <w:rFonts w:ascii="Arial" w:eastAsia="Arial" w:hAnsi="Arial" w:cs="Arial"/>
        <w:color w:val="000000"/>
        <w:sz w:val="16"/>
      </w:rPr>
      <w:t>Effective Date: 9/30/2010 - Docket #: ER10-1866</w:t>
    </w:r>
    <w:r>
      <w:rPr>
        <w:rFonts w:ascii="Arial" w:eastAsia="Arial" w:hAnsi="Arial" w:cs="Arial"/>
        <w:color w:val="000000"/>
        <w:sz w:val="16"/>
      </w:rPr>
      <w:t xml:space="preserve">-001 - Page </w:t>
    </w:r>
    <w:r w:rsidR="00FD5D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5D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FD5D6F">
      <w:rPr>
        <w:rFonts w:ascii="Arial" w:eastAsia="Arial" w:hAnsi="Arial" w:cs="Arial"/>
        <w:color w:val="000000"/>
        <w:sz w:val="16"/>
      </w:rPr>
      <w:fldChar w:fldCharType="begin"/>
    </w:r>
    <w:r>
      <w:rPr>
        <w:rFonts w:ascii="Arial" w:eastAsia="Arial" w:hAnsi="Arial" w:cs="Arial"/>
        <w:color w:val="000000"/>
        <w:sz w:val="16"/>
      </w:rPr>
      <w:instrText>PAGE</w:instrText>
    </w:r>
    <w:r w:rsidR="00FD5D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6F" w:rsidRDefault="00FD5D6F" w:rsidP="00FD5D6F">
      <w:r>
        <w:separator/>
      </w:r>
    </w:p>
  </w:footnote>
  <w:footnote w:type="continuationSeparator" w:id="0">
    <w:p w:rsidR="00FD5D6F" w:rsidRDefault="00FD5D6F" w:rsidP="00FD5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w:t>
    </w:r>
    <w:r>
      <w:rPr>
        <w:rFonts w:ascii="Arial" w:eastAsia="Arial" w:hAnsi="Arial" w:cs="Arial"/>
        <w:color w:val="000000"/>
        <w:sz w:val="16"/>
      </w:rPr>
      <w:t>ethodology For Sched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F" w:rsidRDefault="0027704D">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50FCAA"/>
    <w:lvl w:ilvl="0">
      <w:start w:val="1"/>
      <w:numFmt w:val="decimal"/>
      <w:lvlText w:val="%1."/>
      <w:lvlJc w:val="left"/>
      <w:pPr>
        <w:tabs>
          <w:tab w:val="num" w:pos="1800"/>
        </w:tabs>
        <w:ind w:left="1800" w:hanging="360"/>
      </w:pPr>
    </w:lvl>
  </w:abstractNum>
  <w:abstractNum w:abstractNumId="1">
    <w:nsid w:val="FFFFFF7D"/>
    <w:multiLevelType w:val="singleLevel"/>
    <w:tmpl w:val="93D4972C"/>
    <w:lvl w:ilvl="0">
      <w:start w:val="1"/>
      <w:numFmt w:val="decimal"/>
      <w:lvlText w:val="%1."/>
      <w:lvlJc w:val="left"/>
      <w:pPr>
        <w:tabs>
          <w:tab w:val="num" w:pos="1440"/>
        </w:tabs>
        <w:ind w:left="1440" w:hanging="360"/>
      </w:pPr>
    </w:lvl>
  </w:abstractNum>
  <w:abstractNum w:abstractNumId="2">
    <w:nsid w:val="FFFFFF7E"/>
    <w:multiLevelType w:val="singleLevel"/>
    <w:tmpl w:val="6E1EFBAA"/>
    <w:lvl w:ilvl="0">
      <w:start w:val="1"/>
      <w:numFmt w:val="decimal"/>
      <w:lvlText w:val="%1."/>
      <w:lvlJc w:val="left"/>
      <w:pPr>
        <w:tabs>
          <w:tab w:val="num" w:pos="1080"/>
        </w:tabs>
        <w:ind w:left="1080" w:hanging="360"/>
      </w:pPr>
    </w:lvl>
  </w:abstractNum>
  <w:abstractNum w:abstractNumId="3">
    <w:nsid w:val="FFFFFF7F"/>
    <w:multiLevelType w:val="singleLevel"/>
    <w:tmpl w:val="FD6845D2"/>
    <w:lvl w:ilvl="0">
      <w:start w:val="1"/>
      <w:numFmt w:val="decimal"/>
      <w:lvlText w:val="%1."/>
      <w:lvlJc w:val="left"/>
      <w:pPr>
        <w:tabs>
          <w:tab w:val="num" w:pos="720"/>
        </w:tabs>
        <w:ind w:left="720" w:hanging="360"/>
      </w:pPr>
    </w:lvl>
  </w:abstractNum>
  <w:abstractNum w:abstractNumId="4">
    <w:nsid w:val="FFFFFF80"/>
    <w:multiLevelType w:val="singleLevel"/>
    <w:tmpl w:val="3F62F8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62F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606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8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E42FEC"/>
    <w:lvl w:ilvl="0">
      <w:start w:val="1"/>
      <w:numFmt w:val="decimal"/>
      <w:lvlText w:val="%1."/>
      <w:lvlJc w:val="left"/>
      <w:pPr>
        <w:tabs>
          <w:tab w:val="num" w:pos="360"/>
        </w:tabs>
        <w:ind w:left="360" w:hanging="360"/>
      </w:pPr>
    </w:lvl>
  </w:abstractNum>
  <w:abstractNum w:abstractNumId="9">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775374A"/>
    <w:multiLevelType w:val="hybridMultilevel"/>
    <w:tmpl w:val="F5EC19CC"/>
    <w:lvl w:ilvl="0" w:tplc="4246CB5A">
      <w:start w:val="1"/>
      <w:numFmt w:val="bullet"/>
      <w:pStyle w:val="Bulletpara"/>
      <w:lvlText w:val=""/>
      <w:lvlJc w:val="left"/>
      <w:pPr>
        <w:tabs>
          <w:tab w:val="num" w:pos="720"/>
        </w:tabs>
        <w:ind w:left="720" w:hanging="360"/>
      </w:pPr>
      <w:rPr>
        <w:rFonts w:ascii="Symbol" w:hAnsi="Symbol" w:hint="default"/>
      </w:rPr>
    </w:lvl>
    <w:lvl w:ilvl="1" w:tplc="AF3635A8" w:tentative="1">
      <w:start w:val="1"/>
      <w:numFmt w:val="bullet"/>
      <w:lvlText w:val="o"/>
      <w:lvlJc w:val="left"/>
      <w:pPr>
        <w:tabs>
          <w:tab w:val="num" w:pos="1440"/>
        </w:tabs>
        <w:ind w:left="1440" w:hanging="360"/>
      </w:pPr>
      <w:rPr>
        <w:rFonts w:ascii="Courier New" w:hAnsi="Courier New" w:cs="Courier New" w:hint="default"/>
      </w:rPr>
    </w:lvl>
    <w:lvl w:ilvl="2" w:tplc="B9740F62" w:tentative="1">
      <w:start w:val="1"/>
      <w:numFmt w:val="bullet"/>
      <w:lvlText w:val=""/>
      <w:lvlJc w:val="left"/>
      <w:pPr>
        <w:tabs>
          <w:tab w:val="num" w:pos="2160"/>
        </w:tabs>
        <w:ind w:left="2160" w:hanging="360"/>
      </w:pPr>
      <w:rPr>
        <w:rFonts w:ascii="Wingdings" w:hAnsi="Wingdings" w:hint="default"/>
      </w:rPr>
    </w:lvl>
    <w:lvl w:ilvl="3" w:tplc="6C8CD798" w:tentative="1">
      <w:start w:val="1"/>
      <w:numFmt w:val="bullet"/>
      <w:lvlText w:val=""/>
      <w:lvlJc w:val="left"/>
      <w:pPr>
        <w:tabs>
          <w:tab w:val="num" w:pos="2880"/>
        </w:tabs>
        <w:ind w:left="2880" w:hanging="360"/>
      </w:pPr>
      <w:rPr>
        <w:rFonts w:ascii="Symbol" w:hAnsi="Symbol" w:hint="default"/>
      </w:rPr>
    </w:lvl>
    <w:lvl w:ilvl="4" w:tplc="7CE4928C" w:tentative="1">
      <w:start w:val="1"/>
      <w:numFmt w:val="bullet"/>
      <w:lvlText w:val="o"/>
      <w:lvlJc w:val="left"/>
      <w:pPr>
        <w:tabs>
          <w:tab w:val="num" w:pos="3600"/>
        </w:tabs>
        <w:ind w:left="3600" w:hanging="360"/>
      </w:pPr>
      <w:rPr>
        <w:rFonts w:ascii="Courier New" w:hAnsi="Courier New" w:cs="Courier New" w:hint="default"/>
      </w:rPr>
    </w:lvl>
    <w:lvl w:ilvl="5" w:tplc="804C8402" w:tentative="1">
      <w:start w:val="1"/>
      <w:numFmt w:val="bullet"/>
      <w:lvlText w:val=""/>
      <w:lvlJc w:val="left"/>
      <w:pPr>
        <w:tabs>
          <w:tab w:val="num" w:pos="4320"/>
        </w:tabs>
        <w:ind w:left="4320" w:hanging="360"/>
      </w:pPr>
      <w:rPr>
        <w:rFonts w:ascii="Wingdings" w:hAnsi="Wingdings" w:hint="default"/>
      </w:rPr>
    </w:lvl>
    <w:lvl w:ilvl="6" w:tplc="A7C842CE" w:tentative="1">
      <w:start w:val="1"/>
      <w:numFmt w:val="bullet"/>
      <w:lvlText w:val=""/>
      <w:lvlJc w:val="left"/>
      <w:pPr>
        <w:tabs>
          <w:tab w:val="num" w:pos="5040"/>
        </w:tabs>
        <w:ind w:left="5040" w:hanging="360"/>
      </w:pPr>
      <w:rPr>
        <w:rFonts w:ascii="Symbol" w:hAnsi="Symbol" w:hint="default"/>
      </w:rPr>
    </w:lvl>
    <w:lvl w:ilvl="7" w:tplc="3838150E" w:tentative="1">
      <w:start w:val="1"/>
      <w:numFmt w:val="bullet"/>
      <w:lvlText w:val="o"/>
      <w:lvlJc w:val="left"/>
      <w:pPr>
        <w:tabs>
          <w:tab w:val="num" w:pos="5760"/>
        </w:tabs>
        <w:ind w:left="5760" w:hanging="360"/>
      </w:pPr>
      <w:rPr>
        <w:rFonts w:ascii="Courier New" w:hAnsi="Courier New" w:cs="Courier New" w:hint="default"/>
      </w:rPr>
    </w:lvl>
    <w:lvl w:ilvl="8" w:tplc="2D903C30" w:tentative="1">
      <w:start w:val="1"/>
      <w:numFmt w:val="bullet"/>
      <w:lvlText w:val=""/>
      <w:lvlJc w:val="left"/>
      <w:pPr>
        <w:tabs>
          <w:tab w:val="num" w:pos="6480"/>
        </w:tabs>
        <w:ind w:left="6480" w:hanging="360"/>
      </w:pPr>
      <w:rPr>
        <w:rFonts w:ascii="Wingdings" w:hAnsi="Wingdings" w:hint="default"/>
      </w:rPr>
    </w:lvl>
  </w:abstractNum>
  <w:abstractNum w:abstractNumId="13">
    <w:nsid w:val="28F03D66"/>
    <w:multiLevelType w:val="hybridMultilevel"/>
    <w:tmpl w:val="7A8AA0A2"/>
    <w:lvl w:ilvl="0" w:tplc="7FCE7DFA">
      <w:start w:val="1"/>
      <w:numFmt w:val="bullet"/>
      <w:lvlText w:val="­"/>
      <w:lvlJc w:val="left"/>
      <w:pPr>
        <w:tabs>
          <w:tab w:val="num" w:pos="720"/>
        </w:tabs>
        <w:ind w:left="720" w:hanging="360"/>
      </w:pPr>
      <w:rPr>
        <w:rFonts w:ascii="Courier New" w:hAnsi="Courier New" w:hint="default"/>
      </w:rPr>
    </w:lvl>
    <w:lvl w:ilvl="1" w:tplc="84F40C9C" w:tentative="1">
      <w:start w:val="1"/>
      <w:numFmt w:val="bullet"/>
      <w:lvlText w:val="o"/>
      <w:lvlJc w:val="left"/>
      <w:pPr>
        <w:tabs>
          <w:tab w:val="num" w:pos="1440"/>
        </w:tabs>
        <w:ind w:left="1440" w:hanging="360"/>
      </w:pPr>
      <w:rPr>
        <w:rFonts w:ascii="Courier New" w:hAnsi="Courier New" w:cs="Courier New" w:hint="default"/>
      </w:rPr>
    </w:lvl>
    <w:lvl w:ilvl="2" w:tplc="F6AA5FF8" w:tentative="1">
      <w:start w:val="1"/>
      <w:numFmt w:val="bullet"/>
      <w:lvlText w:val=""/>
      <w:lvlJc w:val="left"/>
      <w:pPr>
        <w:tabs>
          <w:tab w:val="num" w:pos="2160"/>
        </w:tabs>
        <w:ind w:left="2160" w:hanging="360"/>
      </w:pPr>
      <w:rPr>
        <w:rFonts w:ascii="Wingdings" w:hAnsi="Wingdings" w:hint="default"/>
      </w:rPr>
    </w:lvl>
    <w:lvl w:ilvl="3" w:tplc="37342350" w:tentative="1">
      <w:start w:val="1"/>
      <w:numFmt w:val="bullet"/>
      <w:lvlText w:val=""/>
      <w:lvlJc w:val="left"/>
      <w:pPr>
        <w:tabs>
          <w:tab w:val="num" w:pos="2880"/>
        </w:tabs>
        <w:ind w:left="2880" w:hanging="360"/>
      </w:pPr>
      <w:rPr>
        <w:rFonts w:ascii="Symbol" w:hAnsi="Symbol" w:hint="default"/>
      </w:rPr>
    </w:lvl>
    <w:lvl w:ilvl="4" w:tplc="183E7374" w:tentative="1">
      <w:start w:val="1"/>
      <w:numFmt w:val="bullet"/>
      <w:lvlText w:val="o"/>
      <w:lvlJc w:val="left"/>
      <w:pPr>
        <w:tabs>
          <w:tab w:val="num" w:pos="3600"/>
        </w:tabs>
        <w:ind w:left="3600" w:hanging="360"/>
      </w:pPr>
      <w:rPr>
        <w:rFonts w:ascii="Courier New" w:hAnsi="Courier New" w:cs="Courier New" w:hint="default"/>
      </w:rPr>
    </w:lvl>
    <w:lvl w:ilvl="5" w:tplc="8EBC2C28" w:tentative="1">
      <w:start w:val="1"/>
      <w:numFmt w:val="bullet"/>
      <w:lvlText w:val=""/>
      <w:lvlJc w:val="left"/>
      <w:pPr>
        <w:tabs>
          <w:tab w:val="num" w:pos="4320"/>
        </w:tabs>
        <w:ind w:left="4320" w:hanging="360"/>
      </w:pPr>
      <w:rPr>
        <w:rFonts w:ascii="Wingdings" w:hAnsi="Wingdings" w:hint="default"/>
      </w:rPr>
    </w:lvl>
    <w:lvl w:ilvl="6" w:tplc="86C80952" w:tentative="1">
      <w:start w:val="1"/>
      <w:numFmt w:val="bullet"/>
      <w:lvlText w:val=""/>
      <w:lvlJc w:val="left"/>
      <w:pPr>
        <w:tabs>
          <w:tab w:val="num" w:pos="5040"/>
        </w:tabs>
        <w:ind w:left="5040" w:hanging="360"/>
      </w:pPr>
      <w:rPr>
        <w:rFonts w:ascii="Symbol" w:hAnsi="Symbol" w:hint="default"/>
      </w:rPr>
    </w:lvl>
    <w:lvl w:ilvl="7" w:tplc="0308A756" w:tentative="1">
      <w:start w:val="1"/>
      <w:numFmt w:val="bullet"/>
      <w:lvlText w:val="o"/>
      <w:lvlJc w:val="left"/>
      <w:pPr>
        <w:tabs>
          <w:tab w:val="num" w:pos="5760"/>
        </w:tabs>
        <w:ind w:left="5760" w:hanging="360"/>
      </w:pPr>
      <w:rPr>
        <w:rFonts w:ascii="Courier New" w:hAnsi="Courier New" w:cs="Courier New" w:hint="default"/>
      </w:rPr>
    </w:lvl>
    <w:lvl w:ilvl="8" w:tplc="F712382E" w:tentative="1">
      <w:start w:val="1"/>
      <w:numFmt w:val="bullet"/>
      <w:lvlText w:val=""/>
      <w:lvlJc w:val="left"/>
      <w:pPr>
        <w:tabs>
          <w:tab w:val="num" w:pos="6480"/>
        </w:tabs>
        <w:ind w:left="6480" w:hanging="360"/>
      </w:pPr>
      <w:rPr>
        <w:rFonts w:ascii="Wingdings" w:hAnsi="Wingdings" w:hint="default"/>
      </w:rPr>
    </w:lvl>
  </w:abstractNum>
  <w:abstractNum w:abstractNumId="14">
    <w:nsid w:val="372A749B"/>
    <w:multiLevelType w:val="hybridMultilevel"/>
    <w:tmpl w:val="EBD879C0"/>
    <w:lvl w:ilvl="0" w:tplc="4B86DC10">
      <w:start w:val="1"/>
      <w:numFmt w:val="lowerRoman"/>
      <w:lvlText w:val="(%1)"/>
      <w:lvlJc w:val="left"/>
      <w:pPr>
        <w:tabs>
          <w:tab w:val="num" w:pos="2448"/>
        </w:tabs>
        <w:ind w:left="2448" w:hanging="648"/>
      </w:pPr>
      <w:rPr>
        <w:rFonts w:hint="default"/>
        <w:b w:val="0"/>
        <w:i w:val="0"/>
        <w:u w:val="none"/>
      </w:rPr>
    </w:lvl>
    <w:lvl w:ilvl="1" w:tplc="D6A8839E" w:tentative="1">
      <w:start w:val="1"/>
      <w:numFmt w:val="lowerLetter"/>
      <w:lvlText w:val="%2."/>
      <w:lvlJc w:val="left"/>
      <w:pPr>
        <w:tabs>
          <w:tab w:val="num" w:pos="1440"/>
        </w:tabs>
        <w:ind w:left="1440" w:hanging="360"/>
      </w:pPr>
    </w:lvl>
    <w:lvl w:ilvl="2" w:tplc="BB009956" w:tentative="1">
      <w:start w:val="1"/>
      <w:numFmt w:val="lowerRoman"/>
      <w:lvlText w:val="%3."/>
      <w:lvlJc w:val="right"/>
      <w:pPr>
        <w:tabs>
          <w:tab w:val="num" w:pos="2160"/>
        </w:tabs>
        <w:ind w:left="2160" w:hanging="180"/>
      </w:pPr>
    </w:lvl>
    <w:lvl w:ilvl="3" w:tplc="F5BEFEA0" w:tentative="1">
      <w:start w:val="1"/>
      <w:numFmt w:val="decimal"/>
      <w:lvlText w:val="%4."/>
      <w:lvlJc w:val="left"/>
      <w:pPr>
        <w:tabs>
          <w:tab w:val="num" w:pos="2880"/>
        </w:tabs>
        <w:ind w:left="2880" w:hanging="360"/>
      </w:pPr>
    </w:lvl>
    <w:lvl w:ilvl="4" w:tplc="E76E07C4" w:tentative="1">
      <w:start w:val="1"/>
      <w:numFmt w:val="lowerLetter"/>
      <w:lvlText w:val="%5."/>
      <w:lvlJc w:val="left"/>
      <w:pPr>
        <w:tabs>
          <w:tab w:val="num" w:pos="3600"/>
        </w:tabs>
        <w:ind w:left="3600" w:hanging="360"/>
      </w:pPr>
    </w:lvl>
    <w:lvl w:ilvl="5" w:tplc="49C8DCE0" w:tentative="1">
      <w:start w:val="1"/>
      <w:numFmt w:val="lowerRoman"/>
      <w:lvlText w:val="%6."/>
      <w:lvlJc w:val="right"/>
      <w:pPr>
        <w:tabs>
          <w:tab w:val="num" w:pos="4320"/>
        </w:tabs>
        <w:ind w:left="4320" w:hanging="180"/>
      </w:pPr>
    </w:lvl>
    <w:lvl w:ilvl="6" w:tplc="1D3E5222" w:tentative="1">
      <w:start w:val="1"/>
      <w:numFmt w:val="decimal"/>
      <w:lvlText w:val="%7."/>
      <w:lvlJc w:val="left"/>
      <w:pPr>
        <w:tabs>
          <w:tab w:val="num" w:pos="5040"/>
        </w:tabs>
        <w:ind w:left="5040" w:hanging="360"/>
      </w:pPr>
    </w:lvl>
    <w:lvl w:ilvl="7" w:tplc="7514F502" w:tentative="1">
      <w:start w:val="1"/>
      <w:numFmt w:val="lowerLetter"/>
      <w:lvlText w:val="%8."/>
      <w:lvlJc w:val="left"/>
      <w:pPr>
        <w:tabs>
          <w:tab w:val="num" w:pos="5760"/>
        </w:tabs>
        <w:ind w:left="5760" w:hanging="360"/>
      </w:pPr>
    </w:lvl>
    <w:lvl w:ilvl="8" w:tplc="0492BFC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71739E9"/>
    <w:multiLevelType w:val="hybridMultilevel"/>
    <w:tmpl w:val="B29C98A0"/>
    <w:lvl w:ilvl="0" w:tplc="A9C0B312">
      <w:start w:val="1"/>
      <w:numFmt w:val="bullet"/>
      <w:lvlText w:val=""/>
      <w:lvlJc w:val="left"/>
      <w:pPr>
        <w:tabs>
          <w:tab w:val="num" w:pos="5760"/>
        </w:tabs>
        <w:ind w:left="5760" w:hanging="360"/>
      </w:pPr>
      <w:rPr>
        <w:rFonts w:ascii="Symbol" w:hAnsi="Symbol" w:hint="default"/>
        <w:color w:val="auto"/>
        <w:u w:val="none"/>
      </w:rPr>
    </w:lvl>
    <w:lvl w:ilvl="1" w:tplc="5C6E5E2A" w:tentative="1">
      <w:start w:val="1"/>
      <w:numFmt w:val="bullet"/>
      <w:lvlText w:val="o"/>
      <w:lvlJc w:val="left"/>
      <w:pPr>
        <w:tabs>
          <w:tab w:val="num" w:pos="3600"/>
        </w:tabs>
        <w:ind w:left="3600" w:hanging="360"/>
      </w:pPr>
      <w:rPr>
        <w:rFonts w:ascii="Courier New" w:hAnsi="Courier New" w:hint="default"/>
      </w:rPr>
    </w:lvl>
    <w:lvl w:ilvl="2" w:tplc="02586512" w:tentative="1">
      <w:start w:val="1"/>
      <w:numFmt w:val="bullet"/>
      <w:lvlText w:val=""/>
      <w:lvlJc w:val="left"/>
      <w:pPr>
        <w:tabs>
          <w:tab w:val="num" w:pos="4320"/>
        </w:tabs>
        <w:ind w:left="4320" w:hanging="360"/>
      </w:pPr>
      <w:rPr>
        <w:rFonts w:ascii="Wingdings" w:hAnsi="Wingdings" w:hint="default"/>
      </w:rPr>
    </w:lvl>
    <w:lvl w:ilvl="3" w:tplc="02AE0D9E">
      <w:start w:val="1"/>
      <w:numFmt w:val="bullet"/>
      <w:lvlText w:val=""/>
      <w:lvlJc w:val="left"/>
      <w:pPr>
        <w:tabs>
          <w:tab w:val="num" w:pos="5040"/>
        </w:tabs>
        <w:ind w:left="5040" w:hanging="360"/>
      </w:pPr>
      <w:rPr>
        <w:rFonts w:ascii="Symbol" w:hAnsi="Symbol" w:hint="default"/>
      </w:rPr>
    </w:lvl>
    <w:lvl w:ilvl="4" w:tplc="BCA2280E" w:tentative="1">
      <w:start w:val="1"/>
      <w:numFmt w:val="bullet"/>
      <w:lvlText w:val="o"/>
      <w:lvlJc w:val="left"/>
      <w:pPr>
        <w:tabs>
          <w:tab w:val="num" w:pos="5760"/>
        </w:tabs>
        <w:ind w:left="5760" w:hanging="360"/>
      </w:pPr>
      <w:rPr>
        <w:rFonts w:ascii="Courier New" w:hAnsi="Courier New" w:hint="default"/>
      </w:rPr>
    </w:lvl>
    <w:lvl w:ilvl="5" w:tplc="EF2270B6" w:tentative="1">
      <w:start w:val="1"/>
      <w:numFmt w:val="bullet"/>
      <w:lvlText w:val=""/>
      <w:lvlJc w:val="left"/>
      <w:pPr>
        <w:tabs>
          <w:tab w:val="num" w:pos="6480"/>
        </w:tabs>
        <w:ind w:left="6480" w:hanging="360"/>
      </w:pPr>
      <w:rPr>
        <w:rFonts w:ascii="Wingdings" w:hAnsi="Wingdings" w:hint="default"/>
      </w:rPr>
    </w:lvl>
    <w:lvl w:ilvl="6" w:tplc="67FE14CC" w:tentative="1">
      <w:start w:val="1"/>
      <w:numFmt w:val="bullet"/>
      <w:lvlText w:val=""/>
      <w:lvlJc w:val="left"/>
      <w:pPr>
        <w:tabs>
          <w:tab w:val="num" w:pos="7200"/>
        </w:tabs>
        <w:ind w:left="7200" w:hanging="360"/>
      </w:pPr>
      <w:rPr>
        <w:rFonts w:ascii="Symbol" w:hAnsi="Symbol" w:hint="default"/>
      </w:rPr>
    </w:lvl>
    <w:lvl w:ilvl="7" w:tplc="3556AA9C" w:tentative="1">
      <w:start w:val="1"/>
      <w:numFmt w:val="bullet"/>
      <w:lvlText w:val="o"/>
      <w:lvlJc w:val="left"/>
      <w:pPr>
        <w:tabs>
          <w:tab w:val="num" w:pos="7920"/>
        </w:tabs>
        <w:ind w:left="7920" w:hanging="360"/>
      </w:pPr>
      <w:rPr>
        <w:rFonts w:ascii="Courier New" w:hAnsi="Courier New" w:hint="default"/>
      </w:rPr>
    </w:lvl>
    <w:lvl w:ilvl="8" w:tplc="8C02953E"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6"/>
  </w:num>
  <w:num w:numId="15">
    <w:abstractNumId w:val="17"/>
  </w:num>
  <w:num w:numId="16">
    <w:abstractNumId w:val="22"/>
  </w:num>
  <w:num w:numId="17">
    <w:abstractNumId w:val="15"/>
  </w:num>
  <w:num w:numId="18">
    <w:abstractNumId w:val="23"/>
  </w:num>
  <w:num w:numId="19">
    <w:abstractNumId w:val="20"/>
  </w:num>
  <w:num w:numId="20">
    <w:abstractNumId w:val="19"/>
  </w:num>
  <w:num w:numId="21">
    <w:abstractNumId w:val="18"/>
  </w:num>
  <w:num w:numId="22">
    <w:abstractNumId w:val="12"/>
  </w:num>
  <w:num w:numId="23">
    <w:abstractNumId w:val="14"/>
  </w:num>
  <w:num w:numId="24">
    <w:abstractNumId w:val="21"/>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FD5D6F"/>
    <w:rsid w:val="0027704D"/>
    <w:rsid w:val="00FD5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AA0"/>
    <w:pPr>
      <w:widowControl w:val="0"/>
    </w:pPr>
    <w:rPr>
      <w:snapToGrid w:val="0"/>
      <w:sz w:val="24"/>
    </w:rPr>
  </w:style>
  <w:style w:type="paragraph" w:styleId="Heading1">
    <w:name w:val="heading 1"/>
    <w:basedOn w:val="Normal"/>
    <w:next w:val="Normal"/>
    <w:link w:val="Heading1Char"/>
    <w:qFormat/>
    <w:rsid w:val="00AC7AA0"/>
    <w:pPr>
      <w:keepNext/>
      <w:spacing w:before="240" w:after="240"/>
      <w:ind w:left="720" w:hanging="720"/>
      <w:outlineLvl w:val="0"/>
    </w:pPr>
    <w:rPr>
      <w:b/>
    </w:rPr>
  </w:style>
  <w:style w:type="paragraph" w:styleId="Heading2">
    <w:name w:val="heading 2"/>
    <w:basedOn w:val="Normal"/>
    <w:next w:val="Normal"/>
    <w:qFormat/>
    <w:rsid w:val="00AC7AA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C7AA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C7AA0"/>
    <w:pPr>
      <w:keepNext/>
      <w:tabs>
        <w:tab w:val="left" w:pos="1800"/>
      </w:tabs>
      <w:spacing w:before="240" w:after="240"/>
      <w:ind w:left="1800" w:hanging="1080"/>
      <w:outlineLvl w:val="3"/>
    </w:pPr>
    <w:rPr>
      <w:b/>
    </w:rPr>
  </w:style>
  <w:style w:type="paragraph" w:styleId="Heading5">
    <w:name w:val="heading 5"/>
    <w:basedOn w:val="Normal"/>
    <w:next w:val="Normal"/>
    <w:qFormat/>
    <w:rsid w:val="00AC7AA0"/>
    <w:pPr>
      <w:keepNext/>
      <w:spacing w:line="480" w:lineRule="auto"/>
      <w:ind w:left="1440" w:right="-90" w:hanging="720"/>
      <w:outlineLvl w:val="4"/>
    </w:pPr>
    <w:rPr>
      <w:b/>
    </w:rPr>
  </w:style>
  <w:style w:type="paragraph" w:styleId="Heading6">
    <w:name w:val="heading 6"/>
    <w:basedOn w:val="Normal"/>
    <w:next w:val="Normal"/>
    <w:qFormat/>
    <w:rsid w:val="00AC7AA0"/>
    <w:pPr>
      <w:keepNext/>
      <w:spacing w:line="480" w:lineRule="auto"/>
      <w:ind w:left="1080" w:right="-90" w:hanging="360"/>
      <w:outlineLvl w:val="5"/>
    </w:pPr>
    <w:rPr>
      <w:b/>
    </w:rPr>
  </w:style>
  <w:style w:type="paragraph" w:styleId="Heading7">
    <w:name w:val="heading 7"/>
    <w:basedOn w:val="Normal"/>
    <w:next w:val="Normal"/>
    <w:qFormat/>
    <w:rsid w:val="00AC7AA0"/>
    <w:pPr>
      <w:keepNext/>
      <w:spacing w:line="480" w:lineRule="auto"/>
      <w:ind w:left="720" w:right="630"/>
      <w:outlineLvl w:val="6"/>
    </w:pPr>
    <w:rPr>
      <w:b/>
    </w:rPr>
  </w:style>
  <w:style w:type="paragraph" w:styleId="Heading8">
    <w:name w:val="heading 8"/>
    <w:basedOn w:val="Normal"/>
    <w:next w:val="Normal"/>
    <w:qFormat/>
    <w:rsid w:val="00AC7AA0"/>
    <w:pPr>
      <w:keepNext/>
      <w:spacing w:line="480" w:lineRule="auto"/>
      <w:ind w:left="720" w:right="-90"/>
      <w:outlineLvl w:val="7"/>
    </w:pPr>
    <w:rPr>
      <w:b/>
    </w:rPr>
  </w:style>
  <w:style w:type="paragraph" w:styleId="Heading9">
    <w:name w:val="heading 9"/>
    <w:basedOn w:val="Normal"/>
    <w:next w:val="Normal"/>
    <w:qFormat/>
    <w:rsid w:val="00AC7AA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C7AA0"/>
    <w:rPr>
      <w:b/>
      <w:snapToGrid w:val="0"/>
      <w:sz w:val="24"/>
      <w:lang w:val="en-US" w:eastAsia="en-US" w:bidi="ar-SA"/>
    </w:rPr>
  </w:style>
  <w:style w:type="character" w:styleId="FootnoteReference">
    <w:name w:val="footnote reference"/>
    <w:semiHidden/>
    <w:rsid w:val="00AC7AA0"/>
  </w:style>
  <w:style w:type="paragraph" w:customStyle="1" w:styleId="a">
    <w:name w:val="_"/>
    <w:basedOn w:val="Normal"/>
    <w:rsid w:val="00AC7AA0"/>
    <w:pPr>
      <w:ind w:left="1800" w:hanging="630"/>
    </w:pPr>
  </w:style>
  <w:style w:type="paragraph" w:styleId="BlockText">
    <w:name w:val="Block Text"/>
    <w:basedOn w:val="Normal"/>
    <w:rsid w:val="00535296"/>
    <w:pPr>
      <w:spacing w:after="120"/>
      <w:ind w:left="1440" w:right="1440"/>
    </w:pPr>
  </w:style>
  <w:style w:type="paragraph" w:styleId="Caption">
    <w:name w:val="caption"/>
    <w:basedOn w:val="Normal"/>
    <w:next w:val="Normal"/>
    <w:qFormat/>
    <w:rsid w:val="00535296"/>
    <w:pPr>
      <w:spacing w:before="120" w:after="120"/>
    </w:pPr>
    <w:rPr>
      <w:b/>
      <w:bCs/>
      <w:sz w:val="20"/>
    </w:rPr>
  </w:style>
  <w:style w:type="paragraph" w:styleId="CommentText">
    <w:name w:val="annotation text"/>
    <w:basedOn w:val="Normal"/>
    <w:link w:val="CommentTextChar"/>
    <w:semiHidden/>
    <w:rsid w:val="00AC7AA0"/>
    <w:rPr>
      <w:sz w:val="20"/>
    </w:rPr>
  </w:style>
  <w:style w:type="paragraph" w:styleId="DocumentMap">
    <w:name w:val="Document Map"/>
    <w:basedOn w:val="Normal"/>
    <w:semiHidden/>
    <w:rsid w:val="00AC7AA0"/>
    <w:pPr>
      <w:shd w:val="clear" w:color="auto" w:fill="000080"/>
    </w:pPr>
    <w:rPr>
      <w:rFonts w:ascii="Tahoma" w:hAnsi="Tahoma" w:cs="Tahoma"/>
      <w:sz w:val="20"/>
    </w:rPr>
  </w:style>
  <w:style w:type="paragraph" w:styleId="EndnoteText">
    <w:name w:val="endnote text"/>
    <w:basedOn w:val="Normal"/>
    <w:semiHidden/>
    <w:rsid w:val="00535296"/>
    <w:rPr>
      <w:sz w:val="20"/>
    </w:rPr>
  </w:style>
  <w:style w:type="paragraph" w:styleId="FootnoteText">
    <w:name w:val="footnote text"/>
    <w:basedOn w:val="Normal"/>
    <w:semiHidden/>
    <w:rsid w:val="00535296"/>
    <w:rPr>
      <w:sz w:val="20"/>
    </w:rPr>
  </w:style>
  <w:style w:type="paragraph" w:styleId="Index1">
    <w:name w:val="index 1"/>
    <w:basedOn w:val="Normal"/>
    <w:next w:val="Normal"/>
    <w:semiHidden/>
    <w:rsid w:val="00535296"/>
    <w:pPr>
      <w:ind w:left="240" w:hanging="240"/>
    </w:pPr>
  </w:style>
  <w:style w:type="paragraph" w:styleId="Index2">
    <w:name w:val="index 2"/>
    <w:basedOn w:val="Normal"/>
    <w:next w:val="Normal"/>
    <w:semiHidden/>
    <w:rsid w:val="00535296"/>
    <w:pPr>
      <w:ind w:left="480" w:hanging="240"/>
    </w:pPr>
  </w:style>
  <w:style w:type="paragraph" w:styleId="Index3">
    <w:name w:val="index 3"/>
    <w:basedOn w:val="Normal"/>
    <w:next w:val="Normal"/>
    <w:semiHidden/>
    <w:rsid w:val="00535296"/>
    <w:pPr>
      <w:ind w:left="720" w:hanging="240"/>
    </w:pPr>
  </w:style>
  <w:style w:type="paragraph" w:styleId="Index4">
    <w:name w:val="index 4"/>
    <w:basedOn w:val="Normal"/>
    <w:next w:val="Normal"/>
    <w:semiHidden/>
    <w:rsid w:val="00535296"/>
    <w:pPr>
      <w:ind w:left="960" w:hanging="240"/>
    </w:pPr>
  </w:style>
  <w:style w:type="paragraph" w:styleId="Index5">
    <w:name w:val="index 5"/>
    <w:basedOn w:val="Normal"/>
    <w:next w:val="Normal"/>
    <w:semiHidden/>
    <w:rsid w:val="00535296"/>
    <w:pPr>
      <w:ind w:left="1200" w:hanging="240"/>
    </w:pPr>
  </w:style>
  <w:style w:type="paragraph" w:styleId="Index6">
    <w:name w:val="index 6"/>
    <w:basedOn w:val="Normal"/>
    <w:next w:val="Normal"/>
    <w:semiHidden/>
    <w:rsid w:val="00535296"/>
    <w:pPr>
      <w:ind w:left="1440" w:hanging="240"/>
    </w:pPr>
  </w:style>
  <w:style w:type="paragraph" w:styleId="Index7">
    <w:name w:val="index 7"/>
    <w:basedOn w:val="Normal"/>
    <w:next w:val="Normal"/>
    <w:semiHidden/>
    <w:rsid w:val="00535296"/>
    <w:pPr>
      <w:ind w:left="1680" w:hanging="240"/>
    </w:pPr>
  </w:style>
  <w:style w:type="paragraph" w:styleId="Index8">
    <w:name w:val="index 8"/>
    <w:basedOn w:val="Normal"/>
    <w:next w:val="Normal"/>
    <w:semiHidden/>
    <w:rsid w:val="00535296"/>
    <w:pPr>
      <w:ind w:left="1920" w:hanging="240"/>
    </w:pPr>
  </w:style>
  <w:style w:type="paragraph" w:styleId="Index9">
    <w:name w:val="index 9"/>
    <w:basedOn w:val="Normal"/>
    <w:next w:val="Normal"/>
    <w:semiHidden/>
    <w:rsid w:val="00535296"/>
    <w:pPr>
      <w:ind w:left="2160" w:hanging="240"/>
    </w:pPr>
  </w:style>
  <w:style w:type="paragraph" w:styleId="IndexHeading">
    <w:name w:val="index heading"/>
    <w:basedOn w:val="Normal"/>
    <w:next w:val="Index1"/>
    <w:semiHidden/>
    <w:rsid w:val="00535296"/>
    <w:rPr>
      <w:rFonts w:ascii="Arial" w:hAnsi="Arial" w:cs="Arial"/>
      <w:b/>
      <w:bCs/>
    </w:rPr>
  </w:style>
  <w:style w:type="paragraph" w:styleId="MacroText">
    <w:name w:val="macro"/>
    <w:semiHidden/>
    <w:rsid w:val="0053529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ormalIndent">
    <w:name w:val="Normal Indent"/>
    <w:basedOn w:val="Normal"/>
    <w:rsid w:val="00535296"/>
    <w:pPr>
      <w:ind w:left="720"/>
    </w:pPr>
  </w:style>
  <w:style w:type="paragraph" w:styleId="TableofAuthorities">
    <w:name w:val="table of authorities"/>
    <w:basedOn w:val="Normal"/>
    <w:next w:val="Normal"/>
    <w:semiHidden/>
    <w:rsid w:val="00535296"/>
    <w:pPr>
      <w:ind w:left="240" w:hanging="240"/>
    </w:pPr>
  </w:style>
  <w:style w:type="paragraph" w:styleId="TableofFigures">
    <w:name w:val="table of figures"/>
    <w:basedOn w:val="Normal"/>
    <w:next w:val="Normal"/>
    <w:semiHidden/>
    <w:rsid w:val="00535296"/>
    <w:pPr>
      <w:ind w:left="480" w:hanging="480"/>
    </w:pPr>
  </w:style>
  <w:style w:type="paragraph" w:styleId="TOAHeading">
    <w:name w:val="toa heading"/>
    <w:basedOn w:val="Normal"/>
    <w:next w:val="Normal"/>
    <w:semiHidden/>
    <w:rsid w:val="00535296"/>
    <w:pPr>
      <w:spacing w:before="120"/>
    </w:pPr>
    <w:rPr>
      <w:rFonts w:ascii="Arial" w:hAnsi="Arial" w:cs="Arial"/>
      <w:b/>
      <w:bCs/>
      <w:szCs w:val="24"/>
    </w:rPr>
  </w:style>
  <w:style w:type="paragraph" w:styleId="TOC1">
    <w:name w:val="toc 1"/>
    <w:basedOn w:val="Normal"/>
    <w:next w:val="Normal"/>
    <w:semiHidden/>
    <w:rsid w:val="00AC7AA0"/>
  </w:style>
  <w:style w:type="paragraph" w:styleId="TOC2">
    <w:name w:val="toc 2"/>
    <w:basedOn w:val="Normal"/>
    <w:next w:val="Normal"/>
    <w:semiHidden/>
    <w:rsid w:val="00AC7AA0"/>
    <w:pPr>
      <w:ind w:left="240"/>
    </w:pPr>
  </w:style>
  <w:style w:type="paragraph" w:styleId="TOC3">
    <w:name w:val="toc 3"/>
    <w:basedOn w:val="Normal"/>
    <w:next w:val="Normal"/>
    <w:semiHidden/>
    <w:rsid w:val="00AC7AA0"/>
    <w:pPr>
      <w:ind w:left="480"/>
    </w:pPr>
  </w:style>
  <w:style w:type="paragraph" w:styleId="TOC4">
    <w:name w:val="toc 4"/>
    <w:basedOn w:val="Normal"/>
    <w:next w:val="Normal"/>
    <w:semiHidden/>
    <w:rsid w:val="00AC7AA0"/>
    <w:pPr>
      <w:ind w:left="720"/>
    </w:pPr>
  </w:style>
  <w:style w:type="paragraph" w:styleId="TOC5">
    <w:name w:val="toc 5"/>
    <w:basedOn w:val="Normal"/>
    <w:next w:val="Normal"/>
    <w:semiHidden/>
    <w:rsid w:val="00AC7AA0"/>
    <w:pPr>
      <w:widowControl/>
      <w:ind w:left="960"/>
    </w:pPr>
    <w:rPr>
      <w:snapToGrid/>
      <w:szCs w:val="24"/>
    </w:rPr>
  </w:style>
  <w:style w:type="paragraph" w:styleId="TOC6">
    <w:name w:val="toc 6"/>
    <w:basedOn w:val="Normal"/>
    <w:next w:val="Normal"/>
    <w:semiHidden/>
    <w:rsid w:val="00AC7AA0"/>
    <w:pPr>
      <w:widowControl/>
      <w:ind w:left="1200"/>
    </w:pPr>
    <w:rPr>
      <w:snapToGrid/>
      <w:szCs w:val="24"/>
    </w:rPr>
  </w:style>
  <w:style w:type="paragraph" w:styleId="TOC7">
    <w:name w:val="toc 7"/>
    <w:basedOn w:val="Normal"/>
    <w:next w:val="Normal"/>
    <w:semiHidden/>
    <w:rsid w:val="00AC7AA0"/>
    <w:pPr>
      <w:widowControl/>
      <w:ind w:left="1440"/>
    </w:pPr>
    <w:rPr>
      <w:snapToGrid/>
      <w:szCs w:val="24"/>
    </w:rPr>
  </w:style>
  <w:style w:type="paragraph" w:styleId="TOC8">
    <w:name w:val="toc 8"/>
    <w:basedOn w:val="Normal"/>
    <w:next w:val="Normal"/>
    <w:semiHidden/>
    <w:rsid w:val="00AC7AA0"/>
    <w:pPr>
      <w:widowControl/>
      <w:ind w:left="1680"/>
    </w:pPr>
    <w:rPr>
      <w:snapToGrid/>
      <w:szCs w:val="24"/>
    </w:rPr>
  </w:style>
  <w:style w:type="paragraph" w:styleId="TOC9">
    <w:name w:val="toc 9"/>
    <w:basedOn w:val="Normal"/>
    <w:next w:val="Normal"/>
    <w:semiHidden/>
    <w:rsid w:val="00AC7AA0"/>
    <w:pPr>
      <w:widowControl/>
      <w:ind w:left="1920"/>
    </w:pPr>
    <w:rPr>
      <w:snapToGrid/>
      <w:szCs w:val="24"/>
    </w:rPr>
  </w:style>
  <w:style w:type="character" w:styleId="CommentReference">
    <w:name w:val="annotation reference"/>
    <w:basedOn w:val="DefaultParagraphFont"/>
    <w:semiHidden/>
    <w:rsid w:val="00AC7AA0"/>
    <w:rPr>
      <w:sz w:val="16"/>
      <w:szCs w:val="16"/>
    </w:rPr>
  </w:style>
  <w:style w:type="paragraph" w:customStyle="1" w:styleId="Definition">
    <w:name w:val="Definition"/>
    <w:basedOn w:val="Normal"/>
    <w:rsid w:val="00AC7AA0"/>
    <w:pPr>
      <w:widowControl/>
      <w:spacing w:before="240" w:after="240"/>
    </w:pPr>
  </w:style>
  <w:style w:type="paragraph" w:customStyle="1" w:styleId="Definitionindent">
    <w:name w:val="Definition indent"/>
    <w:basedOn w:val="Definition"/>
    <w:rsid w:val="00AC7AA0"/>
    <w:pPr>
      <w:spacing w:before="120" w:after="120"/>
      <w:ind w:left="720"/>
    </w:pPr>
  </w:style>
  <w:style w:type="paragraph" w:customStyle="1" w:styleId="Bodypara">
    <w:name w:val="Body para"/>
    <w:basedOn w:val="Normal"/>
    <w:link w:val="BodyparaChar"/>
    <w:rsid w:val="00AC7AA0"/>
    <w:pPr>
      <w:spacing w:line="480" w:lineRule="auto"/>
      <w:ind w:firstLine="720"/>
    </w:pPr>
  </w:style>
  <w:style w:type="paragraph" w:customStyle="1" w:styleId="alphapara">
    <w:name w:val="alpha para"/>
    <w:basedOn w:val="Bodypara"/>
    <w:rsid w:val="00AC7AA0"/>
    <w:pPr>
      <w:ind w:left="1440" w:hanging="720"/>
    </w:pPr>
  </w:style>
  <w:style w:type="paragraph" w:customStyle="1" w:styleId="TOCheading">
    <w:name w:val="TOC heading"/>
    <w:basedOn w:val="Normal"/>
    <w:rsid w:val="00AC7AA0"/>
    <w:pPr>
      <w:spacing w:before="240" w:after="240"/>
    </w:pPr>
    <w:rPr>
      <w:b/>
    </w:rPr>
  </w:style>
  <w:style w:type="paragraph" w:styleId="BalloonText">
    <w:name w:val="Balloon Text"/>
    <w:basedOn w:val="Normal"/>
    <w:semiHidden/>
    <w:rsid w:val="00AC7AA0"/>
    <w:rPr>
      <w:rFonts w:ascii="Tahoma" w:hAnsi="Tahoma" w:cs="Tahoma"/>
      <w:sz w:val="16"/>
      <w:szCs w:val="16"/>
    </w:rPr>
  </w:style>
  <w:style w:type="paragraph" w:customStyle="1" w:styleId="subhead">
    <w:name w:val="subhead"/>
    <w:basedOn w:val="Heading4"/>
    <w:rsid w:val="00AC7AA0"/>
    <w:pPr>
      <w:tabs>
        <w:tab w:val="clear" w:pos="1800"/>
      </w:tabs>
      <w:ind w:left="720" w:firstLine="0"/>
    </w:pPr>
  </w:style>
  <w:style w:type="paragraph" w:customStyle="1" w:styleId="alphaheading">
    <w:name w:val="alpha heading"/>
    <w:basedOn w:val="Normal"/>
    <w:rsid w:val="00AC7AA0"/>
    <w:pPr>
      <w:keepNext/>
      <w:tabs>
        <w:tab w:val="left" w:pos="1440"/>
      </w:tabs>
      <w:spacing w:before="240" w:after="240"/>
      <w:ind w:left="1440" w:hanging="720"/>
    </w:pPr>
    <w:rPr>
      <w:b/>
      <w:szCs w:val="24"/>
    </w:rPr>
  </w:style>
  <w:style w:type="paragraph" w:customStyle="1" w:styleId="romannumeralpara">
    <w:name w:val="roman numeral para"/>
    <w:basedOn w:val="Normal"/>
    <w:rsid w:val="00AC7AA0"/>
    <w:pPr>
      <w:spacing w:line="480" w:lineRule="auto"/>
      <w:ind w:left="1440" w:hanging="720"/>
    </w:pPr>
  </w:style>
  <w:style w:type="paragraph" w:customStyle="1" w:styleId="Bulletpara">
    <w:name w:val="Bullet para"/>
    <w:basedOn w:val="Normal"/>
    <w:rsid w:val="00AC7AA0"/>
    <w:pPr>
      <w:widowControl/>
      <w:numPr>
        <w:numId w:val="22"/>
      </w:numPr>
      <w:tabs>
        <w:tab w:val="left" w:pos="900"/>
      </w:tabs>
      <w:spacing w:before="120" w:after="120"/>
    </w:pPr>
    <w:rPr>
      <w:szCs w:val="24"/>
    </w:rPr>
  </w:style>
  <w:style w:type="paragraph" w:customStyle="1" w:styleId="Tarifftitle">
    <w:name w:val="Tariff title"/>
    <w:basedOn w:val="Normal"/>
    <w:rsid w:val="00AC7AA0"/>
    <w:rPr>
      <w:b/>
      <w:sz w:val="28"/>
      <w:szCs w:val="28"/>
    </w:rPr>
  </w:style>
  <w:style w:type="character" w:styleId="Hyperlink">
    <w:name w:val="Hyperlink"/>
    <w:basedOn w:val="DefaultParagraphFont"/>
    <w:rsid w:val="00AC7AA0"/>
    <w:rPr>
      <w:color w:val="0000FF"/>
      <w:u w:val="single"/>
    </w:rPr>
  </w:style>
  <w:style w:type="paragraph" w:customStyle="1" w:styleId="Level1">
    <w:name w:val="Level 1"/>
    <w:basedOn w:val="Normal"/>
    <w:rsid w:val="006B20D2"/>
    <w:pPr>
      <w:ind w:left="1890" w:hanging="720"/>
    </w:pPr>
  </w:style>
  <w:style w:type="paragraph" w:styleId="Header">
    <w:name w:val="header"/>
    <w:basedOn w:val="Normal"/>
    <w:rsid w:val="00AC7AA0"/>
    <w:pPr>
      <w:widowControl/>
      <w:tabs>
        <w:tab w:val="center" w:pos="4680"/>
        <w:tab w:val="right" w:pos="9360"/>
      </w:tabs>
    </w:pPr>
    <w:rPr>
      <w:snapToGrid/>
      <w:szCs w:val="24"/>
    </w:rPr>
  </w:style>
  <w:style w:type="paragraph" w:styleId="Date">
    <w:name w:val="Date"/>
    <w:basedOn w:val="Normal"/>
    <w:next w:val="Normal"/>
    <w:rsid w:val="00AC7AA0"/>
    <w:pPr>
      <w:widowControl/>
    </w:pPr>
  </w:style>
  <w:style w:type="paragraph" w:customStyle="1" w:styleId="Footers">
    <w:name w:val="Footers"/>
    <w:basedOn w:val="Heading1"/>
    <w:rsid w:val="00AC7AA0"/>
    <w:pPr>
      <w:tabs>
        <w:tab w:val="left" w:pos="1440"/>
        <w:tab w:val="left" w:pos="7020"/>
        <w:tab w:val="right" w:pos="9360"/>
      </w:tabs>
    </w:pPr>
    <w:rPr>
      <w:b w:val="0"/>
      <w:sz w:val="20"/>
    </w:rPr>
  </w:style>
  <w:style w:type="character" w:customStyle="1" w:styleId="Heading1Char">
    <w:name w:val="Heading 1 Char"/>
    <w:basedOn w:val="DefaultParagraphFont"/>
    <w:link w:val="Heading1"/>
    <w:rsid w:val="00AC7AA0"/>
    <w:rPr>
      <w:b/>
      <w:snapToGrid w:val="0"/>
      <w:sz w:val="24"/>
    </w:rPr>
  </w:style>
  <w:style w:type="character" w:customStyle="1" w:styleId="Heading3Char1">
    <w:name w:val="Heading 3 Char1"/>
    <w:basedOn w:val="DefaultParagraphFont"/>
    <w:link w:val="Heading3"/>
    <w:rsid w:val="00AC7AA0"/>
    <w:rPr>
      <w:b/>
      <w:snapToGrid w:val="0"/>
      <w:sz w:val="24"/>
    </w:rPr>
  </w:style>
  <w:style w:type="paragraph" w:styleId="CommentSubject">
    <w:name w:val="annotation subject"/>
    <w:basedOn w:val="CommentText"/>
    <w:next w:val="CommentText"/>
    <w:link w:val="CommentSubjectChar"/>
    <w:rsid w:val="00AC7AA0"/>
    <w:rPr>
      <w:b/>
      <w:bCs/>
    </w:rPr>
  </w:style>
  <w:style w:type="character" w:customStyle="1" w:styleId="CommentTextChar">
    <w:name w:val="Comment Text Char"/>
    <w:basedOn w:val="DefaultParagraphFont"/>
    <w:link w:val="CommentText"/>
    <w:semiHidden/>
    <w:rsid w:val="00AC7AA0"/>
    <w:rPr>
      <w:snapToGrid w:val="0"/>
    </w:rPr>
  </w:style>
  <w:style w:type="character" w:customStyle="1" w:styleId="CommentSubjectChar">
    <w:name w:val="Comment Subject Char"/>
    <w:basedOn w:val="CommentTextChar"/>
    <w:link w:val="CommentSubject"/>
    <w:rsid w:val="00AC7AA0"/>
  </w:style>
  <w:style w:type="paragraph" w:styleId="Footer">
    <w:name w:val="footer"/>
    <w:basedOn w:val="Normal"/>
    <w:link w:val="FooterChar"/>
    <w:rsid w:val="00AC7AA0"/>
    <w:pPr>
      <w:tabs>
        <w:tab w:val="center" w:pos="4320"/>
        <w:tab w:val="right" w:pos="8640"/>
      </w:tabs>
    </w:pPr>
  </w:style>
  <w:style w:type="character" w:customStyle="1" w:styleId="FooterChar">
    <w:name w:val="Footer Char"/>
    <w:basedOn w:val="DefaultParagraphFont"/>
    <w:link w:val="Footer"/>
    <w:rsid w:val="00AC7AA0"/>
    <w:rPr>
      <w:snapToGrid w:val="0"/>
      <w:sz w:val="24"/>
    </w:rPr>
  </w:style>
  <w:style w:type="character" w:styleId="PageNumber">
    <w:name w:val="page number"/>
    <w:basedOn w:val="DefaultParagraphFont"/>
    <w:rsid w:val="00AC7AA0"/>
  </w:style>
  <w:style w:type="paragraph" w:styleId="BodyTextIndent">
    <w:name w:val="Body Text Indent"/>
    <w:aliases w:val="bi"/>
    <w:basedOn w:val="Normal"/>
    <w:link w:val="BodyTextIndentChar"/>
    <w:rsid w:val="00AC7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C7AA0"/>
    <w:rPr>
      <w:snapToGrid w:val="0"/>
      <w:sz w:val="24"/>
    </w:rPr>
  </w:style>
  <w:style w:type="character" w:customStyle="1" w:styleId="BodyparaChar">
    <w:name w:val="Body para Char"/>
    <w:basedOn w:val="DefaultParagraphFont"/>
    <w:link w:val="Bodypara"/>
    <w:rsid w:val="00AC7AA0"/>
    <w:rPr>
      <w:snapToGrid w:val="0"/>
      <w:sz w:val="24"/>
    </w:rPr>
  </w:style>
  <w:style w:type="table" w:styleId="TableGrid">
    <w:name w:val="Table Grid"/>
    <w:basedOn w:val="TableNormal"/>
    <w:rsid w:val="00AC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83EE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2009-09-08T14:30:00Z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