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B56" w:rsidRPr="001C0EB9" w:rsidRDefault="00455CBF" w:rsidP="007D2B56">
      <w:pPr>
        <w:pStyle w:val="Heading2"/>
      </w:pPr>
      <w:bookmarkStart w:id="0" w:name="_Toc263333574"/>
      <w:r w:rsidRPr="001C0EB9">
        <w:t>19.4</w:t>
      </w:r>
      <w:r w:rsidRPr="001C0EB9">
        <w:tab/>
        <w:t>Reservation of Transmission Capacity in a Centralized TCC Auction through ETCNL TCCs</w:t>
      </w:r>
      <w:bookmarkEnd w:id="0"/>
    </w:p>
    <w:p w:rsidR="007D2B56" w:rsidRPr="00C724B0" w:rsidRDefault="00455CBF" w:rsidP="007D2B56">
      <w:pPr>
        <w:pStyle w:val="Bodypara"/>
        <w:rPr>
          <w:u w:val="double"/>
        </w:rPr>
      </w:pPr>
      <w:r w:rsidRPr="001C0EB9">
        <w:rPr>
          <w:b/>
        </w:rPr>
        <w:t>19.</w:t>
      </w:r>
      <w:r w:rsidRPr="001C0EB9">
        <w:rPr>
          <w:b/>
          <w:bCs/>
        </w:rPr>
        <w:t>4.1</w:t>
      </w:r>
      <w:r w:rsidRPr="001C0EB9">
        <w:tab/>
        <w:t>Subject to the limitations set forth in Section 19.4.2 of this Attachment M, a</w:t>
      </w:r>
      <w:r>
        <w:t xml:space="preserve"> Transmission Owner with a set o</w:t>
      </w:r>
      <w:r w:rsidRPr="00D66E9F">
        <w:rPr>
          <w:rStyle w:val="romannumeralparaChar"/>
        </w:rPr>
        <w:t>f</w:t>
      </w:r>
      <w:r>
        <w:t xml:space="preserve"> ETCNL designated from a Point of Injection to a Point of Withdrawal, as detailed in Table 2 of this Attachment M, shall have a right prior to each Centralized TCC Auction to convert into an ETCNL TCC each megawatt of transmission </w:t>
      </w:r>
      <w:r w:rsidRPr="001C0EB9">
        <w:t>Capacity of that set of E</w:t>
      </w:r>
      <w:r w:rsidRPr="001C0EB9">
        <w:t xml:space="preserve">TCNL </w:t>
      </w:r>
      <w:r>
        <w:t xml:space="preserve">not </w:t>
      </w:r>
      <w:r w:rsidRPr="001C0EB9">
        <w:t>used to support the sale of existing TCCs that are valid for any part of the duration of any TCCs to be sold in the Centralized TCC Auction and that remains after any reduction pursuant to Section 19.8.2 of this Attachment M.</w:t>
      </w:r>
      <w:r>
        <w:t xml:space="preserve">  </w:t>
      </w:r>
    </w:p>
    <w:p w:rsidR="007D2B56" w:rsidRPr="00C724B0" w:rsidRDefault="00455CBF" w:rsidP="007D2B56">
      <w:pPr>
        <w:pStyle w:val="Bodypara"/>
        <w:rPr>
          <w:u w:val="double"/>
        </w:rPr>
      </w:pPr>
      <w:r>
        <w:t>Each ETCNL TCC will</w:t>
      </w:r>
      <w:r>
        <w:t xml:space="preserve"> have a duration of 6 months and will have the same POI and POW as the original set of ETCNL converted into ETCNL TCCs.  </w:t>
      </w:r>
    </w:p>
    <w:p w:rsidR="007D2B56" w:rsidRDefault="00455CBF" w:rsidP="007D2B56">
      <w:pPr>
        <w:pStyle w:val="Bodypara"/>
      </w:pPr>
      <w:r>
        <w:t>If a Transmission Owner fails to exercise its right to convert a megawatt of ETCNL into an ETCNL TCC in the manner and by the date spe</w:t>
      </w:r>
      <w:r>
        <w:t xml:space="preserve">cified in this </w:t>
      </w:r>
      <w:r w:rsidRPr="001C0EB9">
        <w:t xml:space="preserve">Section </w:t>
      </w:r>
      <w:r w:rsidRPr="001C0EB9">
        <w:rPr>
          <w:bCs/>
        </w:rPr>
        <w:t>19.</w:t>
      </w:r>
      <w:r w:rsidRPr="001C0EB9">
        <w:t>4,</w:t>
      </w:r>
      <w:r>
        <w:t xml:space="preserve"> the Transmission Owner shall forfeit its right to convert ETCNL into ETCNL TCCs for the Centralized TCC Auction.  </w:t>
      </w:r>
      <w:r w:rsidRPr="00BD0376">
        <w:t>Any ETCNL not converted to ETCNL TCCs shall remain valid as ETCNL, and shall be released for the Centralized TCC</w:t>
      </w:r>
      <w:r>
        <w:t xml:space="preserve"> </w:t>
      </w:r>
      <w:r>
        <w:t>Auction pursuant to the provisions of this Attachment M.</w:t>
      </w:r>
    </w:p>
    <w:p w:rsidR="007D2B56" w:rsidRPr="001C0EB9" w:rsidRDefault="00455CBF" w:rsidP="007D2B56">
      <w:pPr>
        <w:pStyle w:val="Bodypara"/>
      </w:pPr>
      <w:r w:rsidRPr="001C0EB9">
        <w:rPr>
          <w:b/>
        </w:rPr>
        <w:t>19.</w:t>
      </w:r>
      <w:r w:rsidRPr="001C0EB9">
        <w:rPr>
          <w:b/>
          <w:bCs/>
        </w:rPr>
        <w:t>4.2</w:t>
      </w:r>
      <w:r w:rsidRPr="001C0EB9">
        <w:tab/>
        <w:t xml:space="preserve">Notwithstanding any other provisions of this Section </w:t>
      </w:r>
      <w:r w:rsidRPr="001C0EB9">
        <w:rPr>
          <w:bCs/>
        </w:rPr>
        <w:t>19.</w:t>
      </w:r>
      <w:r w:rsidRPr="001C0EB9">
        <w:t>4, a Transmission Owner shall not convert into ETCNL TCCs an amount greater than the Capacity Reservation Cap of the transmission Capaci</w:t>
      </w:r>
      <w:r w:rsidRPr="001C0EB9">
        <w:t xml:space="preserve">ty of each set of the Transmission Owner’s ETCNL; </w:t>
      </w:r>
      <w:r w:rsidRPr="001C0EB9">
        <w:rPr>
          <w:i/>
          <w:iCs/>
        </w:rPr>
        <w:t>provided, however</w:t>
      </w:r>
      <w:r w:rsidRPr="001C0EB9">
        <w:t>, that if (i) a Transmission Owner has a set of ETCNL from one POI and one or more sets of ETCNL from another POI, each of which are in the same Load Zone, and (ii) each of these sets of ET</w:t>
      </w:r>
      <w:r w:rsidRPr="001C0EB9">
        <w:t>CNL has the same POW, then there shall be no maximum amount of transmission Capacity from a single set of ETCNL that a Transmission Owner shall have a right to convert into ETCNL TCCs, but a Transmission Owner shall not convert into ETCNL TCCs an amount gr</w:t>
      </w:r>
      <w:r w:rsidRPr="001C0EB9">
        <w:t>eater than the Capacity Reservation Cap of the total transmission Capacity of all of the Transmission</w:t>
      </w:r>
      <w:r>
        <w:t xml:space="preserve"> </w:t>
      </w:r>
      <w:r w:rsidRPr="001C0EB9">
        <w:lastRenderedPageBreak/>
        <w:t xml:space="preserve">Owner’s sets of ETCNL with that POW.  </w:t>
      </w:r>
    </w:p>
    <w:p w:rsidR="007D2B56" w:rsidRPr="001C0EB9" w:rsidRDefault="00455CBF" w:rsidP="007D2B56">
      <w:pPr>
        <w:pStyle w:val="Bodypara"/>
      </w:pPr>
      <w:r w:rsidRPr="001C0EB9">
        <w:t xml:space="preserve">ETCNL may be converted only into whole ETCNL TCCs.  If the Capacity Reservation Cap multiplied by the transmission </w:t>
      </w:r>
      <w:r w:rsidRPr="001C0EB9">
        <w:t>Capacity of a set of ETCNL or by the total transmission Capacity of multiple sets of ETCNL, as the case may be pursuant to this Section 19.4.2, does</w:t>
      </w:r>
      <w:r>
        <w:t xml:space="preserve"> not yield a whole number, then the number of ETCNL TCCs that a Transmission Owner may convert from ETCNL wi</w:t>
      </w:r>
      <w:r>
        <w:t>ll be reduced to the nearest integer and the number of megawatts of ETCNL that a Transmission Owner may not convert to ETCNL TCCs will be increased to the nearest</w:t>
      </w:r>
      <w:r w:rsidRPr="001C0EB9">
        <w:t xml:space="preserve"> integer.</w:t>
      </w:r>
    </w:p>
    <w:p w:rsidR="007D2B56" w:rsidRPr="001C0EB9" w:rsidRDefault="00455CBF" w:rsidP="007D2B56">
      <w:pPr>
        <w:pStyle w:val="Bodypara"/>
      </w:pPr>
      <w:r w:rsidRPr="001C0EB9">
        <w:rPr>
          <w:b/>
        </w:rPr>
        <w:t>19.</w:t>
      </w:r>
      <w:r w:rsidRPr="001C0EB9">
        <w:rPr>
          <w:b/>
          <w:bCs/>
        </w:rPr>
        <w:t>4.3</w:t>
      </w:r>
      <w:r w:rsidRPr="001C0EB9">
        <w:tab/>
        <w:t>The ISO shall determine the Capacity Reservation Cap prior to each Centralize</w:t>
      </w:r>
      <w:r w:rsidRPr="001C0EB9">
        <w:t>d TCC Auction, and shall post the Capacity Reservation Cap on its website.  The Capacity Reservation Cap shall be any amount less than or equal to five percent (5%).</w:t>
      </w:r>
    </w:p>
    <w:p w:rsidR="007D2B56" w:rsidRPr="001C0EB9" w:rsidRDefault="00455CBF" w:rsidP="007D2B56">
      <w:pPr>
        <w:pStyle w:val="Bodypara"/>
      </w:pPr>
      <w:r w:rsidRPr="001C0EB9">
        <w:rPr>
          <w:b/>
        </w:rPr>
        <w:t>19.</w:t>
      </w:r>
      <w:r w:rsidRPr="001C0EB9">
        <w:rPr>
          <w:b/>
          <w:bCs/>
        </w:rPr>
        <w:t>4.4</w:t>
      </w:r>
      <w:r w:rsidRPr="001C0EB9">
        <w:tab/>
        <w:t>Before each Centralized TCC Auction, the ISO shall, subsequent to performing the re</w:t>
      </w:r>
      <w:r w:rsidRPr="001C0EB9">
        <w:t xml:space="preserve">duction process pursuant to Section 19.8.2 of this Attachment M, determine the number of megawatts of transmission Capacity from each of the Transmission Owner’s sets of ETCNL that the Transmission Owner shall have a right to convert into ETCNL TCCs.  The </w:t>
      </w:r>
      <w:r w:rsidRPr="001C0EB9">
        <w:t>ISO shall notify each Transmission Owner of the ISO’s determination with regard to its ETCNL in a written notice to be received by the Transmission Owner on or before the date specified in the timeline for the relevant Centralized TCC Auction posted on the</w:t>
      </w:r>
      <w:r w:rsidRPr="001C0EB9">
        <w:t xml:space="preserve"> ISO’s website, as that timeline may be revised from time to time.  </w:t>
      </w:r>
    </w:p>
    <w:p w:rsidR="007D2B56" w:rsidRDefault="00455CBF" w:rsidP="007D2B56">
      <w:pPr>
        <w:pStyle w:val="Bodypara"/>
      </w:pPr>
      <w:r w:rsidRPr="001C0EB9">
        <w:rPr>
          <w:b/>
        </w:rPr>
        <w:t>19.</w:t>
      </w:r>
      <w:r w:rsidRPr="001C0EB9">
        <w:rPr>
          <w:b/>
          <w:bCs/>
        </w:rPr>
        <w:t>4.5</w:t>
      </w:r>
      <w:r w:rsidRPr="001C0EB9">
        <w:tab/>
        <w:t>A Transmission Owner may exercise its right to convert its ETCNL into ETCNL TCCs by notifying the ISO of the number of megawatts of transmission Capacity from each of the Transmiss</w:t>
      </w:r>
      <w:r w:rsidRPr="001C0EB9">
        <w:t>ion Owner’s sets of ETCNL that the Transmission Owner elects to convert</w:t>
      </w:r>
      <w:r>
        <w:t xml:space="preserve"> to ETCNL TCCs.  The Transmission Owner shall make the notification in a written notice to be received by the ISO on or before the date specified in the timeline for the relevant Centra</w:t>
      </w:r>
      <w:r>
        <w:t xml:space="preserve">lized </w:t>
      </w:r>
      <w:r>
        <w:lastRenderedPageBreak/>
        <w:t>TCC Auction posted on the ISO’s website, as that timeline may be revised from time to time.  After receipt by the ISO, the Transmission Owner’s notification shall not be modified or revoked, except by permission of the ISO.</w:t>
      </w:r>
    </w:p>
    <w:sectPr w:rsidR="007D2B56" w:rsidSect="007D2B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BCC" w:rsidRDefault="00A17BCC" w:rsidP="00A17BCC">
      <w:r>
        <w:separator/>
      </w:r>
    </w:p>
  </w:endnote>
  <w:endnote w:type="continuationSeparator" w:id="0">
    <w:p w:rsidR="00A17BCC" w:rsidRDefault="00A17BCC" w:rsidP="00A17B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CC" w:rsidRDefault="00455CBF">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A17BCC">
      <w:rPr>
        <w:rFonts w:ascii="Arial" w:eastAsia="Arial" w:hAnsi="Arial" w:cs="Arial"/>
        <w:color w:val="000000"/>
        <w:sz w:val="16"/>
      </w:rPr>
      <w:fldChar w:fldCharType="begin"/>
    </w:r>
    <w:r>
      <w:rPr>
        <w:rFonts w:ascii="Arial" w:eastAsia="Arial" w:hAnsi="Arial" w:cs="Arial"/>
        <w:color w:val="000000"/>
        <w:sz w:val="16"/>
      </w:rPr>
      <w:instrText>PAGE</w:instrText>
    </w:r>
    <w:r w:rsidR="00A17BC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CC" w:rsidRDefault="00455CBF">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A17BC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17BC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CC" w:rsidRDefault="00455CBF">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11/30/2013 - Docket #: ER14-2-000 - Page </w:t>
    </w:r>
    <w:r w:rsidR="00A17BCC">
      <w:rPr>
        <w:rFonts w:ascii="Arial" w:eastAsia="Arial" w:hAnsi="Arial" w:cs="Arial"/>
        <w:color w:val="000000"/>
        <w:sz w:val="16"/>
      </w:rPr>
      <w:fldChar w:fldCharType="begin"/>
    </w:r>
    <w:r>
      <w:rPr>
        <w:rFonts w:ascii="Arial" w:eastAsia="Arial" w:hAnsi="Arial" w:cs="Arial"/>
        <w:color w:val="000000"/>
        <w:sz w:val="16"/>
      </w:rPr>
      <w:instrText>PAGE</w:instrText>
    </w:r>
    <w:r w:rsidR="00A17BC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BCC" w:rsidRDefault="00A17BCC" w:rsidP="00A17BCC">
      <w:r>
        <w:separator/>
      </w:r>
    </w:p>
  </w:footnote>
  <w:footnote w:type="continuationSeparator" w:id="0">
    <w:p w:rsidR="00A17BCC" w:rsidRDefault="00A17BCC" w:rsidP="00A17B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CC" w:rsidRDefault="00455CBF">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19.4 OATT Att M Reservation of Transmission Capacity in a 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CC" w:rsidRDefault="00455CBF">
    <w:pPr>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19 OATT Attachment M - Sale And Award Of Transmission Conges --&gt; 19.4 OATT Att M Reservation of Transmission Capacity in a 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CC" w:rsidRDefault="00455CBF">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19.4 OATT Att M Reservation of Transmission Capacity in a 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7FA43DA0">
      <w:start w:val="1"/>
      <w:numFmt w:val="bullet"/>
      <w:pStyle w:val="Bulletpara"/>
      <w:lvlText w:val=""/>
      <w:lvlJc w:val="left"/>
      <w:pPr>
        <w:tabs>
          <w:tab w:val="num" w:pos="720"/>
        </w:tabs>
        <w:ind w:left="720" w:hanging="360"/>
      </w:pPr>
      <w:rPr>
        <w:rFonts w:ascii="Symbol" w:hAnsi="Symbol" w:hint="default"/>
      </w:rPr>
    </w:lvl>
    <w:lvl w:ilvl="1" w:tplc="9F8A103A" w:tentative="1">
      <w:start w:val="1"/>
      <w:numFmt w:val="bullet"/>
      <w:lvlText w:val="o"/>
      <w:lvlJc w:val="left"/>
      <w:pPr>
        <w:tabs>
          <w:tab w:val="num" w:pos="1440"/>
        </w:tabs>
        <w:ind w:left="1440" w:hanging="360"/>
      </w:pPr>
      <w:rPr>
        <w:rFonts w:ascii="Courier New" w:hAnsi="Courier New" w:cs="Courier New" w:hint="default"/>
      </w:rPr>
    </w:lvl>
    <w:lvl w:ilvl="2" w:tplc="F402AAA2" w:tentative="1">
      <w:start w:val="1"/>
      <w:numFmt w:val="bullet"/>
      <w:lvlText w:val=""/>
      <w:lvlJc w:val="left"/>
      <w:pPr>
        <w:tabs>
          <w:tab w:val="num" w:pos="2160"/>
        </w:tabs>
        <w:ind w:left="2160" w:hanging="360"/>
      </w:pPr>
      <w:rPr>
        <w:rFonts w:ascii="Wingdings" w:hAnsi="Wingdings" w:hint="default"/>
      </w:rPr>
    </w:lvl>
    <w:lvl w:ilvl="3" w:tplc="B790B912" w:tentative="1">
      <w:start w:val="1"/>
      <w:numFmt w:val="bullet"/>
      <w:lvlText w:val=""/>
      <w:lvlJc w:val="left"/>
      <w:pPr>
        <w:tabs>
          <w:tab w:val="num" w:pos="2880"/>
        </w:tabs>
        <w:ind w:left="2880" w:hanging="360"/>
      </w:pPr>
      <w:rPr>
        <w:rFonts w:ascii="Symbol" w:hAnsi="Symbol" w:hint="default"/>
      </w:rPr>
    </w:lvl>
    <w:lvl w:ilvl="4" w:tplc="71AC4046" w:tentative="1">
      <w:start w:val="1"/>
      <w:numFmt w:val="bullet"/>
      <w:lvlText w:val="o"/>
      <w:lvlJc w:val="left"/>
      <w:pPr>
        <w:tabs>
          <w:tab w:val="num" w:pos="3600"/>
        </w:tabs>
        <w:ind w:left="3600" w:hanging="360"/>
      </w:pPr>
      <w:rPr>
        <w:rFonts w:ascii="Courier New" w:hAnsi="Courier New" w:cs="Courier New" w:hint="default"/>
      </w:rPr>
    </w:lvl>
    <w:lvl w:ilvl="5" w:tplc="0C9E6280" w:tentative="1">
      <w:start w:val="1"/>
      <w:numFmt w:val="bullet"/>
      <w:lvlText w:val=""/>
      <w:lvlJc w:val="left"/>
      <w:pPr>
        <w:tabs>
          <w:tab w:val="num" w:pos="4320"/>
        </w:tabs>
        <w:ind w:left="4320" w:hanging="360"/>
      </w:pPr>
      <w:rPr>
        <w:rFonts w:ascii="Wingdings" w:hAnsi="Wingdings" w:hint="default"/>
      </w:rPr>
    </w:lvl>
    <w:lvl w:ilvl="6" w:tplc="572A7F0E" w:tentative="1">
      <w:start w:val="1"/>
      <w:numFmt w:val="bullet"/>
      <w:lvlText w:val=""/>
      <w:lvlJc w:val="left"/>
      <w:pPr>
        <w:tabs>
          <w:tab w:val="num" w:pos="5040"/>
        </w:tabs>
        <w:ind w:left="5040" w:hanging="360"/>
      </w:pPr>
      <w:rPr>
        <w:rFonts w:ascii="Symbol" w:hAnsi="Symbol" w:hint="default"/>
      </w:rPr>
    </w:lvl>
    <w:lvl w:ilvl="7" w:tplc="AC78E1B2" w:tentative="1">
      <w:start w:val="1"/>
      <w:numFmt w:val="bullet"/>
      <w:lvlText w:val="o"/>
      <w:lvlJc w:val="left"/>
      <w:pPr>
        <w:tabs>
          <w:tab w:val="num" w:pos="5760"/>
        </w:tabs>
        <w:ind w:left="5760" w:hanging="360"/>
      </w:pPr>
      <w:rPr>
        <w:rFonts w:ascii="Courier New" w:hAnsi="Courier New" w:cs="Courier New" w:hint="default"/>
      </w:rPr>
    </w:lvl>
    <w:lvl w:ilvl="8" w:tplc="1438FC9E" w:tentative="1">
      <w:start w:val="1"/>
      <w:numFmt w:val="bullet"/>
      <w:lvlText w:val=""/>
      <w:lvlJc w:val="left"/>
      <w:pPr>
        <w:tabs>
          <w:tab w:val="num" w:pos="6480"/>
        </w:tabs>
        <w:ind w:left="6480" w:hanging="360"/>
      </w:pPr>
      <w:rPr>
        <w:rFonts w:ascii="Wingdings" w:hAnsi="Wingdings" w:hint="default"/>
      </w:rPr>
    </w:lvl>
  </w:abstractNum>
  <w:abstractNum w:abstractNumId="11">
    <w:nsid w:val="28F03D66"/>
    <w:multiLevelType w:val="hybridMultilevel"/>
    <w:tmpl w:val="7A8AA0A2"/>
    <w:lvl w:ilvl="0" w:tplc="640CA6DC">
      <w:start w:val="1"/>
      <w:numFmt w:val="bullet"/>
      <w:lvlText w:val="­"/>
      <w:lvlJc w:val="left"/>
      <w:pPr>
        <w:tabs>
          <w:tab w:val="num" w:pos="720"/>
        </w:tabs>
        <w:ind w:left="720" w:hanging="360"/>
      </w:pPr>
      <w:rPr>
        <w:rFonts w:ascii="Courier New" w:hAnsi="Courier New" w:hint="default"/>
      </w:rPr>
    </w:lvl>
    <w:lvl w:ilvl="1" w:tplc="D7846C6E" w:tentative="1">
      <w:start w:val="1"/>
      <w:numFmt w:val="bullet"/>
      <w:lvlText w:val="o"/>
      <w:lvlJc w:val="left"/>
      <w:pPr>
        <w:tabs>
          <w:tab w:val="num" w:pos="1440"/>
        </w:tabs>
        <w:ind w:left="1440" w:hanging="360"/>
      </w:pPr>
      <w:rPr>
        <w:rFonts w:ascii="Courier New" w:hAnsi="Courier New" w:cs="Courier New" w:hint="default"/>
      </w:rPr>
    </w:lvl>
    <w:lvl w:ilvl="2" w:tplc="3954AF7C" w:tentative="1">
      <w:start w:val="1"/>
      <w:numFmt w:val="bullet"/>
      <w:lvlText w:val=""/>
      <w:lvlJc w:val="left"/>
      <w:pPr>
        <w:tabs>
          <w:tab w:val="num" w:pos="2160"/>
        </w:tabs>
        <w:ind w:left="2160" w:hanging="360"/>
      </w:pPr>
      <w:rPr>
        <w:rFonts w:ascii="Wingdings" w:hAnsi="Wingdings" w:hint="default"/>
      </w:rPr>
    </w:lvl>
    <w:lvl w:ilvl="3" w:tplc="C51A278C" w:tentative="1">
      <w:start w:val="1"/>
      <w:numFmt w:val="bullet"/>
      <w:lvlText w:val=""/>
      <w:lvlJc w:val="left"/>
      <w:pPr>
        <w:tabs>
          <w:tab w:val="num" w:pos="2880"/>
        </w:tabs>
        <w:ind w:left="2880" w:hanging="360"/>
      </w:pPr>
      <w:rPr>
        <w:rFonts w:ascii="Symbol" w:hAnsi="Symbol" w:hint="default"/>
      </w:rPr>
    </w:lvl>
    <w:lvl w:ilvl="4" w:tplc="7CEAAD58" w:tentative="1">
      <w:start w:val="1"/>
      <w:numFmt w:val="bullet"/>
      <w:lvlText w:val="o"/>
      <w:lvlJc w:val="left"/>
      <w:pPr>
        <w:tabs>
          <w:tab w:val="num" w:pos="3600"/>
        </w:tabs>
        <w:ind w:left="3600" w:hanging="360"/>
      </w:pPr>
      <w:rPr>
        <w:rFonts w:ascii="Courier New" w:hAnsi="Courier New" w:cs="Courier New" w:hint="default"/>
      </w:rPr>
    </w:lvl>
    <w:lvl w:ilvl="5" w:tplc="7F1A8F36" w:tentative="1">
      <w:start w:val="1"/>
      <w:numFmt w:val="bullet"/>
      <w:lvlText w:val=""/>
      <w:lvlJc w:val="left"/>
      <w:pPr>
        <w:tabs>
          <w:tab w:val="num" w:pos="4320"/>
        </w:tabs>
        <w:ind w:left="4320" w:hanging="360"/>
      </w:pPr>
      <w:rPr>
        <w:rFonts w:ascii="Wingdings" w:hAnsi="Wingdings" w:hint="default"/>
      </w:rPr>
    </w:lvl>
    <w:lvl w:ilvl="6" w:tplc="7D5E12FC" w:tentative="1">
      <w:start w:val="1"/>
      <w:numFmt w:val="bullet"/>
      <w:lvlText w:val=""/>
      <w:lvlJc w:val="left"/>
      <w:pPr>
        <w:tabs>
          <w:tab w:val="num" w:pos="5040"/>
        </w:tabs>
        <w:ind w:left="5040" w:hanging="360"/>
      </w:pPr>
      <w:rPr>
        <w:rFonts w:ascii="Symbol" w:hAnsi="Symbol" w:hint="default"/>
      </w:rPr>
    </w:lvl>
    <w:lvl w:ilvl="7" w:tplc="B1E04AA6" w:tentative="1">
      <w:start w:val="1"/>
      <w:numFmt w:val="bullet"/>
      <w:lvlText w:val="o"/>
      <w:lvlJc w:val="left"/>
      <w:pPr>
        <w:tabs>
          <w:tab w:val="num" w:pos="5760"/>
        </w:tabs>
        <w:ind w:left="5760" w:hanging="360"/>
      </w:pPr>
      <w:rPr>
        <w:rFonts w:ascii="Courier New" w:hAnsi="Courier New" w:cs="Courier New" w:hint="default"/>
      </w:rPr>
    </w:lvl>
    <w:lvl w:ilvl="8" w:tplc="19645656" w:tentative="1">
      <w:start w:val="1"/>
      <w:numFmt w:val="bullet"/>
      <w:lvlText w:val=""/>
      <w:lvlJc w:val="left"/>
      <w:pPr>
        <w:tabs>
          <w:tab w:val="num" w:pos="6480"/>
        </w:tabs>
        <w:ind w:left="6480" w:hanging="360"/>
      </w:pPr>
      <w:rPr>
        <w:rFonts w:ascii="Wingdings" w:hAnsi="Wingdings" w:hint="default"/>
      </w:rPr>
    </w:lvl>
  </w:abstractNum>
  <w:abstractNum w:abstractNumId="12">
    <w:nsid w:val="372A749B"/>
    <w:multiLevelType w:val="hybridMultilevel"/>
    <w:tmpl w:val="EBD879C0"/>
    <w:lvl w:ilvl="0" w:tplc="12384EF4">
      <w:start w:val="1"/>
      <w:numFmt w:val="lowerRoman"/>
      <w:lvlText w:val="(%1)"/>
      <w:lvlJc w:val="left"/>
      <w:pPr>
        <w:tabs>
          <w:tab w:val="num" w:pos="2448"/>
        </w:tabs>
        <w:ind w:left="2448" w:hanging="648"/>
      </w:pPr>
      <w:rPr>
        <w:rFonts w:hint="default"/>
        <w:b w:val="0"/>
        <w:i w:val="0"/>
        <w:u w:val="none"/>
      </w:rPr>
    </w:lvl>
    <w:lvl w:ilvl="1" w:tplc="50BA6CDA" w:tentative="1">
      <w:start w:val="1"/>
      <w:numFmt w:val="lowerLetter"/>
      <w:lvlText w:val="%2."/>
      <w:lvlJc w:val="left"/>
      <w:pPr>
        <w:tabs>
          <w:tab w:val="num" w:pos="1440"/>
        </w:tabs>
        <w:ind w:left="1440" w:hanging="360"/>
      </w:pPr>
    </w:lvl>
    <w:lvl w:ilvl="2" w:tplc="69264588" w:tentative="1">
      <w:start w:val="1"/>
      <w:numFmt w:val="lowerRoman"/>
      <w:lvlText w:val="%3."/>
      <w:lvlJc w:val="right"/>
      <w:pPr>
        <w:tabs>
          <w:tab w:val="num" w:pos="2160"/>
        </w:tabs>
        <w:ind w:left="2160" w:hanging="180"/>
      </w:pPr>
    </w:lvl>
    <w:lvl w:ilvl="3" w:tplc="00C4CDF2" w:tentative="1">
      <w:start w:val="1"/>
      <w:numFmt w:val="decimal"/>
      <w:lvlText w:val="%4."/>
      <w:lvlJc w:val="left"/>
      <w:pPr>
        <w:tabs>
          <w:tab w:val="num" w:pos="2880"/>
        </w:tabs>
        <w:ind w:left="2880" w:hanging="360"/>
      </w:pPr>
    </w:lvl>
    <w:lvl w:ilvl="4" w:tplc="413CE502" w:tentative="1">
      <w:start w:val="1"/>
      <w:numFmt w:val="lowerLetter"/>
      <w:lvlText w:val="%5."/>
      <w:lvlJc w:val="left"/>
      <w:pPr>
        <w:tabs>
          <w:tab w:val="num" w:pos="3600"/>
        </w:tabs>
        <w:ind w:left="3600" w:hanging="360"/>
      </w:pPr>
    </w:lvl>
    <w:lvl w:ilvl="5" w:tplc="2ADA6460" w:tentative="1">
      <w:start w:val="1"/>
      <w:numFmt w:val="lowerRoman"/>
      <w:lvlText w:val="%6."/>
      <w:lvlJc w:val="right"/>
      <w:pPr>
        <w:tabs>
          <w:tab w:val="num" w:pos="4320"/>
        </w:tabs>
        <w:ind w:left="4320" w:hanging="180"/>
      </w:pPr>
    </w:lvl>
    <w:lvl w:ilvl="6" w:tplc="555891CA" w:tentative="1">
      <w:start w:val="1"/>
      <w:numFmt w:val="decimal"/>
      <w:lvlText w:val="%7."/>
      <w:lvlJc w:val="left"/>
      <w:pPr>
        <w:tabs>
          <w:tab w:val="num" w:pos="5040"/>
        </w:tabs>
        <w:ind w:left="5040" w:hanging="360"/>
      </w:pPr>
    </w:lvl>
    <w:lvl w:ilvl="7" w:tplc="8744C33A" w:tentative="1">
      <w:start w:val="1"/>
      <w:numFmt w:val="lowerLetter"/>
      <w:lvlText w:val="%8."/>
      <w:lvlJc w:val="left"/>
      <w:pPr>
        <w:tabs>
          <w:tab w:val="num" w:pos="5760"/>
        </w:tabs>
        <w:ind w:left="5760" w:hanging="360"/>
      </w:pPr>
    </w:lvl>
    <w:lvl w:ilvl="8" w:tplc="3B4A19F6"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53384FAB"/>
    <w:multiLevelType w:val="hybridMultilevel"/>
    <w:tmpl w:val="1592D1C2"/>
    <w:lvl w:ilvl="0" w:tplc="41EA3AE0">
      <w:start w:val="1"/>
      <w:numFmt w:val="bullet"/>
      <w:lvlText w:val=""/>
      <w:lvlJc w:val="left"/>
      <w:pPr>
        <w:tabs>
          <w:tab w:val="num" w:pos="2160"/>
        </w:tabs>
        <w:ind w:left="2160" w:hanging="360"/>
      </w:pPr>
      <w:rPr>
        <w:rFonts w:ascii="Symbol" w:hAnsi="Symbol" w:hint="default"/>
      </w:rPr>
    </w:lvl>
    <w:lvl w:ilvl="1" w:tplc="F140DF14" w:tentative="1">
      <w:start w:val="1"/>
      <w:numFmt w:val="bullet"/>
      <w:lvlText w:val="o"/>
      <w:lvlJc w:val="left"/>
      <w:pPr>
        <w:tabs>
          <w:tab w:val="num" w:pos="2880"/>
        </w:tabs>
        <w:ind w:left="2880" w:hanging="360"/>
      </w:pPr>
      <w:rPr>
        <w:rFonts w:ascii="Courier New" w:hAnsi="Courier New" w:cs="Courier New" w:hint="default"/>
      </w:rPr>
    </w:lvl>
    <w:lvl w:ilvl="2" w:tplc="AF248E98" w:tentative="1">
      <w:start w:val="1"/>
      <w:numFmt w:val="bullet"/>
      <w:lvlText w:val=""/>
      <w:lvlJc w:val="left"/>
      <w:pPr>
        <w:tabs>
          <w:tab w:val="num" w:pos="3600"/>
        </w:tabs>
        <w:ind w:left="3600" w:hanging="360"/>
      </w:pPr>
      <w:rPr>
        <w:rFonts w:ascii="Wingdings" w:hAnsi="Wingdings" w:hint="default"/>
      </w:rPr>
    </w:lvl>
    <w:lvl w:ilvl="3" w:tplc="D764D94C" w:tentative="1">
      <w:start w:val="1"/>
      <w:numFmt w:val="bullet"/>
      <w:lvlText w:val=""/>
      <w:lvlJc w:val="left"/>
      <w:pPr>
        <w:tabs>
          <w:tab w:val="num" w:pos="4320"/>
        </w:tabs>
        <w:ind w:left="4320" w:hanging="360"/>
      </w:pPr>
      <w:rPr>
        <w:rFonts w:ascii="Symbol" w:hAnsi="Symbol" w:hint="default"/>
      </w:rPr>
    </w:lvl>
    <w:lvl w:ilvl="4" w:tplc="F484F720" w:tentative="1">
      <w:start w:val="1"/>
      <w:numFmt w:val="bullet"/>
      <w:lvlText w:val="o"/>
      <w:lvlJc w:val="left"/>
      <w:pPr>
        <w:tabs>
          <w:tab w:val="num" w:pos="5040"/>
        </w:tabs>
        <w:ind w:left="5040" w:hanging="360"/>
      </w:pPr>
      <w:rPr>
        <w:rFonts w:ascii="Courier New" w:hAnsi="Courier New" w:cs="Courier New" w:hint="default"/>
      </w:rPr>
    </w:lvl>
    <w:lvl w:ilvl="5" w:tplc="0F66101A" w:tentative="1">
      <w:start w:val="1"/>
      <w:numFmt w:val="bullet"/>
      <w:lvlText w:val=""/>
      <w:lvlJc w:val="left"/>
      <w:pPr>
        <w:tabs>
          <w:tab w:val="num" w:pos="5760"/>
        </w:tabs>
        <w:ind w:left="5760" w:hanging="360"/>
      </w:pPr>
      <w:rPr>
        <w:rFonts w:ascii="Wingdings" w:hAnsi="Wingdings" w:hint="default"/>
      </w:rPr>
    </w:lvl>
    <w:lvl w:ilvl="6" w:tplc="34F85528" w:tentative="1">
      <w:start w:val="1"/>
      <w:numFmt w:val="bullet"/>
      <w:lvlText w:val=""/>
      <w:lvlJc w:val="left"/>
      <w:pPr>
        <w:tabs>
          <w:tab w:val="num" w:pos="6480"/>
        </w:tabs>
        <w:ind w:left="6480" w:hanging="360"/>
      </w:pPr>
      <w:rPr>
        <w:rFonts w:ascii="Symbol" w:hAnsi="Symbol" w:hint="default"/>
      </w:rPr>
    </w:lvl>
    <w:lvl w:ilvl="7" w:tplc="5EB0E8CE" w:tentative="1">
      <w:start w:val="1"/>
      <w:numFmt w:val="bullet"/>
      <w:lvlText w:val="o"/>
      <w:lvlJc w:val="left"/>
      <w:pPr>
        <w:tabs>
          <w:tab w:val="num" w:pos="7200"/>
        </w:tabs>
        <w:ind w:left="7200" w:hanging="360"/>
      </w:pPr>
      <w:rPr>
        <w:rFonts w:ascii="Courier New" w:hAnsi="Courier New" w:cs="Courier New" w:hint="default"/>
      </w:rPr>
    </w:lvl>
    <w:lvl w:ilvl="8" w:tplc="B8E23FEC" w:tentative="1">
      <w:start w:val="1"/>
      <w:numFmt w:val="bullet"/>
      <w:lvlText w:val=""/>
      <w:lvlJc w:val="left"/>
      <w:pPr>
        <w:tabs>
          <w:tab w:val="num" w:pos="7920"/>
        </w:tabs>
        <w:ind w:left="7920" w:hanging="360"/>
      </w:pPr>
      <w:rPr>
        <w:rFonts w:ascii="Wingdings" w:hAnsi="Wingdings" w:hint="default"/>
      </w:rPr>
    </w:lvl>
  </w:abstractNum>
  <w:abstractNum w:abstractNumId="20">
    <w:nsid w:val="5ED84470"/>
    <w:multiLevelType w:val="hybridMultilevel"/>
    <w:tmpl w:val="6D108DF8"/>
    <w:lvl w:ilvl="0" w:tplc="13D2E3D4">
      <w:start w:val="1"/>
      <w:numFmt w:val="bullet"/>
      <w:lvlText w:val=""/>
      <w:lvlJc w:val="left"/>
      <w:pPr>
        <w:tabs>
          <w:tab w:val="num" w:pos="720"/>
        </w:tabs>
        <w:ind w:left="720" w:hanging="360"/>
      </w:pPr>
      <w:rPr>
        <w:rFonts w:ascii="Symbol" w:hAnsi="Symbol" w:hint="default"/>
      </w:rPr>
    </w:lvl>
    <w:lvl w:ilvl="1" w:tplc="D38E6BE0" w:tentative="1">
      <w:start w:val="1"/>
      <w:numFmt w:val="bullet"/>
      <w:lvlText w:val="o"/>
      <w:lvlJc w:val="left"/>
      <w:pPr>
        <w:tabs>
          <w:tab w:val="num" w:pos="1440"/>
        </w:tabs>
        <w:ind w:left="1440" w:hanging="360"/>
      </w:pPr>
      <w:rPr>
        <w:rFonts w:ascii="Courier New" w:hAnsi="Courier New" w:cs="Courier New" w:hint="default"/>
      </w:rPr>
    </w:lvl>
    <w:lvl w:ilvl="2" w:tplc="CEA074B8" w:tentative="1">
      <w:start w:val="1"/>
      <w:numFmt w:val="bullet"/>
      <w:lvlText w:val=""/>
      <w:lvlJc w:val="left"/>
      <w:pPr>
        <w:tabs>
          <w:tab w:val="num" w:pos="2160"/>
        </w:tabs>
        <w:ind w:left="2160" w:hanging="360"/>
      </w:pPr>
      <w:rPr>
        <w:rFonts w:ascii="Wingdings" w:hAnsi="Wingdings" w:hint="default"/>
      </w:rPr>
    </w:lvl>
    <w:lvl w:ilvl="3" w:tplc="2F1837F8" w:tentative="1">
      <w:start w:val="1"/>
      <w:numFmt w:val="bullet"/>
      <w:lvlText w:val=""/>
      <w:lvlJc w:val="left"/>
      <w:pPr>
        <w:tabs>
          <w:tab w:val="num" w:pos="2880"/>
        </w:tabs>
        <w:ind w:left="2880" w:hanging="360"/>
      </w:pPr>
      <w:rPr>
        <w:rFonts w:ascii="Symbol" w:hAnsi="Symbol" w:hint="default"/>
      </w:rPr>
    </w:lvl>
    <w:lvl w:ilvl="4" w:tplc="AB8ED696" w:tentative="1">
      <w:start w:val="1"/>
      <w:numFmt w:val="bullet"/>
      <w:lvlText w:val="o"/>
      <w:lvlJc w:val="left"/>
      <w:pPr>
        <w:tabs>
          <w:tab w:val="num" w:pos="3600"/>
        </w:tabs>
        <w:ind w:left="3600" w:hanging="360"/>
      </w:pPr>
      <w:rPr>
        <w:rFonts w:ascii="Courier New" w:hAnsi="Courier New" w:cs="Courier New" w:hint="default"/>
      </w:rPr>
    </w:lvl>
    <w:lvl w:ilvl="5" w:tplc="AF9C7A3E" w:tentative="1">
      <w:start w:val="1"/>
      <w:numFmt w:val="bullet"/>
      <w:lvlText w:val=""/>
      <w:lvlJc w:val="left"/>
      <w:pPr>
        <w:tabs>
          <w:tab w:val="num" w:pos="4320"/>
        </w:tabs>
        <w:ind w:left="4320" w:hanging="360"/>
      </w:pPr>
      <w:rPr>
        <w:rFonts w:ascii="Wingdings" w:hAnsi="Wingdings" w:hint="default"/>
      </w:rPr>
    </w:lvl>
    <w:lvl w:ilvl="6" w:tplc="1B18AF86" w:tentative="1">
      <w:start w:val="1"/>
      <w:numFmt w:val="bullet"/>
      <w:lvlText w:val=""/>
      <w:lvlJc w:val="left"/>
      <w:pPr>
        <w:tabs>
          <w:tab w:val="num" w:pos="5040"/>
        </w:tabs>
        <w:ind w:left="5040" w:hanging="360"/>
      </w:pPr>
      <w:rPr>
        <w:rFonts w:ascii="Symbol" w:hAnsi="Symbol" w:hint="default"/>
      </w:rPr>
    </w:lvl>
    <w:lvl w:ilvl="7" w:tplc="5164D1CE" w:tentative="1">
      <w:start w:val="1"/>
      <w:numFmt w:val="bullet"/>
      <w:lvlText w:val="o"/>
      <w:lvlJc w:val="left"/>
      <w:pPr>
        <w:tabs>
          <w:tab w:val="num" w:pos="5760"/>
        </w:tabs>
        <w:ind w:left="5760" w:hanging="360"/>
      </w:pPr>
      <w:rPr>
        <w:rFonts w:ascii="Courier New" w:hAnsi="Courier New" w:cs="Courier New" w:hint="default"/>
      </w:rPr>
    </w:lvl>
    <w:lvl w:ilvl="8" w:tplc="7AD4A74C" w:tentative="1">
      <w:start w:val="1"/>
      <w:numFmt w:val="bullet"/>
      <w:lvlText w:val=""/>
      <w:lvlJc w:val="left"/>
      <w:pPr>
        <w:tabs>
          <w:tab w:val="num" w:pos="6480"/>
        </w:tabs>
        <w:ind w:left="6480" w:hanging="360"/>
      </w:pPr>
      <w:rPr>
        <w:rFonts w:ascii="Wingdings" w:hAnsi="Wingdings" w:hint="default"/>
      </w:rPr>
    </w:lvl>
  </w:abstractNum>
  <w:abstractNum w:abstractNumId="21">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2">
    <w:nsid w:val="671739E9"/>
    <w:multiLevelType w:val="hybridMultilevel"/>
    <w:tmpl w:val="B29C98A0"/>
    <w:lvl w:ilvl="0" w:tplc="078860BE">
      <w:start w:val="1"/>
      <w:numFmt w:val="bullet"/>
      <w:lvlText w:val=""/>
      <w:lvlJc w:val="left"/>
      <w:pPr>
        <w:tabs>
          <w:tab w:val="num" w:pos="5760"/>
        </w:tabs>
        <w:ind w:left="5760" w:hanging="360"/>
      </w:pPr>
      <w:rPr>
        <w:rFonts w:ascii="Symbol" w:hAnsi="Symbol" w:hint="default"/>
        <w:color w:val="auto"/>
        <w:u w:val="none"/>
      </w:rPr>
    </w:lvl>
    <w:lvl w:ilvl="1" w:tplc="C5C827AC" w:tentative="1">
      <w:start w:val="1"/>
      <w:numFmt w:val="bullet"/>
      <w:lvlText w:val="o"/>
      <w:lvlJc w:val="left"/>
      <w:pPr>
        <w:tabs>
          <w:tab w:val="num" w:pos="3600"/>
        </w:tabs>
        <w:ind w:left="3600" w:hanging="360"/>
      </w:pPr>
      <w:rPr>
        <w:rFonts w:ascii="Courier New" w:hAnsi="Courier New" w:hint="default"/>
      </w:rPr>
    </w:lvl>
    <w:lvl w:ilvl="2" w:tplc="7AF813E2" w:tentative="1">
      <w:start w:val="1"/>
      <w:numFmt w:val="bullet"/>
      <w:lvlText w:val=""/>
      <w:lvlJc w:val="left"/>
      <w:pPr>
        <w:tabs>
          <w:tab w:val="num" w:pos="4320"/>
        </w:tabs>
        <w:ind w:left="4320" w:hanging="360"/>
      </w:pPr>
      <w:rPr>
        <w:rFonts w:ascii="Wingdings" w:hAnsi="Wingdings" w:hint="default"/>
      </w:rPr>
    </w:lvl>
    <w:lvl w:ilvl="3" w:tplc="20F8336E">
      <w:start w:val="1"/>
      <w:numFmt w:val="bullet"/>
      <w:lvlText w:val=""/>
      <w:lvlJc w:val="left"/>
      <w:pPr>
        <w:tabs>
          <w:tab w:val="num" w:pos="5040"/>
        </w:tabs>
        <w:ind w:left="5040" w:hanging="360"/>
      </w:pPr>
      <w:rPr>
        <w:rFonts w:ascii="Symbol" w:hAnsi="Symbol" w:hint="default"/>
      </w:rPr>
    </w:lvl>
    <w:lvl w:ilvl="4" w:tplc="55C0FAC8" w:tentative="1">
      <w:start w:val="1"/>
      <w:numFmt w:val="bullet"/>
      <w:lvlText w:val="o"/>
      <w:lvlJc w:val="left"/>
      <w:pPr>
        <w:tabs>
          <w:tab w:val="num" w:pos="5760"/>
        </w:tabs>
        <w:ind w:left="5760" w:hanging="360"/>
      </w:pPr>
      <w:rPr>
        <w:rFonts w:ascii="Courier New" w:hAnsi="Courier New" w:hint="default"/>
      </w:rPr>
    </w:lvl>
    <w:lvl w:ilvl="5" w:tplc="5D90B8C6" w:tentative="1">
      <w:start w:val="1"/>
      <w:numFmt w:val="bullet"/>
      <w:lvlText w:val=""/>
      <w:lvlJc w:val="left"/>
      <w:pPr>
        <w:tabs>
          <w:tab w:val="num" w:pos="6480"/>
        </w:tabs>
        <w:ind w:left="6480" w:hanging="360"/>
      </w:pPr>
      <w:rPr>
        <w:rFonts w:ascii="Wingdings" w:hAnsi="Wingdings" w:hint="default"/>
      </w:rPr>
    </w:lvl>
    <w:lvl w:ilvl="6" w:tplc="30DEFC62" w:tentative="1">
      <w:start w:val="1"/>
      <w:numFmt w:val="bullet"/>
      <w:lvlText w:val=""/>
      <w:lvlJc w:val="left"/>
      <w:pPr>
        <w:tabs>
          <w:tab w:val="num" w:pos="7200"/>
        </w:tabs>
        <w:ind w:left="7200" w:hanging="360"/>
      </w:pPr>
      <w:rPr>
        <w:rFonts w:ascii="Symbol" w:hAnsi="Symbol" w:hint="default"/>
      </w:rPr>
    </w:lvl>
    <w:lvl w:ilvl="7" w:tplc="F622377C" w:tentative="1">
      <w:start w:val="1"/>
      <w:numFmt w:val="bullet"/>
      <w:lvlText w:val="o"/>
      <w:lvlJc w:val="left"/>
      <w:pPr>
        <w:tabs>
          <w:tab w:val="num" w:pos="7920"/>
        </w:tabs>
        <w:ind w:left="7920" w:hanging="360"/>
      </w:pPr>
      <w:rPr>
        <w:rFonts w:ascii="Courier New" w:hAnsi="Courier New" w:hint="default"/>
      </w:rPr>
    </w:lvl>
    <w:lvl w:ilvl="8" w:tplc="ED8CB672"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6">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9"/>
  </w:num>
  <w:num w:numId="14">
    <w:abstractNumId w:val="25"/>
  </w:num>
  <w:num w:numId="15">
    <w:abstractNumId w:val="14"/>
  </w:num>
  <w:num w:numId="16">
    <w:abstractNumId w:val="15"/>
  </w:num>
  <w:num w:numId="17">
    <w:abstractNumId w:val="23"/>
  </w:num>
  <w:num w:numId="18">
    <w:abstractNumId w:val="13"/>
  </w:num>
  <w:num w:numId="19">
    <w:abstractNumId w:val="24"/>
  </w:num>
  <w:num w:numId="20">
    <w:abstractNumId w:val="18"/>
  </w:num>
  <w:num w:numId="21">
    <w:abstractNumId w:val="17"/>
  </w:num>
  <w:num w:numId="22">
    <w:abstractNumId w:val="16"/>
  </w:num>
  <w:num w:numId="23">
    <w:abstractNumId w:val="10"/>
  </w:num>
  <w:num w:numId="24">
    <w:abstractNumId w:val="12"/>
  </w:num>
  <w:num w:numId="25">
    <w:abstractNumId w:val="22"/>
  </w:num>
  <w:num w:numId="26">
    <w:abstractNumId w:val="10"/>
  </w:num>
  <w:num w:numId="27">
    <w:abstractNumId w:val="10"/>
  </w:num>
  <w:num w:numId="28">
    <w:abstractNumId w:val="10"/>
  </w:num>
  <w:num w:numId="29">
    <w:abstractNumId w:val="10"/>
  </w:num>
  <w:num w:numId="30">
    <w:abstractNumId w:val="26"/>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stylePaneSortMethod w:val="0000"/>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62608"/>
    <w:docVar w:name="MarkCheckBox" w:val="FALSE"/>
    <w:docVar w:name="ShowPrintedCheckBox" w:val="FALSE"/>
    <w:docVar w:name="ShowScreenCheckBox" w:val="FALSE"/>
    <w:docVar w:name="SWDocIDLocation" w:val="0"/>
  </w:docVars>
  <w:rsids>
    <w:rsidRoot w:val="00A17BCC"/>
    <w:rsid w:val="00455CBF"/>
    <w:rsid w:val="00A17B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BAE"/>
    <w:pPr>
      <w:widowControl w:val="0"/>
    </w:pPr>
    <w:rPr>
      <w:snapToGrid w:val="0"/>
      <w:sz w:val="24"/>
    </w:rPr>
  </w:style>
  <w:style w:type="paragraph" w:styleId="Heading1">
    <w:name w:val="heading 1"/>
    <w:basedOn w:val="Normal"/>
    <w:next w:val="Normal"/>
    <w:link w:val="Heading1Char"/>
    <w:qFormat/>
    <w:rsid w:val="00235BAE"/>
    <w:pPr>
      <w:keepNext/>
      <w:spacing w:before="240" w:after="240"/>
      <w:ind w:left="720" w:hanging="720"/>
      <w:outlineLvl w:val="0"/>
    </w:pPr>
    <w:rPr>
      <w:b/>
    </w:rPr>
  </w:style>
  <w:style w:type="paragraph" w:styleId="Heading2">
    <w:name w:val="heading 2"/>
    <w:basedOn w:val="Normal"/>
    <w:next w:val="Normal"/>
    <w:qFormat/>
    <w:rsid w:val="00235B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235B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35BAE"/>
    <w:pPr>
      <w:keepNext/>
      <w:tabs>
        <w:tab w:val="left" w:pos="1800"/>
      </w:tabs>
      <w:spacing w:before="240" w:after="240"/>
      <w:ind w:left="1800" w:hanging="1080"/>
      <w:outlineLvl w:val="3"/>
    </w:pPr>
    <w:rPr>
      <w:b/>
    </w:rPr>
  </w:style>
  <w:style w:type="paragraph" w:styleId="Heading5">
    <w:name w:val="heading 5"/>
    <w:basedOn w:val="Normal"/>
    <w:next w:val="Normal"/>
    <w:qFormat/>
    <w:rsid w:val="00235BAE"/>
    <w:pPr>
      <w:keepNext/>
      <w:spacing w:line="480" w:lineRule="auto"/>
      <w:ind w:left="1440" w:right="-90" w:hanging="720"/>
      <w:outlineLvl w:val="4"/>
    </w:pPr>
    <w:rPr>
      <w:b/>
    </w:rPr>
  </w:style>
  <w:style w:type="paragraph" w:styleId="Heading6">
    <w:name w:val="heading 6"/>
    <w:basedOn w:val="Normal"/>
    <w:next w:val="Normal"/>
    <w:qFormat/>
    <w:rsid w:val="00235BAE"/>
    <w:pPr>
      <w:keepNext/>
      <w:spacing w:line="480" w:lineRule="auto"/>
      <w:ind w:left="1080" w:right="-90" w:hanging="360"/>
      <w:outlineLvl w:val="5"/>
    </w:pPr>
    <w:rPr>
      <w:b/>
    </w:rPr>
  </w:style>
  <w:style w:type="paragraph" w:styleId="Heading7">
    <w:name w:val="heading 7"/>
    <w:basedOn w:val="Normal"/>
    <w:next w:val="Normal"/>
    <w:qFormat/>
    <w:rsid w:val="00235BAE"/>
    <w:pPr>
      <w:keepNext/>
      <w:spacing w:line="480" w:lineRule="auto"/>
      <w:ind w:left="720" w:right="630"/>
      <w:outlineLvl w:val="6"/>
    </w:pPr>
    <w:rPr>
      <w:b/>
    </w:rPr>
  </w:style>
  <w:style w:type="paragraph" w:styleId="Heading8">
    <w:name w:val="heading 8"/>
    <w:basedOn w:val="Normal"/>
    <w:next w:val="Normal"/>
    <w:qFormat/>
    <w:rsid w:val="00235BAE"/>
    <w:pPr>
      <w:keepNext/>
      <w:spacing w:line="480" w:lineRule="auto"/>
      <w:ind w:left="720" w:right="-90"/>
      <w:outlineLvl w:val="7"/>
    </w:pPr>
    <w:rPr>
      <w:b/>
    </w:rPr>
  </w:style>
  <w:style w:type="paragraph" w:styleId="Heading9">
    <w:name w:val="heading 9"/>
    <w:basedOn w:val="Normal"/>
    <w:next w:val="Normal"/>
    <w:qFormat/>
    <w:rsid w:val="00235B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235BAE"/>
    <w:rPr>
      <w:b/>
      <w:snapToGrid w:val="0"/>
      <w:sz w:val="24"/>
      <w:lang w:val="en-US" w:eastAsia="en-US" w:bidi="ar-SA"/>
    </w:rPr>
  </w:style>
  <w:style w:type="paragraph" w:styleId="Header">
    <w:name w:val="header"/>
    <w:basedOn w:val="Normal"/>
    <w:rsid w:val="00235BAE"/>
    <w:pPr>
      <w:widowControl/>
      <w:tabs>
        <w:tab w:val="center" w:pos="4680"/>
        <w:tab w:val="right" w:pos="9360"/>
      </w:tabs>
    </w:pPr>
    <w:rPr>
      <w:snapToGrid/>
      <w:szCs w:val="24"/>
    </w:rPr>
  </w:style>
  <w:style w:type="paragraph" w:styleId="Footer">
    <w:name w:val="footer"/>
    <w:basedOn w:val="Normal"/>
    <w:rsid w:val="00235BAE"/>
    <w:pPr>
      <w:tabs>
        <w:tab w:val="center" w:pos="4320"/>
        <w:tab w:val="right" w:pos="8640"/>
      </w:tabs>
    </w:pPr>
  </w:style>
  <w:style w:type="character" w:styleId="FootnoteReference">
    <w:name w:val="footnote reference"/>
    <w:semiHidden/>
    <w:rsid w:val="00235BAE"/>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235BAE"/>
    <w:pPr>
      <w:widowControl/>
      <w:spacing w:before="240" w:after="240"/>
    </w:pPr>
  </w:style>
  <w:style w:type="paragraph" w:customStyle="1" w:styleId="Definitionindent">
    <w:name w:val="Definition indent"/>
    <w:basedOn w:val="Definition"/>
    <w:rsid w:val="00235BAE"/>
    <w:pPr>
      <w:spacing w:before="120" w:after="120"/>
      <w:ind w:left="720"/>
    </w:pPr>
  </w:style>
  <w:style w:type="paragraph" w:customStyle="1" w:styleId="Bodypara">
    <w:name w:val="Body para"/>
    <w:basedOn w:val="Normal"/>
    <w:link w:val="BodyparaChar"/>
    <w:rsid w:val="00235BAE"/>
    <w:pPr>
      <w:spacing w:line="480" w:lineRule="auto"/>
      <w:ind w:firstLine="720"/>
    </w:pPr>
  </w:style>
  <w:style w:type="paragraph" w:customStyle="1" w:styleId="alphapara">
    <w:name w:val="alpha para"/>
    <w:basedOn w:val="Bodypara"/>
    <w:rsid w:val="00235BAE"/>
    <w:pPr>
      <w:ind w:left="1440" w:hanging="720"/>
    </w:pPr>
  </w:style>
  <w:style w:type="paragraph" w:styleId="Date">
    <w:name w:val="Date"/>
    <w:basedOn w:val="Normal"/>
    <w:next w:val="Normal"/>
    <w:rsid w:val="00235BAE"/>
    <w:pPr>
      <w:widowControl/>
    </w:pPr>
  </w:style>
  <w:style w:type="paragraph" w:customStyle="1" w:styleId="TOCheading">
    <w:name w:val="TOC heading"/>
    <w:basedOn w:val="Normal"/>
    <w:rsid w:val="00235BAE"/>
    <w:pPr>
      <w:spacing w:before="240" w:after="240"/>
    </w:pPr>
    <w:rPr>
      <w:b/>
    </w:rPr>
  </w:style>
  <w:style w:type="paragraph" w:styleId="DocumentMap">
    <w:name w:val="Document Map"/>
    <w:basedOn w:val="Normal"/>
    <w:semiHidden/>
    <w:rsid w:val="00235BAE"/>
    <w:pPr>
      <w:shd w:val="clear" w:color="auto" w:fill="000080"/>
    </w:pPr>
    <w:rPr>
      <w:rFonts w:ascii="Tahoma" w:hAnsi="Tahoma" w:cs="Tahoma"/>
      <w:sz w:val="20"/>
    </w:rPr>
  </w:style>
  <w:style w:type="paragraph" w:styleId="BalloonText">
    <w:name w:val="Balloon Text"/>
    <w:basedOn w:val="Normal"/>
    <w:semiHidden/>
    <w:rsid w:val="00235BAE"/>
    <w:rPr>
      <w:rFonts w:ascii="Tahoma" w:hAnsi="Tahoma" w:cs="Tahoma"/>
      <w:sz w:val="16"/>
      <w:szCs w:val="16"/>
    </w:rPr>
  </w:style>
  <w:style w:type="paragraph" w:customStyle="1" w:styleId="Footers">
    <w:name w:val="Footers"/>
    <w:basedOn w:val="Heading1"/>
    <w:rsid w:val="00235BAE"/>
    <w:pPr>
      <w:tabs>
        <w:tab w:val="left" w:pos="1440"/>
        <w:tab w:val="left" w:pos="7020"/>
        <w:tab w:val="right" w:pos="9360"/>
      </w:tabs>
    </w:pPr>
    <w:rPr>
      <w:b w:val="0"/>
      <w:sz w:val="20"/>
    </w:rPr>
  </w:style>
  <w:style w:type="paragraph" w:customStyle="1" w:styleId="subhead">
    <w:name w:val="subhead"/>
    <w:basedOn w:val="Heading4"/>
    <w:rsid w:val="00235BAE"/>
    <w:pPr>
      <w:tabs>
        <w:tab w:val="clear" w:pos="1800"/>
      </w:tabs>
      <w:ind w:left="720" w:firstLine="0"/>
    </w:pPr>
  </w:style>
  <w:style w:type="paragraph" w:customStyle="1" w:styleId="alphaheading">
    <w:name w:val="alpha heading"/>
    <w:basedOn w:val="Normal"/>
    <w:rsid w:val="00235BAE"/>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235BAE"/>
    <w:pPr>
      <w:spacing w:line="480" w:lineRule="auto"/>
      <w:ind w:left="1440" w:hanging="720"/>
    </w:pPr>
  </w:style>
  <w:style w:type="paragraph" w:customStyle="1" w:styleId="Bulletpara">
    <w:name w:val="Bullet para"/>
    <w:basedOn w:val="Normal"/>
    <w:rsid w:val="00235BAE"/>
    <w:pPr>
      <w:widowControl/>
      <w:numPr>
        <w:numId w:val="23"/>
      </w:numPr>
      <w:tabs>
        <w:tab w:val="left" w:pos="900"/>
      </w:tabs>
      <w:spacing w:before="120" w:after="120"/>
    </w:pPr>
    <w:rPr>
      <w:szCs w:val="24"/>
    </w:rPr>
  </w:style>
  <w:style w:type="paragraph" w:styleId="TOC1">
    <w:name w:val="toc 1"/>
    <w:basedOn w:val="Normal"/>
    <w:next w:val="Normal"/>
    <w:semiHidden/>
    <w:rsid w:val="00235BAE"/>
  </w:style>
  <w:style w:type="paragraph" w:customStyle="1" w:styleId="Tarifftitle">
    <w:name w:val="Tariff title"/>
    <w:basedOn w:val="Normal"/>
    <w:rsid w:val="00235BAE"/>
    <w:rPr>
      <w:b/>
      <w:sz w:val="28"/>
      <w:szCs w:val="28"/>
    </w:rPr>
  </w:style>
  <w:style w:type="paragraph" w:styleId="TOC2">
    <w:name w:val="toc 2"/>
    <w:basedOn w:val="Normal"/>
    <w:next w:val="Normal"/>
    <w:semiHidden/>
    <w:rsid w:val="00235BAE"/>
    <w:pPr>
      <w:ind w:left="240"/>
    </w:pPr>
  </w:style>
  <w:style w:type="character" w:styleId="Hyperlink">
    <w:name w:val="Hyperlink"/>
    <w:basedOn w:val="DefaultParagraphFont"/>
    <w:rsid w:val="00235BAE"/>
    <w:rPr>
      <w:color w:val="0000FF"/>
      <w:u w:val="single"/>
    </w:rPr>
  </w:style>
  <w:style w:type="paragraph" w:styleId="TOC3">
    <w:name w:val="toc 3"/>
    <w:basedOn w:val="Normal"/>
    <w:next w:val="Normal"/>
    <w:semiHidden/>
    <w:rsid w:val="00235BAE"/>
    <w:pPr>
      <w:ind w:left="480"/>
    </w:pPr>
  </w:style>
  <w:style w:type="paragraph" w:styleId="TOC4">
    <w:name w:val="toc 4"/>
    <w:basedOn w:val="Normal"/>
    <w:next w:val="Normal"/>
    <w:semiHidden/>
    <w:rsid w:val="00235BAE"/>
    <w:pPr>
      <w:ind w:left="720"/>
    </w:pPr>
  </w:style>
  <w:style w:type="character" w:customStyle="1" w:styleId="romannumeralparaChar">
    <w:name w:val="roman numeral para Char"/>
    <w:basedOn w:val="DefaultParagraphFont"/>
    <w:link w:val="romannumeralpara"/>
    <w:rsid w:val="00D66E9F"/>
    <w:rPr>
      <w:snapToGrid w:val="0"/>
      <w:sz w:val="24"/>
    </w:rPr>
  </w:style>
  <w:style w:type="character" w:customStyle="1" w:styleId="Heading1Char">
    <w:name w:val="Heading 1 Char"/>
    <w:basedOn w:val="DefaultParagraphFont"/>
    <w:link w:val="Heading1"/>
    <w:rsid w:val="00235BAE"/>
    <w:rPr>
      <w:b/>
      <w:snapToGrid w:val="0"/>
      <w:sz w:val="24"/>
    </w:rPr>
  </w:style>
  <w:style w:type="character" w:customStyle="1" w:styleId="Heading3Char1">
    <w:name w:val="Heading 3 Char1"/>
    <w:basedOn w:val="DefaultParagraphFont"/>
    <w:link w:val="Heading3"/>
    <w:rsid w:val="00235BAE"/>
    <w:rPr>
      <w:b/>
      <w:snapToGrid w:val="0"/>
      <w:sz w:val="24"/>
    </w:rPr>
  </w:style>
  <w:style w:type="paragraph" w:styleId="TOC5">
    <w:name w:val="toc 5"/>
    <w:basedOn w:val="Normal"/>
    <w:next w:val="Normal"/>
    <w:rsid w:val="00235BAE"/>
    <w:pPr>
      <w:widowControl/>
      <w:ind w:left="960"/>
    </w:pPr>
    <w:rPr>
      <w:snapToGrid/>
      <w:szCs w:val="24"/>
    </w:rPr>
  </w:style>
  <w:style w:type="paragraph" w:styleId="TOC6">
    <w:name w:val="toc 6"/>
    <w:basedOn w:val="Normal"/>
    <w:next w:val="Normal"/>
    <w:rsid w:val="00235BAE"/>
    <w:pPr>
      <w:widowControl/>
      <w:ind w:left="1200"/>
    </w:pPr>
    <w:rPr>
      <w:snapToGrid/>
      <w:szCs w:val="24"/>
    </w:rPr>
  </w:style>
  <w:style w:type="paragraph" w:styleId="TOC7">
    <w:name w:val="toc 7"/>
    <w:basedOn w:val="Normal"/>
    <w:next w:val="Normal"/>
    <w:rsid w:val="00235BAE"/>
    <w:pPr>
      <w:widowControl/>
      <w:ind w:left="1440"/>
    </w:pPr>
    <w:rPr>
      <w:snapToGrid/>
      <w:szCs w:val="24"/>
    </w:rPr>
  </w:style>
  <w:style w:type="paragraph" w:styleId="TOC8">
    <w:name w:val="toc 8"/>
    <w:basedOn w:val="Normal"/>
    <w:next w:val="Normal"/>
    <w:rsid w:val="00235BAE"/>
    <w:pPr>
      <w:widowControl/>
      <w:ind w:left="1680"/>
    </w:pPr>
    <w:rPr>
      <w:snapToGrid/>
      <w:szCs w:val="24"/>
    </w:rPr>
  </w:style>
  <w:style w:type="paragraph" w:styleId="TOC9">
    <w:name w:val="toc 9"/>
    <w:basedOn w:val="Normal"/>
    <w:next w:val="Normal"/>
    <w:rsid w:val="00235BAE"/>
    <w:pPr>
      <w:widowControl/>
      <w:ind w:left="1920"/>
    </w:pPr>
    <w:rPr>
      <w:snapToGrid/>
      <w:szCs w:val="24"/>
    </w:rPr>
  </w:style>
  <w:style w:type="paragraph" w:customStyle="1" w:styleId="a">
    <w:name w:val="_"/>
    <w:basedOn w:val="Normal"/>
    <w:rsid w:val="00235BAE"/>
    <w:pPr>
      <w:ind w:left="1800" w:hanging="630"/>
    </w:pPr>
  </w:style>
  <w:style w:type="character" w:styleId="CommentReference">
    <w:name w:val="annotation reference"/>
    <w:basedOn w:val="DefaultParagraphFont"/>
    <w:rsid w:val="00235BAE"/>
    <w:rPr>
      <w:sz w:val="16"/>
      <w:szCs w:val="16"/>
    </w:rPr>
  </w:style>
  <w:style w:type="paragraph" w:styleId="CommentText">
    <w:name w:val="annotation text"/>
    <w:basedOn w:val="Normal"/>
    <w:link w:val="CommentTextChar"/>
    <w:rsid w:val="00235BAE"/>
    <w:rPr>
      <w:sz w:val="20"/>
    </w:rPr>
  </w:style>
  <w:style w:type="character" w:customStyle="1" w:styleId="CommentTextChar">
    <w:name w:val="Comment Text Char"/>
    <w:basedOn w:val="DefaultParagraphFont"/>
    <w:link w:val="CommentText"/>
    <w:rsid w:val="00235BAE"/>
    <w:rPr>
      <w:snapToGrid w:val="0"/>
    </w:rPr>
  </w:style>
  <w:style w:type="paragraph" w:styleId="CommentSubject">
    <w:name w:val="annotation subject"/>
    <w:basedOn w:val="CommentText"/>
    <w:next w:val="CommentText"/>
    <w:link w:val="CommentSubjectChar"/>
    <w:rsid w:val="00235BAE"/>
    <w:rPr>
      <w:b/>
      <w:bCs/>
    </w:rPr>
  </w:style>
  <w:style w:type="character" w:customStyle="1" w:styleId="CommentSubjectChar">
    <w:name w:val="Comment Subject Char"/>
    <w:basedOn w:val="CommentTextChar"/>
    <w:link w:val="CommentSubject"/>
    <w:rsid w:val="00235BAE"/>
    <w:rPr>
      <w:b/>
      <w:bCs/>
    </w:rPr>
  </w:style>
  <w:style w:type="character" w:styleId="PageNumber">
    <w:name w:val="page number"/>
    <w:basedOn w:val="DefaultParagraphFont"/>
    <w:rsid w:val="00235BAE"/>
  </w:style>
  <w:style w:type="paragraph" w:styleId="BodyTextIndent">
    <w:name w:val="Body Text Indent"/>
    <w:aliases w:val="bi"/>
    <w:basedOn w:val="Normal"/>
    <w:link w:val="BodyTextIndentChar"/>
    <w:rsid w:val="00235B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235BAE"/>
    <w:rPr>
      <w:snapToGrid w:val="0"/>
      <w:sz w:val="24"/>
    </w:rPr>
  </w:style>
  <w:style w:type="character" w:customStyle="1" w:styleId="BodyparaChar">
    <w:name w:val="Body para Char"/>
    <w:basedOn w:val="DefaultParagraphFont"/>
    <w:link w:val="Bodypara"/>
    <w:rsid w:val="00235BAE"/>
    <w:rPr>
      <w:snapToGrid w:val="0"/>
      <w:sz w:val="24"/>
    </w:rPr>
  </w:style>
  <w:style w:type="table" w:styleId="TableGrid">
    <w:name w:val="Table Grid"/>
    <w:basedOn w:val="TableNormal"/>
    <w:rsid w:val="00235B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3640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2010-05-25T22:03:00Z</cp:lastPrinted>
  <dcterms:created xsi:type="dcterms:W3CDTF">2017-03-23T23:29:00Z</dcterms:created>
  <dcterms:modified xsi:type="dcterms:W3CDTF">2017-03-23T23:29:00Z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