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46" w:rsidRDefault="007C3F3D">
      <w:pPr>
        <w:pStyle w:val="Heading2"/>
      </w:pPr>
      <w:bookmarkStart w:id="0" w:name="_Toc263691881"/>
      <w:r>
        <w:rPr>
          <w:bCs/>
        </w:rPr>
        <w:t>26.13</w:t>
      </w:r>
      <w:r>
        <w:rPr>
          <w:bCs/>
        </w:rPr>
        <w:tab/>
      </w:r>
      <w:bookmarkStart w:id="1" w:name="_DV_C1"/>
      <w:r>
        <w:t>Withdrawing Customer’s Collateral</w:t>
      </w:r>
      <w:bookmarkEnd w:id="0"/>
      <w:bookmarkEnd w:id="1"/>
    </w:p>
    <w:p w:rsidR="00EF676B" w:rsidRPr="007E39CE" w:rsidRDefault="007C3F3D" w:rsidP="00EF676B">
      <w:pPr>
        <w:pStyle w:val="Bodypara"/>
      </w:pPr>
      <w:bookmarkStart w:id="2" w:name="_DV_C2"/>
      <w:r>
        <w:t xml:space="preserve">Upon a Customer’s withdrawal from the </w:t>
      </w:r>
      <w:r w:rsidRPr="00FA65A7">
        <w:t>LBMP Market(s) and/or all of the</w:t>
      </w:r>
      <w:r>
        <w:t xml:space="preserve"> ISO-Administered Markets to secure </w:t>
      </w:r>
      <w:r w:rsidRPr="00FA65A7">
        <w:t>the Customer’s estimated</w:t>
      </w:r>
      <w:r>
        <w:t xml:space="preserve"> remaining financial obligations, including, but not limited to,</w:t>
      </w:r>
      <w:r>
        <w:t xml:space="preserve"> true-up payments or other invoice adjustments, the Customer shall be required to provide secured credit according to the following formula:</w:t>
      </w:r>
      <w:bookmarkStart w:id="3" w:name="_DV_C3"/>
      <w:bookmarkEnd w:id="2"/>
    </w:p>
    <w:p w:rsidR="00A12F46" w:rsidRDefault="007C3F3D" w:rsidP="00EF676B">
      <w:pPr>
        <w:pStyle w:val="equationtext"/>
        <w:ind w:left="0" w:firstLine="0"/>
        <w:jc w:val="center"/>
      </w:pPr>
      <w:r>
        <w:t>RCC = [∑</w:t>
      </w:r>
      <w:r>
        <w:rPr>
          <w:vertAlign w:val="subscript"/>
        </w:rPr>
        <w:t xml:space="preserve">N4 </w:t>
      </w:r>
      <w:r>
        <w:t>(Avg 4TrueUp *Initial 4 Month)] + [∑</w:t>
      </w:r>
      <w:r>
        <w:rPr>
          <w:vertAlign w:val="subscript"/>
        </w:rPr>
        <w:t>NF</w:t>
      </w:r>
      <w:r>
        <w:t xml:space="preserve"> (AvgFinalTrueUp * Initial Final)]</w:t>
      </w:r>
      <w:bookmarkEnd w:id="3"/>
    </w:p>
    <w:p w:rsidR="00A12F46" w:rsidRDefault="007C3F3D" w:rsidP="002D75A1">
      <w:pPr>
        <w:pStyle w:val="Bodypara"/>
        <w:ind w:firstLine="0"/>
      </w:pPr>
      <w:bookmarkStart w:id="4" w:name="_DV_C4"/>
      <w:r>
        <w:t xml:space="preserve">Where:   </w:t>
      </w:r>
    </w:p>
    <w:p w:rsidR="00A12F46" w:rsidRDefault="007C3F3D" w:rsidP="00EF676B">
      <w:pPr>
        <w:pStyle w:val="equationtext"/>
        <w:tabs>
          <w:tab w:val="clear" w:pos="1620"/>
          <w:tab w:val="left" w:pos="1710"/>
        </w:tabs>
        <w:spacing w:before="0" w:after="240"/>
        <w:ind w:hanging="2160"/>
      </w:pPr>
      <w:r>
        <w:t xml:space="preserve">RCC </w:t>
      </w:r>
      <w:r>
        <w:tab/>
        <w:t xml:space="preserve">=  </w:t>
      </w:r>
      <w:r>
        <w:tab/>
        <w:t>The amount o</w:t>
      </w:r>
      <w:r>
        <w:t>f secured credit to be required following a Customer’s withdrawal</w:t>
      </w:r>
      <w:bookmarkEnd w:id="4"/>
    </w:p>
    <w:p w:rsidR="00EF676B" w:rsidRPr="00FA65A7" w:rsidRDefault="007C3F3D" w:rsidP="00EF676B">
      <w:pPr>
        <w:tabs>
          <w:tab w:val="left" w:pos="1710"/>
        </w:tabs>
        <w:spacing w:after="240"/>
        <w:ind w:left="2160" w:hanging="2160"/>
      </w:pPr>
      <w:r>
        <w:t>N4</w:t>
      </w:r>
      <w:r>
        <w:tab/>
        <w:t>=</w:t>
      </w:r>
      <w:r>
        <w:tab/>
      </w:r>
      <w:r w:rsidRPr="00FA65A7">
        <w:t>Each month with an initial settlement without an associated 4 month settlement</w:t>
      </w:r>
    </w:p>
    <w:p w:rsidR="00322503" w:rsidRDefault="007C3F3D" w:rsidP="00322503">
      <w:pPr>
        <w:tabs>
          <w:tab w:val="left" w:pos="1710"/>
        </w:tabs>
        <w:spacing w:after="240"/>
        <w:ind w:left="2160" w:hanging="2160"/>
      </w:pPr>
      <w:r w:rsidRPr="00FA65A7">
        <w:t>NF</w:t>
      </w:r>
      <w:r w:rsidRPr="00FA65A7">
        <w:tab/>
        <w:t>=</w:t>
      </w:r>
      <w:r w:rsidRPr="00FA65A7">
        <w:tab/>
        <w:t>Each month with an initial settlement without an associated final bill close-out</w:t>
      </w:r>
    </w:p>
    <w:p w:rsidR="00EF676B" w:rsidRDefault="007C3F3D" w:rsidP="00EF676B">
      <w:pPr>
        <w:tabs>
          <w:tab w:val="left" w:pos="1710"/>
        </w:tabs>
        <w:spacing w:after="240"/>
        <w:ind w:left="2160" w:hanging="2160"/>
      </w:pPr>
      <w:r>
        <w:t xml:space="preserve">Avg4TrueUp </w:t>
      </w:r>
      <w:r>
        <w:tab/>
        <w:t>=</w:t>
      </w:r>
      <w:r>
        <w:tab/>
        <w:t>Most r</w:t>
      </w:r>
      <w:r>
        <w:t xml:space="preserve">ecent six month rolling average percentage credit exposure of 4 month </w:t>
      </w:r>
      <w:r w:rsidRPr="00FA65A7">
        <w:t>settlements</w:t>
      </w:r>
      <w:r>
        <w:t xml:space="preserve"> to associated initial settlements, not to exceed a market-wide maximum percentage reasonably determined by the ISO </w:t>
      </w:r>
    </w:p>
    <w:p w:rsidR="00EF676B" w:rsidRDefault="007C3F3D" w:rsidP="00EF676B">
      <w:pPr>
        <w:tabs>
          <w:tab w:val="left" w:pos="1710"/>
        </w:tabs>
        <w:spacing w:after="240"/>
        <w:ind w:left="2160" w:hanging="2160"/>
      </w:pPr>
      <w:r>
        <w:t>AvgFinalTrueUp</w:t>
      </w:r>
      <w:r>
        <w:tab/>
        <w:t>=</w:t>
      </w:r>
      <w:r>
        <w:tab/>
        <w:t>Most recent six month rolling average per</w:t>
      </w:r>
      <w:r>
        <w:t xml:space="preserve">centage credit exposure of final bill close-outs to associated </w:t>
      </w:r>
      <w:r w:rsidRPr="00FA65A7">
        <w:t>4 month</w:t>
      </w:r>
      <w:r>
        <w:t xml:space="preserve"> settlements, not to exceed a market-wide maximum percentage reasonably determined by the ISO </w:t>
      </w:r>
    </w:p>
    <w:p w:rsidR="00EF676B" w:rsidRDefault="007C3F3D" w:rsidP="00EF676B">
      <w:pPr>
        <w:tabs>
          <w:tab w:val="left" w:pos="1710"/>
        </w:tabs>
        <w:spacing w:after="240"/>
        <w:ind w:left="2160" w:hanging="2160"/>
      </w:pPr>
      <w:r>
        <w:t>Initial 4 Month</w:t>
      </w:r>
      <w:r>
        <w:tab/>
        <w:t>=</w:t>
      </w:r>
      <w:r>
        <w:tab/>
        <w:t>Initial settlement for the month N4</w:t>
      </w:r>
    </w:p>
    <w:p w:rsidR="00EF676B" w:rsidRDefault="007C3F3D" w:rsidP="00EF676B">
      <w:pPr>
        <w:tabs>
          <w:tab w:val="left" w:pos="1710"/>
        </w:tabs>
        <w:spacing w:after="240"/>
        <w:ind w:left="1440" w:hanging="1440"/>
      </w:pPr>
      <w:r>
        <w:t>Initial Final</w:t>
      </w:r>
      <w:r>
        <w:tab/>
      </w:r>
      <w:r>
        <w:tab/>
        <w:t>=</w:t>
      </w:r>
      <w:r>
        <w:tab/>
        <w:t>Initial settlement f</w:t>
      </w:r>
      <w:r>
        <w:t>or the month NF</w:t>
      </w:r>
    </w:p>
    <w:p w:rsidR="00A12F46" w:rsidRDefault="007C3F3D">
      <w:pPr>
        <w:spacing w:line="480" w:lineRule="auto"/>
      </w:pPr>
    </w:p>
    <w:sectPr w:rsidR="00A12F46" w:rsidSect="00A12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15" w:rsidRDefault="005A2515" w:rsidP="005A2515">
      <w:r>
        <w:separator/>
      </w:r>
    </w:p>
  </w:endnote>
  <w:endnote w:type="continuationSeparator" w:id="0">
    <w:p w:rsidR="005A2515" w:rsidRDefault="005A2515" w:rsidP="005A2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15" w:rsidRDefault="007C3F3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</w:t>
    </w:r>
    <w:r>
      <w:rPr>
        <w:rFonts w:ascii="Arial" w:eastAsia="Arial" w:hAnsi="Arial" w:cs="Arial"/>
        <w:color w:val="000000"/>
        <w:sz w:val="16"/>
      </w:rPr>
      <w:t xml:space="preserve">ate: 2/18/2015 - Docket #: ER15-470-001 - Page </w:t>
    </w:r>
    <w:r w:rsidR="005A25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A2515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15" w:rsidRDefault="007C3F3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ER15-470-001 - Page </w:t>
    </w:r>
    <w:r w:rsidR="005A25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A2515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15" w:rsidRDefault="007C3F3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2/18/2015 - Docket #: ER15-470-001 - Page </w:t>
    </w:r>
    <w:r w:rsidR="005A2515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A2515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15" w:rsidRDefault="005A2515" w:rsidP="005A2515">
      <w:r>
        <w:separator/>
      </w:r>
    </w:p>
  </w:footnote>
  <w:footnote w:type="continuationSeparator" w:id="0">
    <w:p w:rsidR="005A2515" w:rsidRDefault="005A2515" w:rsidP="005A2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15" w:rsidRDefault="007C3F3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</w:t>
    </w:r>
    <w:r>
      <w:rPr>
        <w:rFonts w:ascii="Arial" w:eastAsia="Arial" w:hAnsi="Arial" w:cs="Arial"/>
        <w:color w:val="000000"/>
        <w:sz w:val="16"/>
      </w:rPr>
      <w:t xml:space="preserve"> of a Withdrawing Customer’s Collat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15" w:rsidRDefault="007C3F3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26.13 MST Att K Retention of a Withdrawing Customer’s Collat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515" w:rsidRDefault="007C3F3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</w:t>
    </w:r>
    <w:r>
      <w:rPr>
        <w:rFonts w:ascii="Arial" w:eastAsia="Arial" w:hAnsi="Arial" w:cs="Arial"/>
        <w:color w:val="000000"/>
        <w:sz w:val="16"/>
      </w:rPr>
      <w:t>r Cust --&gt; 26.13 MST Att K Retention of a Withdrawing Customer’s Collat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CF7C599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4CD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586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7CA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0A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043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3617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297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3FCE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WDocIDLocation" w:val="0"/>
  </w:docVars>
  <w:rsids>
    <w:rsidRoot w:val="005A2515"/>
    <w:rsid w:val="005A2515"/>
    <w:rsid w:val="007C3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F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1F40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1F40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1F4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AA1F4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AA1F4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AA1F4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1F4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AA1F4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AA1F4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A1F40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sid w:val="00AA1F40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rsid w:val="00AA1F40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rsid w:val="00AA1F40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rsid w:val="00AA1F40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rsid w:val="00AA1F40"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rsid w:val="00AA1F40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AA1F40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AA1F4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AA1F4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AA1F40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rsid w:val="00AA1F40"/>
    <w:pPr>
      <w:jc w:val="both"/>
    </w:pPr>
    <w:rPr>
      <w:sz w:val="20"/>
    </w:rPr>
  </w:style>
  <w:style w:type="table" w:styleId="TableGrid">
    <w:name w:val="Table Grid"/>
    <w:basedOn w:val="TableNormal"/>
    <w:rsid w:val="00AA1F4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AA1F40"/>
    <w:rPr>
      <w:rFonts w:cs="Times New Roman"/>
    </w:rPr>
  </w:style>
  <w:style w:type="paragraph" w:customStyle="1" w:styleId="Definition">
    <w:name w:val="Definition"/>
    <w:basedOn w:val="Normal"/>
    <w:uiPriority w:val="99"/>
    <w:rsid w:val="00AA1F40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AA1F40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AA1F40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AA1F40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AA1F40"/>
  </w:style>
  <w:style w:type="paragraph" w:customStyle="1" w:styleId="TOCheading">
    <w:name w:val="TOC heading"/>
    <w:basedOn w:val="Normal"/>
    <w:uiPriority w:val="99"/>
    <w:rsid w:val="00AA1F40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AA1F4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rsid w:val="00AA1F4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AA1F40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rsid w:val="00AA1F40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AA1F40"/>
  </w:style>
  <w:style w:type="paragraph" w:customStyle="1" w:styleId="Tarifftitle">
    <w:name w:val="Tariff title"/>
    <w:basedOn w:val="Normal"/>
    <w:uiPriority w:val="99"/>
    <w:rsid w:val="00AA1F40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AA1F40"/>
    <w:pPr>
      <w:ind w:left="240"/>
    </w:pPr>
  </w:style>
  <w:style w:type="character" w:styleId="Hyperlink">
    <w:name w:val="Hyperlink"/>
    <w:basedOn w:val="DefaultParagraphFont"/>
    <w:uiPriority w:val="99"/>
    <w:rsid w:val="00AA1F40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AA1F40"/>
    <w:pPr>
      <w:ind w:left="480"/>
    </w:pPr>
  </w:style>
  <w:style w:type="paragraph" w:styleId="TOC4">
    <w:name w:val="toc 4"/>
    <w:basedOn w:val="Normal"/>
    <w:next w:val="Normal"/>
    <w:uiPriority w:val="99"/>
    <w:semiHidden/>
    <w:rsid w:val="00AA1F40"/>
    <w:pPr>
      <w:ind w:left="720"/>
    </w:pPr>
  </w:style>
  <w:style w:type="paragraph" w:customStyle="1" w:styleId="Tablecaption">
    <w:name w:val="Table caption"/>
    <w:basedOn w:val="Bodypara"/>
    <w:rsid w:val="00AA1F40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rsid w:val="00AA1F40"/>
    <w:pPr>
      <w:ind w:left="1890" w:hanging="720"/>
    </w:pPr>
  </w:style>
  <w:style w:type="paragraph" w:customStyle="1" w:styleId="Footers">
    <w:name w:val="Footers"/>
    <w:basedOn w:val="Heading1"/>
    <w:uiPriority w:val="99"/>
    <w:rsid w:val="00AA1F4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A1F40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A1F40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A1F40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A1F40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A1F40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A1F40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A1F40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A1F40"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A1F4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A1F40"/>
    <w:rPr>
      <w:rFonts w:cs="Times New Roman"/>
    </w:rPr>
  </w:style>
  <w:style w:type="paragraph" w:customStyle="1" w:styleId="Definitionhead">
    <w:name w:val="Definition head"/>
    <w:basedOn w:val="subhead"/>
    <w:uiPriority w:val="99"/>
    <w:rsid w:val="00AA1F40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A1F40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A1F40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1F40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AA1F40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AA1F40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A1F40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F40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AA1F40"/>
    <w:rPr>
      <w:sz w:val="24"/>
      <w:szCs w:val="24"/>
    </w:rPr>
  </w:style>
  <w:style w:type="paragraph" w:styleId="Revision">
    <w:name w:val="Revision"/>
    <w:hidden/>
    <w:uiPriority w:val="99"/>
    <w:semiHidden/>
    <w:rsid w:val="00AA1F4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67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2010-06-07T20:34:00Z</cp:lastPrinted>
  <dcterms:created xsi:type="dcterms:W3CDTF">2017-03-23T23:57:00Z</dcterms:created>
  <dcterms:modified xsi:type="dcterms:W3CDTF">2017-03-23T23:57:00Z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  <property fmtid="{D5CDD505-2E9C-101B-9397-08002B2CF9AE}" pid="3" name="_AdHocReviewCycleID">
    <vt:i4>-593284965</vt:i4>
  </property>
  <property fmtid="{D5CDD505-2E9C-101B-9397-08002B2CF9AE}" pid="4" name="_NewReviewCycle">
    <vt:lpwstr/>
  </property>
  <property fmtid="{D5CDD505-2E9C-101B-9397-08002B2CF9AE}" pid="5" name="_PreviousAdHocReviewCycleID">
    <vt:i4>1769806185</vt:i4>
  </property>
  <property fmtid="{D5CDD505-2E9C-101B-9397-08002B2CF9AE}" pid="6" name="_ReviewingToolsShownOnce">
    <vt:lpwstr/>
  </property>
</Properties>
</file>