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53A8C" w14:paraId="060A64F8" w14:textId="77777777">
      <w:pPr>
        <w:pStyle w:val="Heading2"/>
      </w:pPr>
      <w:bookmarkStart w:id="0" w:name="_Toc261439810"/>
      <w:bookmarkStart w:id="1" w:name="_GoBack"/>
      <w:bookmarkEnd w:id="1"/>
      <w:r>
        <w:t>31.6</w:t>
      </w:r>
      <w:r>
        <w:tab/>
        <w:t>Other Provisions</w:t>
      </w:r>
      <w:bookmarkEnd w:id="0"/>
    </w:p>
    <w:p w:rsidR="00553A8C" w14:paraId="57D02E32" w14:textId="77777777">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553A8C" w14:paraId="68892587" w14:textId="77777777">
      <w:pPr>
        <w:pStyle w:val="Bodypara"/>
        <w:rPr>
          <w:color w:val="000000"/>
        </w:rPr>
      </w:pPr>
      <w:bookmarkStart w:id="6" w:name="_DV_M198"/>
      <w:bookmarkEnd w:id="6"/>
      <w:r>
        <w:t>Disputes directly relating to the ISO’s compliance with its tariffs that are not resolved in the internal ISO collaborative governance appeals process or ISO dispute resolution process, and all disputes relating to matters that fall within the exclusive jurisdiction of the Commission, shall be reviewed at the Commission pursuant to the Federal Power Act if such review is sought by any party to the dispute.  The NYPSC or any party to a dispute regarding matters over which both the NYPSC and the Commission have jurisdiction and responsibility for action may submit a request to the Commission for a joint or concurrent hearing to resolve the dispute.</w:t>
      </w:r>
    </w:p>
    <w:p w:rsidR="00553A8C" w14:paraId="7071A56D" w14:textId="77777777">
      <w:pPr>
        <w:pStyle w:val="Heading3"/>
      </w:pPr>
      <w:bookmarkStart w:id="7" w:name="_DV_M199"/>
      <w:bookmarkStart w:id="8" w:name="_Toc261439812"/>
      <w:bookmarkEnd w:id="7"/>
      <w:r>
        <w:t>31.6.2</w:t>
      </w:r>
      <w:r>
        <w:tab/>
        <w:t>Non-Jurisdictional Entities</w:t>
      </w:r>
      <w:bookmarkEnd w:id="8"/>
    </w:p>
    <w:p w:rsidR="00553A8C" w14:paraId="52E42A54" w14:textId="77777777">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 general ratemaking authority.</w:t>
      </w:r>
    </w:p>
    <w:p w:rsidR="00553A8C" w14:paraId="1638A95E" w14:textId="77777777">
      <w:pPr>
        <w:pStyle w:val="Heading3"/>
      </w:pPr>
      <w:bookmarkStart w:id="15" w:name="_Toc261439813"/>
      <w:r>
        <w:t>31.6.3</w:t>
      </w:r>
      <w:r>
        <w:tab/>
        <w:t>Tax Exempt Financing Provisions</w:t>
      </w:r>
      <w:bookmarkEnd w:id="15"/>
    </w:p>
    <w:p w:rsidR="00553A8C" w14:paraId="16C62E41" w14:textId="77777777">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Reliability Planning Process if such construction would result in the loss of tax-exempt status of any tax-exempt bond issued by </w:t>
      </w:r>
      <w:bookmarkStart w:id="22" w:name="_DV_M209"/>
      <w:bookmarkEnd w:id="22"/>
      <w:r>
        <w:t>Con Edison, NYPA or LIPA, or impair their ability to secure future tax-exempt financing.</w:t>
      </w:r>
    </w:p>
    <w:p w:rsidR="00553A8C" w14:paraId="4BE92271" w14:textId="77777777">
      <w:pPr>
        <w:pStyle w:val="Heading3"/>
      </w:pPr>
      <w:bookmarkStart w:id="23" w:name="_Toc261439814"/>
      <w:r>
        <w:t>31.6.4</w:t>
      </w:r>
      <w:r>
        <w:tab/>
        <w:t>Rights of Transmission Owners</w:t>
      </w:r>
    </w:p>
    <w:p w:rsidR="00553A8C" w14:paraId="49DB370C" w14:textId="77777777">
      <w:pPr>
        <w:pStyle w:val="Bodypara"/>
      </w:pPr>
      <w:r>
        <w:t xml:space="preserve">Nothing in this Attachment Y affects the right of a Transmission Owner to:  (1) build, own, and recover the costs for upgrades to the facilities it owns, provided that nothing in </w:t>
      </w:r>
      <w:r>
        <w:t>Attachment Y affects a Transmission Owner’s right to recover the costs of upgrades to its facilities except if the upgrade has been selected in the regional transmission plan for purposes of cost allocation, in which case the regional cost allocation method set forth in Attachment Y of the ISO OATT applies, unless the Transmission Owner has declined to pursue regional cost allocation; (2) retain, modify, or transfer rights-of-way subject to relevant law or regulation granting such rights-of-way; or (3) develop a local transmission solution that is not eligible for regional cost allocation to meet its reliability needs or service obligations in its Transmission District or footprint, as applicable.  For purposes of Section 31.6.4, the term “upgrade” shall refer to an improvement to, addition to, or replacement of a part of</w:t>
      </w:r>
      <w:r w:rsidR="002E6C6D">
        <w:t>,</w:t>
      </w:r>
      <w:r>
        <w:t xml:space="preserve"> an existing transmission facility and shall not refer to an entirely new transmission facility.</w:t>
      </w:r>
    </w:p>
    <w:p w:rsidR="00553A8C" w14:paraId="79DB93B5" w14:textId="77777777">
      <w:pPr>
        <w:spacing w:line="480" w:lineRule="auto"/>
        <w:rPr>
          <w:b/>
        </w:rPr>
      </w:pPr>
      <w:r>
        <w:rPr>
          <w:b/>
        </w:rPr>
        <w:t>31.6.5</w:t>
      </w:r>
      <w:r>
        <w:rPr>
          <w:b/>
        </w:rPr>
        <w:tab/>
        <w:t>Notice of Reliability Requirements</w:t>
      </w:r>
    </w:p>
    <w:p w:rsidR="00553A8C" w14:paraId="77BE8A7A" w14:textId="77777777">
      <w:pPr>
        <w:pStyle w:val="Bodypara"/>
      </w:pPr>
      <w:r>
        <w:t xml:space="preserve">The Developer of  a project selected pursuant to the provisions in this Attachment Y is hereby notified that it must comply with all applicable reliability criteria, policies, standards, rules, regulations, and other requirements of NERC, NPCC, NYSRC, Transmission Owners, and any other applicable reliability entities or their successors, to the extent required by, and in accordance with, their procedures.  </w:t>
      </w:r>
      <w:bookmarkStart w:id="24" w:name="_DV_M210"/>
      <w:bookmarkEnd w:id="23"/>
      <w:bookmarkEnd w:id="24"/>
    </w:p>
    <w:p w:rsidR="00553A8C" w14:paraId="63D350BF" w14:textId="77777777">
      <w:pPr>
        <w:pStyle w:val="Heading2"/>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10/12/2021 - Docket #: EL22-2-001 -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10/12/2021 - Docket #: EL22-2-001 -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10/12/2021 - Docket #: EL22-2-001 -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8C"/>
    <w:rsid w:val="000158B5"/>
    <w:rsid w:val="00106CE3"/>
    <w:rsid w:val="00281B1D"/>
    <w:rsid w:val="002E6C6D"/>
    <w:rsid w:val="003236BE"/>
    <w:rsid w:val="004A7909"/>
    <w:rsid w:val="00553A8C"/>
    <w:rsid w:val="005E6D1C"/>
    <w:rsid w:val="0074145B"/>
    <w:rsid w:val="008655F3"/>
    <w:rsid w:val="0088675D"/>
    <w:rsid w:val="00A16649"/>
    <w:rsid w:val="00B22B78"/>
    <w:rsid w:val="00CC0C9F"/>
    <w:rsid w:val="00F03844"/>
    <w:rsid w:val="00F14DF3"/>
    <w:rsid w:val="00F82E28"/>
    <w:rsid w:val="00FD3F3F"/>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5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2.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4.xml><?xml version="1.0" encoding="utf-8"?>
<ds:datastoreItem xmlns:ds="http://schemas.openxmlformats.org/officeDocument/2006/customXml" ds:itemID="{8747DC1F-B23A-4D75-A4AC-ED272F0A95FA}">
  <ds:schemaRefs>
    <ds:schemaRef ds:uri="http://schemas.microsoft.com/office/infopath/2007/PartnerControls"/>
    <ds:schemaRef ds:uri="d2a2a88e-ed6e-437f-8263-76e618aa10b0"/>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6F565FB9-97C3-40CF-9893-A8A03740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2021-08-17T16:19:00Z</cp:lastPrinted>
  <dcterms:created xsi:type="dcterms:W3CDTF">2022-03-14T15:44:00Z</dcterms:created>
  <dcterms:modified xsi:type="dcterms:W3CDTF">2022-03-14T15:44:00Z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