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9AC" w:rsidRDefault="00A70148" w:rsidP="00951A95">
      <w:pPr>
        <w:pStyle w:val="Heading2"/>
      </w:pPr>
      <w:bookmarkStart w:id="0" w:name="_Toc261444588"/>
      <w:r>
        <w:t>5</w:t>
      </w:r>
      <w:r>
        <w:t>.</w:t>
      </w:r>
      <w:r>
        <w:t>2</w:t>
      </w:r>
      <w:r>
        <w:tab/>
        <w:t>The Individual Retail Access Plans</w:t>
      </w:r>
      <w:bookmarkEnd w:id="0"/>
    </w:p>
    <w:p w:rsidR="003639AC" w:rsidRDefault="00A70148" w:rsidP="00E651B3">
      <w:pPr>
        <w:pStyle w:val="Bodypara"/>
      </w:pPr>
      <w:r>
        <w:t>Each Transmission Owner reserves the right to unilaterally modify its retail access tariff subject to any necessary regulatory filing.  Each Transmission Owner also reserves the right to</w:t>
      </w:r>
      <w:r>
        <w:t xml:space="preserve"> </w:t>
      </w:r>
      <w:r>
        <w:t xml:space="preserve">unilaterally modify its </w:t>
      </w:r>
      <w:r>
        <w:t>retail transmission charges subject to any filing required to be made with the Commission pursuant to Section 205 of the FPA or in the case of LIPA, approval by the Long Island Power Authority’s Board of Trustees.  The ISO shall implement any tariff change</w:t>
      </w:r>
      <w:r>
        <w:t>s necessary to implement the changes to the retail transmission charge.  Ongoing proceedings before the PSC may impact rates, terms and conditions for retail access programs covered under this Section.</w:t>
      </w:r>
    </w:p>
    <w:p w:rsidR="003639AC" w:rsidRDefault="00A70148" w:rsidP="00FC2CF0">
      <w:pPr>
        <w:pStyle w:val="Heading4"/>
      </w:pPr>
      <w:bookmarkStart w:id="1" w:name="_Toc261444589"/>
      <w:r>
        <w:t>5.</w:t>
      </w:r>
      <w:r>
        <w:t>2</w:t>
      </w:r>
      <w:r>
        <w:t>.1</w:t>
      </w:r>
      <w:r>
        <w:tab/>
        <w:t xml:space="preserve">Central </w:t>
      </w:r>
      <w:smartTag w:uri="urn:schemas-microsoft-com:office:smarttags" w:element="place">
        <w:smartTag w:uri="urn:schemas-microsoft-com:office:smarttags" w:element="City">
          <w:r>
            <w:t>Hudson</w:t>
          </w:r>
        </w:smartTag>
      </w:smartTag>
      <w:bookmarkEnd w:id="1"/>
    </w:p>
    <w:p w:rsidR="003639AC" w:rsidRDefault="00A70148" w:rsidP="00E651B3">
      <w:pPr>
        <w:pStyle w:val="Bodypara"/>
        <w:rPr>
          <w:b/>
        </w:rPr>
      </w:pPr>
      <w:r>
        <w:t xml:space="preserve">Customers taking part in Central </w:t>
      </w:r>
      <w:r>
        <w:t xml:space="preserve">Hudson's retail access program shall take service under Parts I and IV of this Tariff and under </w:t>
      </w:r>
      <w:smartTag w:uri="urn:schemas-microsoft-com:office:smarttags" w:element="place">
        <w:r>
          <w:t>Central Hudson</w:t>
        </w:r>
      </w:smartTag>
      <w:r>
        <w:t>’s PSC and FERC</w:t>
      </w:r>
      <w:r>
        <w:t xml:space="preserve"> </w:t>
      </w:r>
      <w:r>
        <w:t>approved retail access tariff, FERC Rate Schedule No. ER 98</w:t>
      </w:r>
      <w:r>
        <w:noBreakHyphen/>
        <w:t>3602 as amended from time to time.  Pursuant to Central Hudson’s retai</w:t>
      </w:r>
      <w:r>
        <w:t xml:space="preserve">l access tariff and this Tariff all retail access customers will receive a bill from </w:t>
      </w:r>
      <w:smartTag w:uri="urn:schemas-microsoft-com:office:smarttags" w:element="place">
        <w:r>
          <w:t>Central Hudson</w:t>
        </w:r>
      </w:smartTag>
      <w:r>
        <w:t xml:space="preserve"> for the transmission component of their retail access service.  Such customers shall pay this bill directly to </w:t>
      </w:r>
      <w:smartTag w:uri="urn:schemas-microsoft-com:office:smarttags" w:element="place">
        <w:r>
          <w:t>Central Hudson</w:t>
        </w:r>
      </w:smartTag>
      <w:r>
        <w:t>.</w:t>
      </w:r>
      <w:r>
        <w:rPr>
          <w:b/>
        </w:rPr>
        <w:t xml:space="preserve"> </w:t>
      </w:r>
    </w:p>
    <w:p w:rsidR="003639AC" w:rsidRDefault="00A70148" w:rsidP="00FC2CF0">
      <w:pPr>
        <w:pStyle w:val="Heading4"/>
      </w:pPr>
      <w:bookmarkStart w:id="2" w:name="_Toc261444590"/>
      <w:r>
        <w:t>5.</w:t>
      </w:r>
      <w:r>
        <w:t>2</w:t>
      </w:r>
      <w:r>
        <w:t>.2</w:t>
      </w:r>
      <w:r>
        <w:tab/>
        <w:t xml:space="preserve">Consolidated </w:t>
      </w:r>
      <w:smartTag w:uri="urn:schemas-microsoft-com:office:smarttags" w:element="place">
        <w:r>
          <w:t>Edison</w:t>
        </w:r>
      </w:smartTag>
      <w:bookmarkEnd w:id="2"/>
    </w:p>
    <w:p w:rsidR="003639AC" w:rsidRDefault="00A70148" w:rsidP="00E651B3">
      <w:pPr>
        <w:pStyle w:val="Bodypara"/>
      </w:pPr>
      <w:r>
        <w:t>Re</w:t>
      </w:r>
      <w:r>
        <w:t xml:space="preserve">tail access customers participating in the Consolidated Edison’s retail access plan shall take retail access service under Parts </w:t>
      </w:r>
      <w:r>
        <w:t>2</w:t>
      </w:r>
      <w:r>
        <w:t xml:space="preserve"> and </w:t>
      </w:r>
      <w:r>
        <w:t>5</w:t>
      </w:r>
      <w:r>
        <w:t xml:space="preserve"> of this Tariff and under Consolidated Edison’s PSC and FERC approved retail access tariff, Consolidated</w:t>
      </w:r>
      <w:r>
        <w:t xml:space="preserve"> </w:t>
      </w:r>
      <w:r>
        <w:t>Edison’s Rate S</w:t>
      </w:r>
      <w:r>
        <w:t xml:space="preserve">chedule FERC No.  1, Attachments K and L and Consolidated Edison Company of New York, Inc. PSC No. 2 </w:t>
      </w:r>
      <w:r>
        <w:noBreakHyphen/>
        <w:t xml:space="preserve"> Retail Access, as amended from time to time.  Pursuant to Consolidated Edison’s retail access tariff and </w:t>
      </w:r>
      <w:r>
        <w:lastRenderedPageBreak/>
        <w:t>this Tariff, retail access customers will receiv</w:t>
      </w:r>
      <w:r>
        <w:t>e a bill from Consolidated Edison for the transmission component of their retail access service. Such customers shall pay this bill to Consolidated Edison in accordance with the terms of Consolidated Edison’s Rate Schedule FERC No. 1, Attachments K and L a</w:t>
      </w:r>
      <w:r>
        <w:t xml:space="preserve">nd Consolidated Edison Company of New York, Inc. PSC No. 2 </w:t>
      </w:r>
      <w:r>
        <w:noBreakHyphen/>
        <w:t xml:space="preserve"> Retail Access, as amended from time to time.  </w:t>
      </w:r>
    </w:p>
    <w:p w:rsidR="003639AC" w:rsidRDefault="00A70148" w:rsidP="00FC2CF0">
      <w:pPr>
        <w:pStyle w:val="Heading4"/>
      </w:pPr>
      <w:bookmarkStart w:id="3" w:name="_Toc261444591"/>
      <w:r>
        <w:t>5.</w:t>
      </w:r>
      <w:r>
        <w:t>2</w:t>
      </w:r>
      <w:r>
        <w:t>.3</w:t>
      </w:r>
      <w:r>
        <w:tab/>
        <w:t>LIPA</w:t>
      </w:r>
      <w:bookmarkEnd w:id="3"/>
    </w:p>
    <w:p w:rsidR="003639AC" w:rsidRDefault="00A70148" w:rsidP="00E651B3">
      <w:pPr>
        <w:pStyle w:val="Bodypara"/>
      </w:pPr>
      <w:r>
        <w:t xml:space="preserve">Retail access customers participating in the LIPA retail access plan shall receive retail Transmission Service pursuant to Parts </w:t>
      </w:r>
      <w:r>
        <w:t>2</w:t>
      </w:r>
      <w:r>
        <w:t xml:space="preserve"> and </w:t>
      </w:r>
      <w:r>
        <w:t>5</w:t>
      </w:r>
      <w:r>
        <w:t xml:space="preserve"> </w:t>
      </w:r>
      <w:r>
        <w:t>of this Tariff and the “Long Island Choice” portions of approved “Long Island Power Authority Tariff For Electric Service.”  Retail Transmission Service customers will be billed and shall pay for such service as part of their bundled retail delivery servic</w:t>
      </w:r>
      <w:r>
        <w:t>e rate pursuant to the L</w:t>
      </w:r>
      <w:r>
        <w:t>ong Island Choice portion of</w:t>
      </w:r>
      <w:r>
        <w:t xml:space="preserve"> the Long Island Power Authority Tariff for Electric Service.</w:t>
      </w:r>
    </w:p>
    <w:p w:rsidR="003639AC" w:rsidRDefault="00A70148" w:rsidP="00FC2CF0">
      <w:pPr>
        <w:pStyle w:val="Heading4"/>
      </w:pPr>
      <w:bookmarkStart w:id="4" w:name="_Toc261444592"/>
      <w:r>
        <w:t>5.</w:t>
      </w:r>
      <w:r>
        <w:t>2</w:t>
      </w:r>
      <w:r>
        <w:t>.4</w:t>
      </w:r>
      <w:r>
        <w:tab/>
        <w:t>NYSEG</w:t>
      </w:r>
      <w:bookmarkEnd w:id="4"/>
    </w:p>
    <w:p w:rsidR="003639AC" w:rsidRDefault="00A70148" w:rsidP="00E651B3">
      <w:pPr>
        <w:pStyle w:val="Bodypara"/>
      </w:pPr>
      <w:r>
        <w:t>Retail customers participating in NYSEG’s retail access program, known as Customer Advantage, shall receive Transmission Service p</w:t>
      </w:r>
      <w:r>
        <w:t xml:space="preserve">ursuant to Parts </w:t>
      </w:r>
      <w:r>
        <w:t>2</w:t>
      </w:r>
      <w:r>
        <w:t xml:space="preserve"> and </w:t>
      </w:r>
      <w:r>
        <w:t>5</w:t>
      </w:r>
      <w:r>
        <w:t xml:space="preserve"> of this Tariff and pursuant to the provisions to NYSEG’s retail access tariffs PSC Nos. 90, 115 and 118, as amended or their successors, that relate to its</w:t>
      </w:r>
      <w:r>
        <w:t xml:space="preserve"> </w:t>
      </w:r>
      <w:r>
        <w:t>Customer Advantage Program.  LSEs are referred to as “Energy Service Compan</w:t>
      </w:r>
      <w:r>
        <w:t>ies” or “ESCOs” in NYSEG’s retail access tariffs.  ESCOs eligible to participate in NYSEG’s Customer Advantage Program will act as agents for retail customers for the purpose of obtaining the necessary service under this Tariff when a retail customer contr</w:t>
      </w:r>
      <w:r>
        <w:t xml:space="preserve">acts with the ESCO for Electric Power Supply pursuant to the Customer Advantage Program.  Retail customers that are eligible to participate in NYSEG’s Customer Advantage Program that meet the requirements of the ISO and NYSEG’s retail access tariffs </w:t>
      </w:r>
      <w:r>
        <w:lastRenderedPageBreak/>
        <w:t>(refer</w:t>
      </w:r>
      <w:r>
        <w:t xml:space="preserve">red to as “Self Supply Customers” or “SSCs” under the retail access tariffs) shall also be required to obtain the necessary service under this Tariff but solely for their own use.  Retail customers participating in NYSEG’s Program will be billed and shall </w:t>
      </w:r>
      <w:r>
        <w:t>pay for the Transmission Service Charge as part of their retail service rate pursuant to the retail access tariffs.</w:t>
      </w:r>
    </w:p>
    <w:p w:rsidR="003639AC" w:rsidRDefault="00A70148" w:rsidP="00E651B3">
      <w:pPr>
        <w:pStyle w:val="Bodypara"/>
      </w:pPr>
      <w:r>
        <w:t>NYSEG is currently a party to proceedings before the PSC, which could impact the terms and conditions of its Customer Advantage Program.  It</w:t>
      </w:r>
      <w:r>
        <w:t xml:space="preserve"> is the Company’s intent to file changes to this Tariff as necessary and appropriate to reflect Orders issued by the PSC relating to the program.</w:t>
      </w:r>
    </w:p>
    <w:p w:rsidR="003639AC" w:rsidRDefault="00A70148" w:rsidP="00FC2CF0">
      <w:pPr>
        <w:pStyle w:val="Heading4"/>
      </w:pPr>
      <w:bookmarkStart w:id="5" w:name="_Toc261444593"/>
      <w:r>
        <w:t>5.</w:t>
      </w:r>
      <w:r>
        <w:t>2</w:t>
      </w:r>
      <w:r>
        <w:t>.5</w:t>
      </w:r>
      <w:r>
        <w:tab/>
      </w:r>
      <w:smartTag w:uri="urn:schemas-microsoft-com:office:smarttags" w:element="place">
        <w:r>
          <w:t>Niagara</w:t>
        </w:r>
      </w:smartTag>
      <w:r>
        <w:t xml:space="preserve"> Mohawk</w:t>
      </w:r>
      <w:bookmarkEnd w:id="5"/>
    </w:p>
    <w:p w:rsidR="003639AC" w:rsidRDefault="00A70148" w:rsidP="00E651B3">
      <w:pPr>
        <w:pStyle w:val="Bodypara"/>
        <w:rPr>
          <w:b/>
        </w:rPr>
      </w:pPr>
      <w:r>
        <w:t>Retail access is provided to Niagara Mohawk’s customers through the company’s PSC #207 ta</w:t>
      </w:r>
      <w:r>
        <w:t>riff, Rule 39, as amended from time to time.  Customers under this program will take retail Transmission Service under Parts I and IV of this Tariff.  They will be billed by, and make payments directly to Niagara Mohawk for the applicable Transmission Serv</w:t>
      </w:r>
      <w:r>
        <w:t>ice Charge.</w:t>
      </w:r>
    </w:p>
    <w:p w:rsidR="003639AC" w:rsidRDefault="00A70148" w:rsidP="00FC2CF0">
      <w:pPr>
        <w:pStyle w:val="Heading4"/>
      </w:pPr>
      <w:bookmarkStart w:id="6" w:name="_Toc261444594"/>
      <w:r>
        <w:t>5.</w:t>
      </w:r>
      <w:r>
        <w:t>2</w:t>
      </w:r>
      <w:r>
        <w:t>.6</w:t>
      </w:r>
      <w:r>
        <w:tab/>
      </w:r>
      <w:smartTag w:uri="urn:schemas-microsoft-com:office:smarttags" w:element="City">
        <w:r>
          <w:t>Orange</w:t>
        </w:r>
      </w:smartTag>
      <w:r>
        <w:t xml:space="preserve"> and </w:t>
      </w:r>
      <w:smartTag w:uri="urn:schemas-microsoft-com:office:smarttags" w:element="place">
        <w:smartTag w:uri="urn:schemas-microsoft-com:office:smarttags" w:element="City">
          <w:r>
            <w:t>Rockland</w:t>
          </w:r>
        </w:smartTag>
      </w:smartTag>
      <w:bookmarkEnd w:id="6"/>
    </w:p>
    <w:p w:rsidR="003639AC" w:rsidRDefault="00A70148" w:rsidP="00E651B3">
      <w:pPr>
        <w:pStyle w:val="Bodypara"/>
      </w:pPr>
      <w:r>
        <w:t xml:space="preserve">Retail access customers participating in the </w:t>
      </w:r>
      <w:smartTag w:uri="urn:schemas-microsoft-com:office:smarttags" w:element="City">
        <w:r>
          <w:t>Orange</w:t>
        </w:r>
      </w:smartTag>
      <w:r>
        <w:t xml:space="preserve"> and </w:t>
      </w:r>
      <w:smartTag w:uri="urn:schemas-microsoft-com:office:smarttags" w:element="City">
        <w:r>
          <w:t>Rockland</w:t>
        </w:r>
      </w:smartTag>
      <w:r>
        <w:t xml:space="preserve"> retail access plan shall take retail access service under Parts </w:t>
      </w:r>
      <w:r>
        <w:t>2</w:t>
      </w:r>
      <w:r>
        <w:t xml:space="preserve"> and </w:t>
      </w:r>
      <w:r>
        <w:t>5</w:t>
      </w:r>
      <w:r>
        <w:t xml:space="preserve"> of this Tariff and under </w:t>
      </w:r>
      <w:smartTag w:uri="urn:schemas-microsoft-com:office:smarttags" w:element="place">
        <w:smartTag w:uri="urn:schemas-microsoft-com:office:smarttags" w:element="City">
          <w:r>
            <w:t>Orange</w:t>
          </w:r>
        </w:smartTag>
      </w:smartTag>
      <w:r>
        <w:t xml:space="preserve"> and Rockland Utilities, Inc., FERC Electric Tarif</w:t>
      </w:r>
      <w:r>
        <w:t xml:space="preserve">f, Volume No. 3, as amended from time to time.  Pursuant to </w:t>
      </w:r>
      <w:smartTag w:uri="urn:schemas-microsoft-com:office:smarttags" w:element="City">
        <w:r>
          <w:t>Orange</w:t>
        </w:r>
      </w:smartTag>
      <w:r>
        <w:t xml:space="preserve"> and </w:t>
      </w:r>
      <w:smartTag w:uri="urn:schemas-microsoft-com:office:smarttags" w:element="City">
        <w:r>
          <w:t>Rockland</w:t>
        </w:r>
      </w:smartTag>
      <w:r>
        <w:t xml:space="preserve">’s PSC approved retail access tariff and this Tariff all retail access customers will receive a bill from </w:t>
      </w:r>
      <w:smartTag w:uri="urn:schemas-microsoft-com:office:smarttags" w:element="City">
        <w:r>
          <w:t>Orange</w:t>
        </w:r>
      </w:smartTag>
      <w:r>
        <w:t xml:space="preserve"> and </w:t>
      </w:r>
      <w:smartTag w:uri="urn:schemas-microsoft-com:office:smarttags" w:element="place">
        <w:smartTag w:uri="urn:schemas-microsoft-com:office:smarttags" w:element="City">
          <w:r>
            <w:t>Rockland</w:t>
          </w:r>
        </w:smartTag>
      </w:smartTag>
      <w:r>
        <w:t xml:space="preserve"> </w:t>
      </w:r>
      <w:r>
        <w:t xml:space="preserve">for the transmission component </w:t>
      </w:r>
      <w:r>
        <w:t>of their retail serv</w:t>
      </w:r>
      <w:r>
        <w:t xml:space="preserve">ice.  Such customers shall pay this bill directly to </w:t>
      </w:r>
      <w:smartTag w:uri="urn:schemas-microsoft-com:office:smarttags" w:element="City">
        <w:r>
          <w:t>Orange</w:t>
        </w:r>
      </w:smartTag>
      <w:r>
        <w:t xml:space="preserve"> and </w:t>
      </w:r>
      <w:smartTag w:uri="urn:schemas-microsoft-com:office:smarttags" w:element="City">
        <w:r>
          <w:t>Rockland</w:t>
        </w:r>
      </w:smartTag>
      <w:r>
        <w:t xml:space="preserve"> in accordance with the terms of </w:t>
      </w:r>
      <w:smartTag w:uri="urn:schemas-microsoft-com:office:smarttags" w:element="City">
        <w:r>
          <w:t>Orange</w:t>
        </w:r>
      </w:smartTag>
      <w:r>
        <w:t xml:space="preserve"> and </w:t>
      </w:r>
      <w:smartTag w:uri="urn:schemas-microsoft-com:office:smarttags" w:element="place">
        <w:smartTag w:uri="urn:schemas-microsoft-com:office:smarttags" w:element="City">
          <w:r>
            <w:t>Rockland</w:t>
          </w:r>
        </w:smartTag>
      </w:smartTag>
      <w:r>
        <w:t xml:space="preserve"> Utilities, Inc. FERC Electric Tariff, Volume No. 3, as amended from time to time.</w:t>
      </w:r>
    </w:p>
    <w:p w:rsidR="003639AC" w:rsidRDefault="00A70148" w:rsidP="00FC2CF0">
      <w:pPr>
        <w:pStyle w:val="Heading4"/>
      </w:pPr>
      <w:bookmarkStart w:id="7" w:name="_Toc261444595"/>
      <w:r>
        <w:t>5.</w:t>
      </w:r>
      <w:r>
        <w:t>2</w:t>
      </w:r>
      <w:r>
        <w:t>.7</w:t>
      </w:r>
      <w:r>
        <w:tab/>
      </w:r>
      <w:smartTag w:uri="urn:schemas-microsoft-com:office:smarttags" w:element="place">
        <w:smartTag w:uri="urn:schemas-microsoft-com:office:smarttags" w:element="City">
          <w:r>
            <w:t>Rochester</w:t>
          </w:r>
        </w:smartTag>
      </w:smartTag>
      <w:r>
        <w:t xml:space="preserve"> Gas and Electric Corporation</w:t>
      </w:r>
      <w:bookmarkEnd w:id="7"/>
    </w:p>
    <w:p w:rsidR="003639AC" w:rsidRDefault="00A70148" w:rsidP="003A3861">
      <w:pPr>
        <w:pStyle w:val="Bodypara"/>
      </w:pPr>
      <w:r>
        <w:t>Unde</w:t>
      </w:r>
      <w:r>
        <w:t xml:space="preserve">r Rochester Gas and Electric Corporation’s retail access program, 10% of the Load became eligible to choose their own supplier of electricity on </w:t>
      </w:r>
      <w:smartTag w:uri="urn:schemas-microsoft-com:office:smarttags" w:element="date">
        <w:smartTagPr>
          <w:attr w:name="Day" w:val="1"/>
          <w:attr w:name="Month" w:val="7"/>
          <w:attr w:name="Year" w:val="1998"/>
        </w:smartTagPr>
        <w:r>
          <w:t>July 1, 1998</w:t>
        </w:r>
      </w:smartTag>
      <w:r>
        <w:t xml:space="preserve">.  (PSC No. 15 </w:t>
      </w:r>
      <w:r>
        <w:noBreakHyphen/>
        <w:t xml:space="preserve"> Electricity, </w:t>
      </w:r>
      <w:smartTag w:uri="urn:schemas-microsoft-com:office:smarttags" w:element="place">
        <w:smartTag w:uri="urn:schemas-microsoft-com:office:smarttags" w:element="City">
          <w:r>
            <w:t>Rochester</w:t>
          </w:r>
        </w:smartTag>
      </w:smartTag>
      <w:r>
        <w:t xml:space="preserve"> Gas and Electric Corporation, Schedule for Electric Distrib</w:t>
      </w:r>
      <w:r>
        <w:t>ution Service.)  Twenty percent of the Load will became eligible to participate i</w:t>
      </w:r>
      <w:r>
        <w:t>n the choice program on July 1, </w:t>
      </w:r>
      <w:r>
        <w:t>1999, while 50% of the Load may elect their supplier by July 1, 2000.  All customers will be eligible to choose their supplier of electricity b</w:t>
      </w:r>
      <w:r>
        <w:t xml:space="preserve">eginning </w:t>
      </w:r>
      <w:smartTag w:uri="urn:schemas-microsoft-com:office:smarttags" w:element="date">
        <w:smartTagPr>
          <w:attr w:name="Day" w:val="1"/>
          <w:attr w:name="Month" w:val="7"/>
          <w:attr w:name="Year" w:val="2001"/>
        </w:smartTagPr>
        <w:r>
          <w:t>July 1, 2001</w:t>
        </w:r>
      </w:smartTag>
      <w:r>
        <w:t>.</w:t>
      </w:r>
    </w:p>
    <w:sectPr w:rsidR="003639AC"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765B" w:rsidRDefault="00B5765B" w:rsidP="00B5765B">
      <w:r>
        <w:separator/>
      </w:r>
    </w:p>
  </w:endnote>
  <w:endnote w:type="continuationSeparator" w:id="0">
    <w:p w:rsidR="00B5765B" w:rsidRDefault="00B5765B" w:rsidP="00B576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65B" w:rsidRDefault="00A70148">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B5765B">
      <w:rPr>
        <w:rFonts w:ascii="Arial" w:eastAsia="Arial" w:hAnsi="Arial" w:cs="Arial"/>
        <w:color w:val="000000"/>
        <w:sz w:val="16"/>
      </w:rPr>
      <w:fldChar w:fldCharType="begin"/>
    </w:r>
    <w:r>
      <w:rPr>
        <w:rFonts w:ascii="Arial" w:eastAsia="Arial" w:hAnsi="Arial" w:cs="Arial"/>
        <w:color w:val="000000"/>
        <w:sz w:val="16"/>
      </w:rPr>
      <w:instrText>PAGE</w:instrText>
    </w:r>
    <w:r w:rsidR="00B5765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65B" w:rsidRDefault="00A70148">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B5765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5765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65B" w:rsidRDefault="00A70148">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B5765B">
      <w:rPr>
        <w:rFonts w:ascii="Arial" w:eastAsia="Arial" w:hAnsi="Arial" w:cs="Arial"/>
        <w:color w:val="000000"/>
        <w:sz w:val="16"/>
      </w:rPr>
      <w:fldChar w:fldCharType="begin"/>
    </w:r>
    <w:r>
      <w:rPr>
        <w:rFonts w:ascii="Arial" w:eastAsia="Arial" w:hAnsi="Arial" w:cs="Arial"/>
        <w:color w:val="000000"/>
        <w:sz w:val="16"/>
      </w:rPr>
      <w:instrText>PAGE</w:instrText>
    </w:r>
    <w:r w:rsidR="00B5765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765B" w:rsidRDefault="00B5765B" w:rsidP="00B5765B">
      <w:r>
        <w:separator/>
      </w:r>
    </w:p>
  </w:footnote>
  <w:footnote w:type="continuationSeparator" w:id="0">
    <w:p w:rsidR="00B5765B" w:rsidRDefault="00B5765B" w:rsidP="00B576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65B" w:rsidRDefault="00A70148">
    <w:pPr>
      <w:rPr>
        <w:rFonts w:ascii="Arial" w:eastAsia="Arial" w:hAnsi="Arial" w:cs="Arial"/>
        <w:color w:val="000000"/>
        <w:sz w:val="16"/>
      </w:rPr>
    </w:pPr>
    <w:r>
      <w:rPr>
        <w:rFonts w:ascii="Arial" w:eastAsia="Arial" w:hAnsi="Arial" w:cs="Arial"/>
        <w:color w:val="000000"/>
        <w:sz w:val="16"/>
      </w:rPr>
      <w:t>NYISO Tariffs --&gt; Open Access Transmission Tariff (OATT) --&gt; 5 OATT Special Provisions For Retail Access --&gt; 5.2 OATT The Individual Retail Access Plans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65B" w:rsidRDefault="00A70148">
    <w:pPr>
      <w:rPr>
        <w:rFonts w:ascii="Arial" w:eastAsia="Arial" w:hAnsi="Arial" w:cs="Arial"/>
        <w:color w:val="000000"/>
        <w:sz w:val="16"/>
      </w:rPr>
    </w:pPr>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5 OATT Special Provisions For Retail Access --&gt; 5.2 OATT The Individual Retail Access Plans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65B" w:rsidRDefault="00A70148">
    <w:pPr>
      <w:rPr>
        <w:rFonts w:ascii="Arial" w:eastAsia="Arial" w:hAnsi="Arial" w:cs="Arial"/>
        <w:color w:val="000000"/>
        <w:sz w:val="16"/>
      </w:rPr>
    </w:pPr>
    <w:r>
      <w:rPr>
        <w:rFonts w:ascii="Arial" w:eastAsia="Arial" w:hAnsi="Arial" w:cs="Arial"/>
        <w:color w:val="000000"/>
        <w:sz w:val="16"/>
      </w:rPr>
      <w:t>NYISO Tariffs --&gt; Open Access Transmi</w:t>
    </w:r>
    <w:r>
      <w:rPr>
        <w:rFonts w:ascii="Arial" w:eastAsia="Arial" w:hAnsi="Arial" w:cs="Arial"/>
        <w:color w:val="000000"/>
        <w:sz w:val="16"/>
      </w:rPr>
      <w:t>ssion Tariff (OATT) --&gt; 5 OATT Special Provisions For Retail Access --&gt; 5.2 OATT The Individual Retail Access Plans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6346FFDE">
      <w:start w:val="1"/>
      <w:numFmt w:val="bullet"/>
      <w:pStyle w:val="Bulletpara"/>
      <w:lvlText w:val=""/>
      <w:lvlJc w:val="left"/>
      <w:pPr>
        <w:tabs>
          <w:tab w:val="num" w:pos="720"/>
        </w:tabs>
        <w:ind w:left="720" w:hanging="360"/>
      </w:pPr>
      <w:rPr>
        <w:rFonts w:ascii="Symbol" w:hAnsi="Symbol" w:hint="default"/>
      </w:rPr>
    </w:lvl>
    <w:lvl w:ilvl="1" w:tplc="B5F4FC1E" w:tentative="1">
      <w:start w:val="1"/>
      <w:numFmt w:val="bullet"/>
      <w:lvlText w:val="o"/>
      <w:lvlJc w:val="left"/>
      <w:pPr>
        <w:tabs>
          <w:tab w:val="num" w:pos="1440"/>
        </w:tabs>
        <w:ind w:left="1440" w:hanging="360"/>
      </w:pPr>
      <w:rPr>
        <w:rFonts w:ascii="Courier New" w:hAnsi="Courier New" w:cs="Courier New" w:hint="default"/>
      </w:rPr>
    </w:lvl>
    <w:lvl w:ilvl="2" w:tplc="BFEA1044" w:tentative="1">
      <w:start w:val="1"/>
      <w:numFmt w:val="bullet"/>
      <w:lvlText w:val=""/>
      <w:lvlJc w:val="left"/>
      <w:pPr>
        <w:tabs>
          <w:tab w:val="num" w:pos="2160"/>
        </w:tabs>
        <w:ind w:left="2160" w:hanging="360"/>
      </w:pPr>
      <w:rPr>
        <w:rFonts w:ascii="Wingdings" w:hAnsi="Wingdings" w:hint="default"/>
      </w:rPr>
    </w:lvl>
    <w:lvl w:ilvl="3" w:tplc="420AE8E8" w:tentative="1">
      <w:start w:val="1"/>
      <w:numFmt w:val="bullet"/>
      <w:lvlText w:val=""/>
      <w:lvlJc w:val="left"/>
      <w:pPr>
        <w:tabs>
          <w:tab w:val="num" w:pos="2880"/>
        </w:tabs>
        <w:ind w:left="2880" w:hanging="360"/>
      </w:pPr>
      <w:rPr>
        <w:rFonts w:ascii="Symbol" w:hAnsi="Symbol" w:hint="default"/>
      </w:rPr>
    </w:lvl>
    <w:lvl w:ilvl="4" w:tplc="B32E943E" w:tentative="1">
      <w:start w:val="1"/>
      <w:numFmt w:val="bullet"/>
      <w:lvlText w:val="o"/>
      <w:lvlJc w:val="left"/>
      <w:pPr>
        <w:tabs>
          <w:tab w:val="num" w:pos="3600"/>
        </w:tabs>
        <w:ind w:left="3600" w:hanging="360"/>
      </w:pPr>
      <w:rPr>
        <w:rFonts w:ascii="Courier New" w:hAnsi="Courier New" w:cs="Courier New" w:hint="default"/>
      </w:rPr>
    </w:lvl>
    <w:lvl w:ilvl="5" w:tplc="90D25DEE" w:tentative="1">
      <w:start w:val="1"/>
      <w:numFmt w:val="bullet"/>
      <w:lvlText w:val=""/>
      <w:lvlJc w:val="left"/>
      <w:pPr>
        <w:tabs>
          <w:tab w:val="num" w:pos="4320"/>
        </w:tabs>
        <w:ind w:left="4320" w:hanging="360"/>
      </w:pPr>
      <w:rPr>
        <w:rFonts w:ascii="Wingdings" w:hAnsi="Wingdings" w:hint="default"/>
      </w:rPr>
    </w:lvl>
    <w:lvl w:ilvl="6" w:tplc="CC90502E" w:tentative="1">
      <w:start w:val="1"/>
      <w:numFmt w:val="bullet"/>
      <w:lvlText w:val=""/>
      <w:lvlJc w:val="left"/>
      <w:pPr>
        <w:tabs>
          <w:tab w:val="num" w:pos="5040"/>
        </w:tabs>
        <w:ind w:left="5040" w:hanging="360"/>
      </w:pPr>
      <w:rPr>
        <w:rFonts w:ascii="Symbol" w:hAnsi="Symbol" w:hint="default"/>
      </w:rPr>
    </w:lvl>
    <w:lvl w:ilvl="7" w:tplc="8300FB76" w:tentative="1">
      <w:start w:val="1"/>
      <w:numFmt w:val="bullet"/>
      <w:lvlText w:val="o"/>
      <w:lvlJc w:val="left"/>
      <w:pPr>
        <w:tabs>
          <w:tab w:val="num" w:pos="5760"/>
        </w:tabs>
        <w:ind w:left="5760" w:hanging="360"/>
      </w:pPr>
      <w:rPr>
        <w:rFonts w:ascii="Courier New" w:hAnsi="Courier New" w:cs="Courier New" w:hint="default"/>
      </w:rPr>
    </w:lvl>
    <w:lvl w:ilvl="8" w:tplc="934C4900"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BF603EA6">
      <w:start w:val="1"/>
      <w:numFmt w:val="bullet"/>
      <w:lvlText w:val="­"/>
      <w:lvlJc w:val="left"/>
      <w:pPr>
        <w:tabs>
          <w:tab w:val="num" w:pos="720"/>
        </w:tabs>
        <w:ind w:left="720" w:hanging="360"/>
      </w:pPr>
      <w:rPr>
        <w:rFonts w:ascii="Courier New" w:hAnsi="Courier New" w:hint="default"/>
      </w:rPr>
    </w:lvl>
    <w:lvl w:ilvl="1" w:tplc="BE008F92" w:tentative="1">
      <w:start w:val="1"/>
      <w:numFmt w:val="bullet"/>
      <w:lvlText w:val="o"/>
      <w:lvlJc w:val="left"/>
      <w:pPr>
        <w:tabs>
          <w:tab w:val="num" w:pos="1440"/>
        </w:tabs>
        <w:ind w:left="1440" w:hanging="360"/>
      </w:pPr>
      <w:rPr>
        <w:rFonts w:ascii="Courier New" w:hAnsi="Courier New" w:cs="Courier New" w:hint="default"/>
      </w:rPr>
    </w:lvl>
    <w:lvl w:ilvl="2" w:tplc="536CDD4A" w:tentative="1">
      <w:start w:val="1"/>
      <w:numFmt w:val="bullet"/>
      <w:lvlText w:val=""/>
      <w:lvlJc w:val="left"/>
      <w:pPr>
        <w:tabs>
          <w:tab w:val="num" w:pos="2160"/>
        </w:tabs>
        <w:ind w:left="2160" w:hanging="360"/>
      </w:pPr>
      <w:rPr>
        <w:rFonts w:ascii="Wingdings" w:hAnsi="Wingdings" w:hint="default"/>
      </w:rPr>
    </w:lvl>
    <w:lvl w:ilvl="3" w:tplc="18D61562" w:tentative="1">
      <w:start w:val="1"/>
      <w:numFmt w:val="bullet"/>
      <w:lvlText w:val=""/>
      <w:lvlJc w:val="left"/>
      <w:pPr>
        <w:tabs>
          <w:tab w:val="num" w:pos="2880"/>
        </w:tabs>
        <w:ind w:left="2880" w:hanging="360"/>
      </w:pPr>
      <w:rPr>
        <w:rFonts w:ascii="Symbol" w:hAnsi="Symbol" w:hint="default"/>
      </w:rPr>
    </w:lvl>
    <w:lvl w:ilvl="4" w:tplc="CE46F782" w:tentative="1">
      <w:start w:val="1"/>
      <w:numFmt w:val="bullet"/>
      <w:lvlText w:val="o"/>
      <w:lvlJc w:val="left"/>
      <w:pPr>
        <w:tabs>
          <w:tab w:val="num" w:pos="3600"/>
        </w:tabs>
        <w:ind w:left="3600" w:hanging="360"/>
      </w:pPr>
      <w:rPr>
        <w:rFonts w:ascii="Courier New" w:hAnsi="Courier New" w:cs="Courier New" w:hint="default"/>
      </w:rPr>
    </w:lvl>
    <w:lvl w:ilvl="5" w:tplc="FFACFC92" w:tentative="1">
      <w:start w:val="1"/>
      <w:numFmt w:val="bullet"/>
      <w:lvlText w:val=""/>
      <w:lvlJc w:val="left"/>
      <w:pPr>
        <w:tabs>
          <w:tab w:val="num" w:pos="4320"/>
        </w:tabs>
        <w:ind w:left="4320" w:hanging="360"/>
      </w:pPr>
      <w:rPr>
        <w:rFonts w:ascii="Wingdings" w:hAnsi="Wingdings" w:hint="default"/>
      </w:rPr>
    </w:lvl>
    <w:lvl w:ilvl="6" w:tplc="1FC2B2F8" w:tentative="1">
      <w:start w:val="1"/>
      <w:numFmt w:val="bullet"/>
      <w:lvlText w:val=""/>
      <w:lvlJc w:val="left"/>
      <w:pPr>
        <w:tabs>
          <w:tab w:val="num" w:pos="5040"/>
        </w:tabs>
        <w:ind w:left="5040" w:hanging="360"/>
      </w:pPr>
      <w:rPr>
        <w:rFonts w:ascii="Symbol" w:hAnsi="Symbol" w:hint="default"/>
      </w:rPr>
    </w:lvl>
    <w:lvl w:ilvl="7" w:tplc="73BA3E22" w:tentative="1">
      <w:start w:val="1"/>
      <w:numFmt w:val="bullet"/>
      <w:lvlText w:val="o"/>
      <w:lvlJc w:val="left"/>
      <w:pPr>
        <w:tabs>
          <w:tab w:val="num" w:pos="5760"/>
        </w:tabs>
        <w:ind w:left="5760" w:hanging="360"/>
      </w:pPr>
      <w:rPr>
        <w:rFonts w:ascii="Courier New" w:hAnsi="Courier New" w:cs="Courier New" w:hint="default"/>
      </w:rPr>
    </w:lvl>
    <w:lvl w:ilvl="8" w:tplc="11E02960"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9C4822FA">
      <w:start w:val="1"/>
      <w:numFmt w:val="lowerRoman"/>
      <w:lvlText w:val="(%1)"/>
      <w:lvlJc w:val="left"/>
      <w:pPr>
        <w:tabs>
          <w:tab w:val="num" w:pos="2448"/>
        </w:tabs>
        <w:ind w:left="2448" w:hanging="648"/>
      </w:pPr>
      <w:rPr>
        <w:rFonts w:hint="default"/>
        <w:b w:val="0"/>
        <w:i w:val="0"/>
        <w:u w:val="none"/>
      </w:rPr>
    </w:lvl>
    <w:lvl w:ilvl="1" w:tplc="25E87A08" w:tentative="1">
      <w:start w:val="1"/>
      <w:numFmt w:val="lowerLetter"/>
      <w:lvlText w:val="%2."/>
      <w:lvlJc w:val="left"/>
      <w:pPr>
        <w:tabs>
          <w:tab w:val="num" w:pos="1440"/>
        </w:tabs>
        <w:ind w:left="1440" w:hanging="360"/>
      </w:pPr>
    </w:lvl>
    <w:lvl w:ilvl="2" w:tplc="103AED38" w:tentative="1">
      <w:start w:val="1"/>
      <w:numFmt w:val="lowerRoman"/>
      <w:lvlText w:val="%3."/>
      <w:lvlJc w:val="right"/>
      <w:pPr>
        <w:tabs>
          <w:tab w:val="num" w:pos="2160"/>
        </w:tabs>
        <w:ind w:left="2160" w:hanging="180"/>
      </w:pPr>
    </w:lvl>
    <w:lvl w:ilvl="3" w:tplc="08FE41C4" w:tentative="1">
      <w:start w:val="1"/>
      <w:numFmt w:val="decimal"/>
      <w:lvlText w:val="%4."/>
      <w:lvlJc w:val="left"/>
      <w:pPr>
        <w:tabs>
          <w:tab w:val="num" w:pos="2880"/>
        </w:tabs>
        <w:ind w:left="2880" w:hanging="360"/>
      </w:pPr>
    </w:lvl>
    <w:lvl w:ilvl="4" w:tplc="8ACAF9B0" w:tentative="1">
      <w:start w:val="1"/>
      <w:numFmt w:val="lowerLetter"/>
      <w:lvlText w:val="%5."/>
      <w:lvlJc w:val="left"/>
      <w:pPr>
        <w:tabs>
          <w:tab w:val="num" w:pos="3600"/>
        </w:tabs>
        <w:ind w:left="3600" w:hanging="360"/>
      </w:pPr>
    </w:lvl>
    <w:lvl w:ilvl="5" w:tplc="5AE0BC3A" w:tentative="1">
      <w:start w:val="1"/>
      <w:numFmt w:val="lowerRoman"/>
      <w:lvlText w:val="%6."/>
      <w:lvlJc w:val="right"/>
      <w:pPr>
        <w:tabs>
          <w:tab w:val="num" w:pos="4320"/>
        </w:tabs>
        <w:ind w:left="4320" w:hanging="180"/>
      </w:pPr>
    </w:lvl>
    <w:lvl w:ilvl="6" w:tplc="82F69394" w:tentative="1">
      <w:start w:val="1"/>
      <w:numFmt w:val="decimal"/>
      <w:lvlText w:val="%7."/>
      <w:lvlJc w:val="left"/>
      <w:pPr>
        <w:tabs>
          <w:tab w:val="num" w:pos="5040"/>
        </w:tabs>
        <w:ind w:left="5040" w:hanging="360"/>
      </w:pPr>
    </w:lvl>
    <w:lvl w:ilvl="7" w:tplc="1CFE93A0" w:tentative="1">
      <w:start w:val="1"/>
      <w:numFmt w:val="lowerLetter"/>
      <w:lvlText w:val="%8."/>
      <w:lvlJc w:val="left"/>
      <w:pPr>
        <w:tabs>
          <w:tab w:val="num" w:pos="5760"/>
        </w:tabs>
        <w:ind w:left="5760" w:hanging="360"/>
      </w:pPr>
    </w:lvl>
    <w:lvl w:ilvl="8" w:tplc="C37E5124"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BE9297CE">
      <w:start w:val="1"/>
      <w:numFmt w:val="bullet"/>
      <w:lvlText w:val=""/>
      <w:lvlJc w:val="left"/>
      <w:pPr>
        <w:tabs>
          <w:tab w:val="num" w:pos="5760"/>
        </w:tabs>
        <w:ind w:left="5760" w:hanging="360"/>
      </w:pPr>
      <w:rPr>
        <w:rFonts w:ascii="Symbol" w:hAnsi="Symbol" w:hint="default"/>
        <w:color w:val="auto"/>
        <w:u w:val="none"/>
      </w:rPr>
    </w:lvl>
    <w:lvl w:ilvl="1" w:tplc="24D66AD4" w:tentative="1">
      <w:start w:val="1"/>
      <w:numFmt w:val="bullet"/>
      <w:lvlText w:val="o"/>
      <w:lvlJc w:val="left"/>
      <w:pPr>
        <w:tabs>
          <w:tab w:val="num" w:pos="3600"/>
        </w:tabs>
        <w:ind w:left="3600" w:hanging="360"/>
      </w:pPr>
      <w:rPr>
        <w:rFonts w:ascii="Courier New" w:hAnsi="Courier New" w:hint="default"/>
      </w:rPr>
    </w:lvl>
    <w:lvl w:ilvl="2" w:tplc="E1B8E70A" w:tentative="1">
      <w:start w:val="1"/>
      <w:numFmt w:val="bullet"/>
      <w:lvlText w:val=""/>
      <w:lvlJc w:val="left"/>
      <w:pPr>
        <w:tabs>
          <w:tab w:val="num" w:pos="4320"/>
        </w:tabs>
        <w:ind w:left="4320" w:hanging="360"/>
      </w:pPr>
      <w:rPr>
        <w:rFonts w:ascii="Wingdings" w:hAnsi="Wingdings" w:hint="default"/>
      </w:rPr>
    </w:lvl>
    <w:lvl w:ilvl="3" w:tplc="03763D00">
      <w:start w:val="1"/>
      <w:numFmt w:val="bullet"/>
      <w:lvlText w:val=""/>
      <w:lvlJc w:val="left"/>
      <w:pPr>
        <w:tabs>
          <w:tab w:val="num" w:pos="5040"/>
        </w:tabs>
        <w:ind w:left="5040" w:hanging="360"/>
      </w:pPr>
      <w:rPr>
        <w:rFonts w:ascii="Symbol" w:hAnsi="Symbol" w:hint="default"/>
      </w:rPr>
    </w:lvl>
    <w:lvl w:ilvl="4" w:tplc="987067BC" w:tentative="1">
      <w:start w:val="1"/>
      <w:numFmt w:val="bullet"/>
      <w:lvlText w:val="o"/>
      <w:lvlJc w:val="left"/>
      <w:pPr>
        <w:tabs>
          <w:tab w:val="num" w:pos="5760"/>
        </w:tabs>
        <w:ind w:left="5760" w:hanging="360"/>
      </w:pPr>
      <w:rPr>
        <w:rFonts w:ascii="Courier New" w:hAnsi="Courier New" w:hint="default"/>
      </w:rPr>
    </w:lvl>
    <w:lvl w:ilvl="5" w:tplc="FF08598A" w:tentative="1">
      <w:start w:val="1"/>
      <w:numFmt w:val="bullet"/>
      <w:lvlText w:val=""/>
      <w:lvlJc w:val="left"/>
      <w:pPr>
        <w:tabs>
          <w:tab w:val="num" w:pos="6480"/>
        </w:tabs>
        <w:ind w:left="6480" w:hanging="360"/>
      </w:pPr>
      <w:rPr>
        <w:rFonts w:ascii="Wingdings" w:hAnsi="Wingdings" w:hint="default"/>
      </w:rPr>
    </w:lvl>
    <w:lvl w:ilvl="6" w:tplc="68D42DC4" w:tentative="1">
      <w:start w:val="1"/>
      <w:numFmt w:val="bullet"/>
      <w:lvlText w:val=""/>
      <w:lvlJc w:val="left"/>
      <w:pPr>
        <w:tabs>
          <w:tab w:val="num" w:pos="7200"/>
        </w:tabs>
        <w:ind w:left="7200" w:hanging="360"/>
      </w:pPr>
      <w:rPr>
        <w:rFonts w:ascii="Symbol" w:hAnsi="Symbol" w:hint="default"/>
      </w:rPr>
    </w:lvl>
    <w:lvl w:ilvl="7" w:tplc="3734251A" w:tentative="1">
      <w:start w:val="1"/>
      <w:numFmt w:val="bullet"/>
      <w:lvlText w:val="o"/>
      <w:lvlJc w:val="left"/>
      <w:pPr>
        <w:tabs>
          <w:tab w:val="num" w:pos="7920"/>
        </w:tabs>
        <w:ind w:left="7920" w:hanging="360"/>
      </w:pPr>
      <w:rPr>
        <w:rFonts w:ascii="Courier New" w:hAnsi="Courier New" w:hint="default"/>
      </w:rPr>
    </w:lvl>
    <w:lvl w:ilvl="8" w:tplc="C062FCB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5765B"/>
    <w:rsid w:val="00A70148"/>
    <w:rsid w:val="00B5765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765B"/>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B5765B"/>
    <w:pPr>
      <w:keepNext/>
      <w:spacing w:line="480" w:lineRule="auto"/>
      <w:ind w:left="1440" w:right="-90" w:hanging="720"/>
      <w:outlineLvl w:val="4"/>
    </w:pPr>
    <w:rPr>
      <w:b/>
    </w:rPr>
  </w:style>
  <w:style w:type="paragraph" w:styleId="Heading6">
    <w:name w:val="heading 6"/>
    <w:basedOn w:val="Normal"/>
    <w:next w:val="Normal"/>
    <w:qFormat/>
    <w:rsid w:val="00B5765B"/>
    <w:pPr>
      <w:keepNext/>
      <w:spacing w:line="480" w:lineRule="auto"/>
      <w:ind w:left="1080" w:right="-90" w:hanging="360"/>
      <w:outlineLvl w:val="5"/>
    </w:pPr>
    <w:rPr>
      <w:b/>
    </w:rPr>
  </w:style>
  <w:style w:type="paragraph" w:styleId="Heading7">
    <w:name w:val="heading 7"/>
    <w:basedOn w:val="Normal"/>
    <w:next w:val="Normal"/>
    <w:qFormat/>
    <w:rsid w:val="00B5765B"/>
    <w:pPr>
      <w:keepNext/>
      <w:spacing w:line="480" w:lineRule="auto"/>
      <w:ind w:left="720" w:right="630"/>
      <w:outlineLvl w:val="6"/>
    </w:pPr>
    <w:rPr>
      <w:b/>
    </w:rPr>
  </w:style>
  <w:style w:type="paragraph" w:styleId="Heading8">
    <w:name w:val="heading 8"/>
    <w:basedOn w:val="Normal"/>
    <w:next w:val="Normal"/>
    <w:qFormat/>
    <w:rsid w:val="00B5765B"/>
    <w:pPr>
      <w:keepNext/>
      <w:spacing w:line="480" w:lineRule="auto"/>
      <w:ind w:left="720" w:right="-90"/>
      <w:outlineLvl w:val="7"/>
    </w:pPr>
    <w:rPr>
      <w:b/>
    </w:rPr>
  </w:style>
  <w:style w:type="paragraph" w:styleId="Heading9">
    <w:name w:val="heading 9"/>
    <w:basedOn w:val="Normal"/>
    <w:next w:val="Normal"/>
    <w:qFormat/>
    <w:rsid w:val="00B5765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B5765B"/>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B5765B"/>
    <w:pPr>
      <w:widowControl/>
      <w:tabs>
        <w:tab w:val="center" w:pos="4680"/>
        <w:tab w:val="right" w:pos="9360"/>
      </w:tabs>
    </w:pPr>
    <w:rPr>
      <w:snapToGrid/>
      <w:szCs w:val="24"/>
    </w:rPr>
  </w:style>
  <w:style w:type="paragraph" w:styleId="Date">
    <w:name w:val="Date"/>
    <w:basedOn w:val="Normal"/>
    <w:next w:val="Normal"/>
    <w:rsid w:val="00B5765B"/>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881</Words>
  <Characters>5024</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5894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2017-03-23T23:21:00Z</dcterms:created>
  <dcterms:modified xsi:type="dcterms:W3CDTF">2017-03-23T23:21:00Z</dcterms:modified>
</cp:coreProperties>
</file>