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DE4E7E" w:rsidP="002468CF">
      <w:pPr>
        <w:pStyle w:val="Heading2"/>
      </w:pPr>
      <w:bookmarkStart w:id="0" w:name="_Toc261444574"/>
      <w:r w:rsidRPr="00683477">
        <w:t>4.</w:t>
      </w:r>
      <w:r>
        <w:t>8</w:t>
      </w:r>
      <w:r w:rsidRPr="00C21405">
        <w:tab/>
        <w:t>Operating Arrangements</w:t>
      </w:r>
      <w:bookmarkEnd w:id="0"/>
    </w:p>
    <w:p w:rsidR="002468CF" w:rsidRPr="002468CF" w:rsidRDefault="00DE4E7E" w:rsidP="002468CF">
      <w:pPr>
        <w:pStyle w:val="Heading3"/>
      </w:pPr>
      <w:bookmarkStart w:id="1" w:name="_Toc261444575"/>
      <w:r w:rsidRPr="00683477">
        <w:t>4.</w:t>
      </w:r>
      <w:r>
        <w:t>8</w:t>
      </w:r>
      <w:r w:rsidRPr="002468CF">
        <w:t>.1</w:t>
      </w:r>
      <w:r w:rsidRPr="002468CF">
        <w:tab/>
        <w:t>Operation Under The Network Operating Agreement:</w:t>
      </w:r>
      <w:bookmarkEnd w:id="1"/>
      <w:r w:rsidRPr="002468CF">
        <w:t xml:space="preserve"> </w:t>
      </w:r>
    </w:p>
    <w:p w:rsidR="007D27F4" w:rsidRPr="00C21405" w:rsidRDefault="00DE4E7E" w:rsidP="00C21405">
      <w:pPr>
        <w:pStyle w:val="Bodypara"/>
      </w:pPr>
      <w:r w:rsidRPr="00C21405">
        <w:t xml:space="preserve">The Network Customer shall plan, construct, operate and maintain its facilities in accordance with Good Utility Practice and in conformance with the Network Operating Agreement. </w:t>
      </w:r>
    </w:p>
    <w:p w:rsidR="002468CF" w:rsidRPr="002468CF" w:rsidRDefault="00DE4E7E" w:rsidP="002468CF">
      <w:pPr>
        <w:pStyle w:val="Heading3"/>
      </w:pPr>
      <w:bookmarkStart w:id="2" w:name="_Toc261444576"/>
      <w:r w:rsidRPr="00683477">
        <w:t>4.</w:t>
      </w:r>
      <w:r>
        <w:t>8</w:t>
      </w:r>
      <w:r w:rsidRPr="002468CF">
        <w:t>.2</w:t>
      </w:r>
      <w:r w:rsidRPr="002468CF">
        <w:tab/>
        <w:t>Network Operating Agreement:</w:t>
      </w:r>
      <w:bookmarkEnd w:id="2"/>
      <w:r w:rsidRPr="002468CF">
        <w:t xml:space="preserve"> </w:t>
      </w:r>
    </w:p>
    <w:p w:rsidR="007D27F4" w:rsidRPr="00C21405" w:rsidRDefault="00DE4E7E" w:rsidP="00C21405">
      <w:pPr>
        <w:pStyle w:val="Bodypara"/>
      </w:pPr>
      <w:r w:rsidRPr="00C21405">
        <w:t xml:space="preserve">The terms and conditions under which the </w:t>
      </w:r>
      <w:r w:rsidRPr="00C21405">
        <w:t xml:space="preserve">Network Customer shall operate its facilities and the technical and operational matters associated with the implementation of Part </w:t>
      </w:r>
      <w:r>
        <w:t>4</w:t>
      </w:r>
      <w:r w:rsidRPr="00C21405">
        <w:t xml:space="preserve"> of the Tariff shall be specified in the Network Operating Agreement.  The Network Operating Agreement shall provide for the</w:t>
      </w:r>
      <w:r w:rsidRPr="00C21405">
        <w:t xml:space="preserve"> parties to (i) operate and maintain equipment</w:t>
      </w:r>
      <w:r>
        <w:t xml:space="preserve"> </w:t>
      </w:r>
      <w:r w:rsidRPr="00C21405">
        <w:t>necessary for integrating the Network Customer within the NYS Transmission System (including, but not limited to, remote terminal units, metering, communications equipment and relaying equipment), (ii) transfe</w:t>
      </w:r>
      <w:r w:rsidRPr="00C21405">
        <w:t>r data between the ISO, Transmission Owners and the Network Customer (including, but not limited to, heat rates and operational characteristics of Network Resources, generation schedules for units outside the NYS Transmission System, interchange schedules,</w:t>
      </w:r>
      <w:r w:rsidRPr="00C21405">
        <w:t xml:space="preserve"> unit outputs for redispatch required under Section </w:t>
      </w:r>
      <w:r>
        <w:t>4.6</w:t>
      </w:r>
      <w:r w:rsidRPr="00C21405">
        <w:t>, voltage schedules, loss factors and other real time data), (iii) use software programs required for data links a</w:t>
      </w:r>
      <w:r>
        <w:t>nd constraint dispatching, (iv) </w:t>
      </w:r>
      <w:r w:rsidRPr="00C21405">
        <w:t>exchange data on forecasted Loads and resources necessa</w:t>
      </w:r>
      <w:r w:rsidRPr="00C21405">
        <w:t>ry for long</w:t>
      </w:r>
      <w:r w:rsidRPr="00C21405">
        <w:noBreakHyphen/>
        <w:t>term</w:t>
      </w:r>
      <w:r>
        <w:t xml:space="preserve"> planning, and (v) </w:t>
      </w:r>
      <w:r w:rsidRPr="00C21405">
        <w:t xml:space="preserve">address any other technical and operational considerations required for implementation of Part </w:t>
      </w:r>
      <w:r>
        <w:t>4</w:t>
      </w:r>
      <w:r w:rsidRPr="00C21405">
        <w:t xml:space="preserve"> of this Tariff, including scheduling protocols.  The Network Operating Agreement will recognize that the Network Customer sh</w:t>
      </w:r>
      <w:r w:rsidRPr="00C21405">
        <w:t xml:space="preserve">all either (i) operate as a Control Area under applicable guidelines of the Electric Reliability Organization (ERO) as defined in 18 C.F.R. § 39.1 and the </w:t>
      </w:r>
      <w:r w:rsidRPr="00C21405">
        <w:lastRenderedPageBreak/>
        <w:t>Northeast Power Coordinating Council (NPCC), (ii) satisfy its Control Area requirements, including al</w:t>
      </w:r>
      <w:r w:rsidRPr="00C21405">
        <w:t>l necessary Ancillary Services, by contracting with the ISO, or (iii) satisfy its Control Area</w:t>
      </w:r>
      <w:r>
        <w:t xml:space="preserve"> </w:t>
      </w:r>
      <w:r w:rsidRPr="00C21405">
        <w:t>requirements, including all necessary Ancillary Services, by contracting with another entity, consistent with Good Utility Practice, which satisfies the applicab</w:t>
      </w:r>
      <w:r w:rsidRPr="00C21405">
        <w:t>le reliability guidelines of the ERO and the NPCC requirements.  The ISO shall not unreasonably refuse to accept contractual arrangements with another entity for Ancillary Services to the extent that such arrangements comply with the provisions for Self</w:t>
      </w:r>
      <w:r w:rsidRPr="00C21405">
        <w:noBreakHyphen/>
        <w:t>Su</w:t>
      </w:r>
      <w:r w:rsidRPr="00C21405">
        <w:t>pply of Ancillary Services as described in Schedules 3 and 5.  For Network Customers that are also taking service under the ISO Services Tariff, the Service Agreement under that Tariff will function as the Network Operating Agreement.  All other Network Cu</w:t>
      </w:r>
      <w:r w:rsidRPr="00C21405">
        <w:t xml:space="preserve">stomers will negotiate a Network Operating Agreement with the ISO.  A list of requirements for such Network Operating Agreement is included in Attachment G. </w:t>
      </w:r>
    </w:p>
    <w:p w:rsidR="002468CF" w:rsidRDefault="00DE4E7E" w:rsidP="002468CF">
      <w:pPr>
        <w:pStyle w:val="Heading3"/>
      </w:pPr>
      <w:bookmarkStart w:id="3" w:name="_Toc261444577"/>
      <w:r w:rsidRPr="00683477">
        <w:t>4.</w:t>
      </w:r>
      <w:r>
        <w:t>8</w:t>
      </w:r>
      <w:r w:rsidRPr="00C21405">
        <w:t>.3</w:t>
      </w:r>
      <w:r w:rsidRPr="00C21405">
        <w:tab/>
      </w:r>
      <w:r w:rsidRPr="002468CF">
        <w:t>Network</w:t>
      </w:r>
      <w:r w:rsidRPr="00C21405">
        <w:t xml:space="preserve"> Operating Committee:</w:t>
      </w:r>
      <w:bookmarkEnd w:id="3"/>
      <w:r w:rsidRPr="00C21405">
        <w:t xml:space="preserve"> </w:t>
      </w:r>
    </w:p>
    <w:p w:rsidR="007D27F4" w:rsidRPr="00C21405" w:rsidRDefault="00DE4E7E" w:rsidP="00C21405">
      <w:pPr>
        <w:pStyle w:val="Bodypara"/>
      </w:pPr>
      <w:r w:rsidRPr="00C21405">
        <w:t>The ISO Operating Committee will serve as the Network Operatin</w:t>
      </w:r>
      <w:r w:rsidRPr="00C21405">
        <w:t xml:space="preserve">g Committee and will coordinate operating criteria for the parties' respective responsibilities under the Network Operating Agreement.  The Committee shall meet from time to time as need requires, but no less than once each calendar year. </w:t>
      </w:r>
    </w:p>
    <w:p w:rsidR="007D27F4" w:rsidRPr="00032364" w:rsidRDefault="00DE4E7E"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64" w:rsidRDefault="006C1C64" w:rsidP="006C1C64">
      <w:r>
        <w:separator/>
      </w:r>
    </w:p>
  </w:endnote>
  <w:endnote w:type="continuationSeparator" w:id="0">
    <w:p w:rsidR="006C1C64" w:rsidRDefault="006C1C64" w:rsidP="006C1C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64" w:rsidRDefault="00DE4E7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C1C64">
      <w:rPr>
        <w:rFonts w:ascii="Arial" w:eastAsia="Arial" w:hAnsi="Arial" w:cs="Arial"/>
        <w:color w:val="000000"/>
        <w:sz w:val="16"/>
      </w:rPr>
      <w:fldChar w:fldCharType="begin"/>
    </w:r>
    <w:r>
      <w:rPr>
        <w:rFonts w:ascii="Arial" w:eastAsia="Arial" w:hAnsi="Arial" w:cs="Arial"/>
        <w:color w:val="000000"/>
        <w:sz w:val="16"/>
      </w:rPr>
      <w:instrText>PAGE</w:instrText>
    </w:r>
    <w:r w:rsidR="006C1C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64" w:rsidRDefault="00DE4E7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C1C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1C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64" w:rsidRDefault="00DE4E7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6C1C64">
      <w:rPr>
        <w:rFonts w:ascii="Arial" w:eastAsia="Arial" w:hAnsi="Arial" w:cs="Arial"/>
        <w:color w:val="000000"/>
        <w:sz w:val="16"/>
      </w:rPr>
      <w:fldChar w:fldCharType="begin"/>
    </w:r>
    <w:r>
      <w:rPr>
        <w:rFonts w:ascii="Arial" w:eastAsia="Arial" w:hAnsi="Arial" w:cs="Arial"/>
        <w:color w:val="000000"/>
        <w:sz w:val="16"/>
      </w:rPr>
      <w:instrText>PAGE</w:instrText>
    </w:r>
    <w:r w:rsidR="006C1C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64" w:rsidRDefault="006C1C64" w:rsidP="006C1C64">
      <w:r>
        <w:separator/>
      </w:r>
    </w:p>
  </w:footnote>
  <w:footnote w:type="continuationSeparator" w:id="0">
    <w:p w:rsidR="006C1C64" w:rsidRDefault="006C1C64" w:rsidP="006C1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64" w:rsidRDefault="00DE4E7E">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4.8 OATT Operating Arrangements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64" w:rsidRDefault="00DE4E7E">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4 OATT Network Integration Transmission Service --&gt; 4.8 OATT Operating Arrangements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64" w:rsidRDefault="00DE4E7E">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w:t>
    </w:r>
    <w:r>
      <w:rPr>
        <w:rFonts w:ascii="Arial" w:eastAsia="Arial" w:hAnsi="Arial" w:cs="Arial"/>
        <w:color w:val="000000"/>
        <w:sz w:val="16"/>
      </w:rPr>
      <w:t>nsmission Service --&gt; 4.8 OATT Operating Arrangements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95E987E">
      <w:start w:val="1"/>
      <w:numFmt w:val="bullet"/>
      <w:pStyle w:val="Bulletpara"/>
      <w:lvlText w:val=""/>
      <w:lvlJc w:val="left"/>
      <w:pPr>
        <w:tabs>
          <w:tab w:val="num" w:pos="720"/>
        </w:tabs>
        <w:ind w:left="720" w:hanging="360"/>
      </w:pPr>
      <w:rPr>
        <w:rFonts w:ascii="Symbol" w:hAnsi="Symbol" w:hint="default"/>
      </w:rPr>
    </w:lvl>
    <w:lvl w:ilvl="1" w:tplc="A8123312" w:tentative="1">
      <w:start w:val="1"/>
      <w:numFmt w:val="bullet"/>
      <w:lvlText w:val="o"/>
      <w:lvlJc w:val="left"/>
      <w:pPr>
        <w:tabs>
          <w:tab w:val="num" w:pos="1440"/>
        </w:tabs>
        <w:ind w:left="1440" w:hanging="360"/>
      </w:pPr>
      <w:rPr>
        <w:rFonts w:ascii="Courier New" w:hAnsi="Courier New" w:cs="Courier New" w:hint="default"/>
      </w:rPr>
    </w:lvl>
    <w:lvl w:ilvl="2" w:tplc="A7D28FEC" w:tentative="1">
      <w:start w:val="1"/>
      <w:numFmt w:val="bullet"/>
      <w:lvlText w:val=""/>
      <w:lvlJc w:val="left"/>
      <w:pPr>
        <w:tabs>
          <w:tab w:val="num" w:pos="2160"/>
        </w:tabs>
        <w:ind w:left="2160" w:hanging="360"/>
      </w:pPr>
      <w:rPr>
        <w:rFonts w:ascii="Wingdings" w:hAnsi="Wingdings" w:hint="default"/>
      </w:rPr>
    </w:lvl>
    <w:lvl w:ilvl="3" w:tplc="CA407450" w:tentative="1">
      <w:start w:val="1"/>
      <w:numFmt w:val="bullet"/>
      <w:lvlText w:val=""/>
      <w:lvlJc w:val="left"/>
      <w:pPr>
        <w:tabs>
          <w:tab w:val="num" w:pos="2880"/>
        </w:tabs>
        <w:ind w:left="2880" w:hanging="360"/>
      </w:pPr>
      <w:rPr>
        <w:rFonts w:ascii="Symbol" w:hAnsi="Symbol" w:hint="default"/>
      </w:rPr>
    </w:lvl>
    <w:lvl w:ilvl="4" w:tplc="BCA6ACC2" w:tentative="1">
      <w:start w:val="1"/>
      <w:numFmt w:val="bullet"/>
      <w:lvlText w:val="o"/>
      <w:lvlJc w:val="left"/>
      <w:pPr>
        <w:tabs>
          <w:tab w:val="num" w:pos="3600"/>
        </w:tabs>
        <w:ind w:left="3600" w:hanging="360"/>
      </w:pPr>
      <w:rPr>
        <w:rFonts w:ascii="Courier New" w:hAnsi="Courier New" w:cs="Courier New" w:hint="default"/>
      </w:rPr>
    </w:lvl>
    <w:lvl w:ilvl="5" w:tplc="088E8ED2" w:tentative="1">
      <w:start w:val="1"/>
      <w:numFmt w:val="bullet"/>
      <w:lvlText w:val=""/>
      <w:lvlJc w:val="left"/>
      <w:pPr>
        <w:tabs>
          <w:tab w:val="num" w:pos="4320"/>
        </w:tabs>
        <w:ind w:left="4320" w:hanging="360"/>
      </w:pPr>
      <w:rPr>
        <w:rFonts w:ascii="Wingdings" w:hAnsi="Wingdings" w:hint="default"/>
      </w:rPr>
    </w:lvl>
    <w:lvl w:ilvl="6" w:tplc="9EB4CC68" w:tentative="1">
      <w:start w:val="1"/>
      <w:numFmt w:val="bullet"/>
      <w:lvlText w:val=""/>
      <w:lvlJc w:val="left"/>
      <w:pPr>
        <w:tabs>
          <w:tab w:val="num" w:pos="5040"/>
        </w:tabs>
        <w:ind w:left="5040" w:hanging="360"/>
      </w:pPr>
      <w:rPr>
        <w:rFonts w:ascii="Symbol" w:hAnsi="Symbol" w:hint="default"/>
      </w:rPr>
    </w:lvl>
    <w:lvl w:ilvl="7" w:tplc="34565368" w:tentative="1">
      <w:start w:val="1"/>
      <w:numFmt w:val="bullet"/>
      <w:lvlText w:val="o"/>
      <w:lvlJc w:val="left"/>
      <w:pPr>
        <w:tabs>
          <w:tab w:val="num" w:pos="5760"/>
        </w:tabs>
        <w:ind w:left="5760" w:hanging="360"/>
      </w:pPr>
      <w:rPr>
        <w:rFonts w:ascii="Courier New" w:hAnsi="Courier New" w:cs="Courier New" w:hint="default"/>
      </w:rPr>
    </w:lvl>
    <w:lvl w:ilvl="8" w:tplc="3CA84CF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A5ECB66">
      <w:start w:val="1"/>
      <w:numFmt w:val="bullet"/>
      <w:lvlText w:val="­"/>
      <w:lvlJc w:val="left"/>
      <w:pPr>
        <w:tabs>
          <w:tab w:val="num" w:pos="720"/>
        </w:tabs>
        <w:ind w:left="720" w:hanging="360"/>
      </w:pPr>
      <w:rPr>
        <w:rFonts w:ascii="Courier New" w:hAnsi="Courier New" w:hint="default"/>
      </w:rPr>
    </w:lvl>
    <w:lvl w:ilvl="1" w:tplc="B37416B0" w:tentative="1">
      <w:start w:val="1"/>
      <w:numFmt w:val="bullet"/>
      <w:lvlText w:val="o"/>
      <w:lvlJc w:val="left"/>
      <w:pPr>
        <w:tabs>
          <w:tab w:val="num" w:pos="1440"/>
        </w:tabs>
        <w:ind w:left="1440" w:hanging="360"/>
      </w:pPr>
      <w:rPr>
        <w:rFonts w:ascii="Courier New" w:hAnsi="Courier New" w:cs="Courier New" w:hint="default"/>
      </w:rPr>
    </w:lvl>
    <w:lvl w:ilvl="2" w:tplc="C0B201F6" w:tentative="1">
      <w:start w:val="1"/>
      <w:numFmt w:val="bullet"/>
      <w:lvlText w:val=""/>
      <w:lvlJc w:val="left"/>
      <w:pPr>
        <w:tabs>
          <w:tab w:val="num" w:pos="2160"/>
        </w:tabs>
        <w:ind w:left="2160" w:hanging="360"/>
      </w:pPr>
      <w:rPr>
        <w:rFonts w:ascii="Wingdings" w:hAnsi="Wingdings" w:hint="default"/>
      </w:rPr>
    </w:lvl>
    <w:lvl w:ilvl="3" w:tplc="7E701E98" w:tentative="1">
      <w:start w:val="1"/>
      <w:numFmt w:val="bullet"/>
      <w:lvlText w:val=""/>
      <w:lvlJc w:val="left"/>
      <w:pPr>
        <w:tabs>
          <w:tab w:val="num" w:pos="2880"/>
        </w:tabs>
        <w:ind w:left="2880" w:hanging="360"/>
      </w:pPr>
      <w:rPr>
        <w:rFonts w:ascii="Symbol" w:hAnsi="Symbol" w:hint="default"/>
      </w:rPr>
    </w:lvl>
    <w:lvl w:ilvl="4" w:tplc="1DDAAF52" w:tentative="1">
      <w:start w:val="1"/>
      <w:numFmt w:val="bullet"/>
      <w:lvlText w:val="o"/>
      <w:lvlJc w:val="left"/>
      <w:pPr>
        <w:tabs>
          <w:tab w:val="num" w:pos="3600"/>
        </w:tabs>
        <w:ind w:left="3600" w:hanging="360"/>
      </w:pPr>
      <w:rPr>
        <w:rFonts w:ascii="Courier New" w:hAnsi="Courier New" w:cs="Courier New" w:hint="default"/>
      </w:rPr>
    </w:lvl>
    <w:lvl w:ilvl="5" w:tplc="4E965B14" w:tentative="1">
      <w:start w:val="1"/>
      <w:numFmt w:val="bullet"/>
      <w:lvlText w:val=""/>
      <w:lvlJc w:val="left"/>
      <w:pPr>
        <w:tabs>
          <w:tab w:val="num" w:pos="4320"/>
        </w:tabs>
        <w:ind w:left="4320" w:hanging="360"/>
      </w:pPr>
      <w:rPr>
        <w:rFonts w:ascii="Wingdings" w:hAnsi="Wingdings" w:hint="default"/>
      </w:rPr>
    </w:lvl>
    <w:lvl w:ilvl="6" w:tplc="91A013D0" w:tentative="1">
      <w:start w:val="1"/>
      <w:numFmt w:val="bullet"/>
      <w:lvlText w:val=""/>
      <w:lvlJc w:val="left"/>
      <w:pPr>
        <w:tabs>
          <w:tab w:val="num" w:pos="5040"/>
        </w:tabs>
        <w:ind w:left="5040" w:hanging="360"/>
      </w:pPr>
      <w:rPr>
        <w:rFonts w:ascii="Symbol" w:hAnsi="Symbol" w:hint="default"/>
      </w:rPr>
    </w:lvl>
    <w:lvl w:ilvl="7" w:tplc="66C04F6A" w:tentative="1">
      <w:start w:val="1"/>
      <w:numFmt w:val="bullet"/>
      <w:lvlText w:val="o"/>
      <w:lvlJc w:val="left"/>
      <w:pPr>
        <w:tabs>
          <w:tab w:val="num" w:pos="5760"/>
        </w:tabs>
        <w:ind w:left="5760" w:hanging="360"/>
      </w:pPr>
      <w:rPr>
        <w:rFonts w:ascii="Courier New" w:hAnsi="Courier New" w:cs="Courier New" w:hint="default"/>
      </w:rPr>
    </w:lvl>
    <w:lvl w:ilvl="8" w:tplc="E79CCC3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F2203B8">
      <w:start w:val="1"/>
      <w:numFmt w:val="lowerRoman"/>
      <w:lvlText w:val="(%1)"/>
      <w:lvlJc w:val="left"/>
      <w:pPr>
        <w:tabs>
          <w:tab w:val="num" w:pos="2448"/>
        </w:tabs>
        <w:ind w:left="2448" w:hanging="648"/>
      </w:pPr>
      <w:rPr>
        <w:rFonts w:hint="default"/>
        <w:b w:val="0"/>
        <w:i w:val="0"/>
        <w:u w:val="none"/>
      </w:rPr>
    </w:lvl>
    <w:lvl w:ilvl="1" w:tplc="0B287C42" w:tentative="1">
      <w:start w:val="1"/>
      <w:numFmt w:val="lowerLetter"/>
      <w:lvlText w:val="%2."/>
      <w:lvlJc w:val="left"/>
      <w:pPr>
        <w:tabs>
          <w:tab w:val="num" w:pos="1440"/>
        </w:tabs>
        <w:ind w:left="1440" w:hanging="360"/>
      </w:pPr>
    </w:lvl>
    <w:lvl w:ilvl="2" w:tplc="4C5CCAA0" w:tentative="1">
      <w:start w:val="1"/>
      <w:numFmt w:val="lowerRoman"/>
      <w:lvlText w:val="%3."/>
      <w:lvlJc w:val="right"/>
      <w:pPr>
        <w:tabs>
          <w:tab w:val="num" w:pos="2160"/>
        </w:tabs>
        <w:ind w:left="2160" w:hanging="180"/>
      </w:pPr>
    </w:lvl>
    <w:lvl w:ilvl="3" w:tplc="EDA4581A" w:tentative="1">
      <w:start w:val="1"/>
      <w:numFmt w:val="decimal"/>
      <w:lvlText w:val="%4."/>
      <w:lvlJc w:val="left"/>
      <w:pPr>
        <w:tabs>
          <w:tab w:val="num" w:pos="2880"/>
        </w:tabs>
        <w:ind w:left="2880" w:hanging="360"/>
      </w:pPr>
    </w:lvl>
    <w:lvl w:ilvl="4" w:tplc="4B2E78A6" w:tentative="1">
      <w:start w:val="1"/>
      <w:numFmt w:val="lowerLetter"/>
      <w:lvlText w:val="%5."/>
      <w:lvlJc w:val="left"/>
      <w:pPr>
        <w:tabs>
          <w:tab w:val="num" w:pos="3600"/>
        </w:tabs>
        <w:ind w:left="3600" w:hanging="360"/>
      </w:pPr>
    </w:lvl>
    <w:lvl w:ilvl="5" w:tplc="1678610C" w:tentative="1">
      <w:start w:val="1"/>
      <w:numFmt w:val="lowerRoman"/>
      <w:lvlText w:val="%6."/>
      <w:lvlJc w:val="right"/>
      <w:pPr>
        <w:tabs>
          <w:tab w:val="num" w:pos="4320"/>
        </w:tabs>
        <w:ind w:left="4320" w:hanging="180"/>
      </w:pPr>
    </w:lvl>
    <w:lvl w:ilvl="6" w:tplc="9EF81124" w:tentative="1">
      <w:start w:val="1"/>
      <w:numFmt w:val="decimal"/>
      <w:lvlText w:val="%7."/>
      <w:lvlJc w:val="left"/>
      <w:pPr>
        <w:tabs>
          <w:tab w:val="num" w:pos="5040"/>
        </w:tabs>
        <w:ind w:left="5040" w:hanging="360"/>
      </w:pPr>
    </w:lvl>
    <w:lvl w:ilvl="7" w:tplc="E5A488C0" w:tentative="1">
      <w:start w:val="1"/>
      <w:numFmt w:val="lowerLetter"/>
      <w:lvlText w:val="%8."/>
      <w:lvlJc w:val="left"/>
      <w:pPr>
        <w:tabs>
          <w:tab w:val="num" w:pos="5760"/>
        </w:tabs>
        <w:ind w:left="5760" w:hanging="360"/>
      </w:pPr>
    </w:lvl>
    <w:lvl w:ilvl="8" w:tplc="BF06EF7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FA238F0">
      <w:start w:val="1"/>
      <w:numFmt w:val="bullet"/>
      <w:lvlText w:val=""/>
      <w:lvlJc w:val="left"/>
      <w:pPr>
        <w:tabs>
          <w:tab w:val="num" w:pos="5760"/>
        </w:tabs>
        <w:ind w:left="5760" w:hanging="360"/>
      </w:pPr>
      <w:rPr>
        <w:rFonts w:ascii="Symbol" w:hAnsi="Symbol" w:hint="default"/>
        <w:color w:val="auto"/>
        <w:u w:val="none"/>
      </w:rPr>
    </w:lvl>
    <w:lvl w:ilvl="1" w:tplc="A646613C" w:tentative="1">
      <w:start w:val="1"/>
      <w:numFmt w:val="bullet"/>
      <w:lvlText w:val="o"/>
      <w:lvlJc w:val="left"/>
      <w:pPr>
        <w:tabs>
          <w:tab w:val="num" w:pos="3600"/>
        </w:tabs>
        <w:ind w:left="3600" w:hanging="360"/>
      </w:pPr>
      <w:rPr>
        <w:rFonts w:ascii="Courier New" w:hAnsi="Courier New" w:hint="default"/>
      </w:rPr>
    </w:lvl>
    <w:lvl w:ilvl="2" w:tplc="C20866F6" w:tentative="1">
      <w:start w:val="1"/>
      <w:numFmt w:val="bullet"/>
      <w:lvlText w:val=""/>
      <w:lvlJc w:val="left"/>
      <w:pPr>
        <w:tabs>
          <w:tab w:val="num" w:pos="4320"/>
        </w:tabs>
        <w:ind w:left="4320" w:hanging="360"/>
      </w:pPr>
      <w:rPr>
        <w:rFonts w:ascii="Wingdings" w:hAnsi="Wingdings" w:hint="default"/>
      </w:rPr>
    </w:lvl>
    <w:lvl w:ilvl="3" w:tplc="55E0CEAE">
      <w:start w:val="1"/>
      <w:numFmt w:val="bullet"/>
      <w:lvlText w:val=""/>
      <w:lvlJc w:val="left"/>
      <w:pPr>
        <w:tabs>
          <w:tab w:val="num" w:pos="5040"/>
        </w:tabs>
        <w:ind w:left="5040" w:hanging="360"/>
      </w:pPr>
      <w:rPr>
        <w:rFonts w:ascii="Symbol" w:hAnsi="Symbol" w:hint="default"/>
      </w:rPr>
    </w:lvl>
    <w:lvl w:ilvl="4" w:tplc="6E16A604" w:tentative="1">
      <w:start w:val="1"/>
      <w:numFmt w:val="bullet"/>
      <w:lvlText w:val="o"/>
      <w:lvlJc w:val="left"/>
      <w:pPr>
        <w:tabs>
          <w:tab w:val="num" w:pos="5760"/>
        </w:tabs>
        <w:ind w:left="5760" w:hanging="360"/>
      </w:pPr>
      <w:rPr>
        <w:rFonts w:ascii="Courier New" w:hAnsi="Courier New" w:hint="default"/>
      </w:rPr>
    </w:lvl>
    <w:lvl w:ilvl="5" w:tplc="8692364A" w:tentative="1">
      <w:start w:val="1"/>
      <w:numFmt w:val="bullet"/>
      <w:lvlText w:val=""/>
      <w:lvlJc w:val="left"/>
      <w:pPr>
        <w:tabs>
          <w:tab w:val="num" w:pos="6480"/>
        </w:tabs>
        <w:ind w:left="6480" w:hanging="360"/>
      </w:pPr>
      <w:rPr>
        <w:rFonts w:ascii="Wingdings" w:hAnsi="Wingdings" w:hint="default"/>
      </w:rPr>
    </w:lvl>
    <w:lvl w:ilvl="6" w:tplc="36D034BE" w:tentative="1">
      <w:start w:val="1"/>
      <w:numFmt w:val="bullet"/>
      <w:lvlText w:val=""/>
      <w:lvlJc w:val="left"/>
      <w:pPr>
        <w:tabs>
          <w:tab w:val="num" w:pos="7200"/>
        </w:tabs>
        <w:ind w:left="7200" w:hanging="360"/>
      </w:pPr>
      <w:rPr>
        <w:rFonts w:ascii="Symbol" w:hAnsi="Symbol" w:hint="default"/>
      </w:rPr>
    </w:lvl>
    <w:lvl w:ilvl="7" w:tplc="B270252A" w:tentative="1">
      <w:start w:val="1"/>
      <w:numFmt w:val="bullet"/>
      <w:lvlText w:val="o"/>
      <w:lvlJc w:val="left"/>
      <w:pPr>
        <w:tabs>
          <w:tab w:val="num" w:pos="7920"/>
        </w:tabs>
        <w:ind w:left="7920" w:hanging="360"/>
      </w:pPr>
      <w:rPr>
        <w:rFonts w:ascii="Courier New" w:hAnsi="Courier New" w:hint="default"/>
      </w:rPr>
    </w:lvl>
    <w:lvl w:ilvl="8" w:tplc="078495D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C64"/>
    <w:rsid w:val="006C1C64"/>
    <w:rsid w:val="00DE4E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C6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C1C64"/>
    <w:pPr>
      <w:keepNext/>
      <w:spacing w:line="480" w:lineRule="auto"/>
      <w:ind w:left="1440" w:right="-90" w:hanging="720"/>
      <w:outlineLvl w:val="4"/>
    </w:pPr>
    <w:rPr>
      <w:b/>
    </w:rPr>
  </w:style>
  <w:style w:type="paragraph" w:styleId="Heading6">
    <w:name w:val="heading 6"/>
    <w:basedOn w:val="Normal"/>
    <w:next w:val="Normal"/>
    <w:qFormat/>
    <w:rsid w:val="006C1C64"/>
    <w:pPr>
      <w:keepNext/>
      <w:spacing w:line="480" w:lineRule="auto"/>
      <w:ind w:left="1080" w:right="-90" w:hanging="360"/>
      <w:outlineLvl w:val="5"/>
    </w:pPr>
    <w:rPr>
      <w:b/>
    </w:rPr>
  </w:style>
  <w:style w:type="paragraph" w:styleId="Heading7">
    <w:name w:val="heading 7"/>
    <w:basedOn w:val="Normal"/>
    <w:next w:val="Normal"/>
    <w:qFormat/>
    <w:rsid w:val="006C1C64"/>
    <w:pPr>
      <w:keepNext/>
      <w:spacing w:line="480" w:lineRule="auto"/>
      <w:ind w:left="720" w:right="630"/>
      <w:outlineLvl w:val="6"/>
    </w:pPr>
    <w:rPr>
      <w:b/>
    </w:rPr>
  </w:style>
  <w:style w:type="paragraph" w:styleId="Heading8">
    <w:name w:val="heading 8"/>
    <w:basedOn w:val="Normal"/>
    <w:next w:val="Normal"/>
    <w:qFormat/>
    <w:rsid w:val="006C1C64"/>
    <w:pPr>
      <w:keepNext/>
      <w:spacing w:line="480" w:lineRule="auto"/>
      <w:ind w:left="720" w:right="-90"/>
      <w:outlineLvl w:val="7"/>
    </w:pPr>
    <w:rPr>
      <w:b/>
    </w:rPr>
  </w:style>
  <w:style w:type="paragraph" w:styleId="Heading9">
    <w:name w:val="heading 9"/>
    <w:basedOn w:val="Normal"/>
    <w:next w:val="Normal"/>
    <w:qFormat/>
    <w:rsid w:val="006C1C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C1C6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C1C64"/>
    <w:pPr>
      <w:widowControl/>
      <w:tabs>
        <w:tab w:val="center" w:pos="4680"/>
        <w:tab w:val="right" w:pos="9360"/>
      </w:tabs>
    </w:pPr>
    <w:rPr>
      <w:snapToGrid/>
      <w:szCs w:val="24"/>
    </w:rPr>
  </w:style>
  <w:style w:type="paragraph" w:styleId="Date">
    <w:name w:val="Date"/>
    <w:basedOn w:val="Normal"/>
    <w:next w:val="Normal"/>
    <w:rsid w:val="006C1C6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2017-03-23T23:21:00Z</dcterms:created>
  <dcterms:modified xsi:type="dcterms:W3CDTF">2017-03-23T23:21:00Z</dcterms:modified>
</cp:coreProperties>
</file>