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7E1CF6">
      <w:pPr>
        <w:pStyle w:val="Heading2"/>
      </w:pPr>
      <w:bookmarkStart w:id="0" w:name="_DV_M7"/>
      <w:bookmarkStart w:id="1" w:name="_Toc261252161"/>
      <w:bookmarkEnd w:id="0"/>
      <w:r>
        <w:t>23.2</w:t>
      </w:r>
      <w:r>
        <w:tab/>
        <w:t>Conduct Warranting Mitigation</w:t>
      </w:r>
      <w:bookmarkEnd w:id="1"/>
    </w:p>
    <w:p w:rsidR="00C17202" w:rsidRDefault="007E1CF6">
      <w:pPr>
        <w:pStyle w:val="Heading3"/>
      </w:pPr>
      <w:bookmarkStart w:id="2" w:name="_DV_M8"/>
      <w:bookmarkStart w:id="3" w:name="_Toc261252162"/>
      <w:bookmarkEnd w:id="2"/>
      <w:r>
        <w:t>23.2.1</w:t>
      </w:r>
      <w:r>
        <w:tab/>
        <w:t>Definitions</w:t>
      </w:r>
      <w:bookmarkEnd w:id="3"/>
    </w:p>
    <w:p w:rsidR="00C17202" w:rsidRDefault="007E1CF6">
      <w:pPr>
        <w:pStyle w:val="Bodypara"/>
      </w:pPr>
      <w:r>
        <w:t>The following definitions are applicable to this Attachment H:</w:t>
      </w:r>
    </w:p>
    <w:p w:rsidR="001504C1" w:rsidRDefault="007E1CF6"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7E1CF6"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7E1CF6">
      <w:pPr>
        <w:pStyle w:val="romannumeralpara"/>
        <w:spacing w:before="120" w:after="120" w:line="240" w:lineRule="auto"/>
      </w:pPr>
      <w:r>
        <w:t>i)</w:t>
      </w:r>
      <w:r>
        <w:tab/>
        <w:t>all persons or Entities that directly or indirectly control</w:t>
      </w:r>
      <w:r>
        <w:t xml:space="preserve"> such person or Entity; </w:t>
      </w:r>
    </w:p>
    <w:p w:rsidR="00C17202" w:rsidRDefault="007E1CF6">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7E1CF6">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7E1CF6">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w:t>
      </w:r>
      <w:r>
        <w:rPr>
          <w:bCs/>
        </w:rPr>
        <w:t xml:space="preserve">eement under which such person or </w:t>
      </w:r>
      <w:r>
        <w:t>Entity</w:t>
      </w:r>
      <w:r>
        <w:rPr>
          <w:bCs/>
        </w:rPr>
        <w:t xml:space="preserve"> has retained or has conferred rights of Control of Unforced Capacity.</w:t>
      </w:r>
    </w:p>
    <w:p w:rsidR="00C17202" w:rsidRDefault="007E1CF6"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w:t>
      </w:r>
      <w:r>
        <w:rPr>
          <w:bCs/>
        </w:rPr>
        <w:t xml:space="preserve">n or Entity, and shall be rebuttably presumed from an ownership, voting or equivalent interest of ten percent or more.  </w:t>
      </w:r>
    </w:p>
    <w:p w:rsidR="006302F0" w:rsidRDefault="007E1CF6"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w:t>
      </w:r>
      <w:r w:rsidRPr="00A016A2">
        <w:rPr>
          <w:bCs/>
        </w:rPr>
        <w:t>of at least 270 days, from the date of the event resulting in the Forced Outage, had it, or a comparable Forced Outage been suffered at a generating facility that is reasonably the same as or similar to the Generator’s, the owner of which is intending to r</w:t>
      </w:r>
      <w:r w:rsidRPr="00A016A2">
        <w:rPr>
          <w:bCs/>
        </w:rPr>
        <w:t xml:space="preserve">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provided the foregoin</w:t>
      </w:r>
      <w:r w:rsidRPr="00A016A2">
        <w:rPr>
          <w:bCs/>
        </w:rPr>
        <w:t xml:space="preserve">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w:t>
      </w:r>
      <w:r w:rsidRPr="00A016A2">
        <w:rPr>
          <w:bCs/>
        </w:rPr>
        <w:t xml:space="preserve">sed the Forced Outage provided that adequate information is provided to the ISO to support such determination.  </w:t>
      </w:r>
    </w:p>
    <w:p w:rsidR="00CD4FCE" w:rsidRDefault="007E1CF6"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7E1CF6" w:rsidP="00CD4FCE">
      <w:pPr>
        <w:pStyle w:val="Definition"/>
        <w:spacing w:before="120" w:after="120"/>
        <w:rPr>
          <w:b/>
          <w:bCs/>
        </w:rPr>
      </w:pPr>
      <w:r w:rsidRPr="00990746">
        <w:rPr>
          <w:b/>
        </w:rPr>
        <w:t>“Cleared</w:t>
      </w:r>
      <w:r w:rsidRPr="00990746">
        <w:rPr>
          <w:b/>
        </w:rPr>
        <w:t xml:space="preserve"> UCAP”</w:t>
      </w:r>
      <w:r w:rsidRPr="00990746">
        <w:t xml:space="preserve"> means the amount of MW (rounded down to the nearest tenth of a MW) that had been subject to an Offer Floor but has cleared in accordance with Section 23.4.5.7.</w:t>
      </w:r>
    </w:p>
    <w:p w:rsidR="008002D6" w:rsidRPr="008002D6" w:rsidRDefault="007E1CF6"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7E1CF6"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7E1CF6"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7E1CF6"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7E1CF6"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7E1CF6" w:rsidP="008007DD">
      <w:pPr>
        <w:pStyle w:val="Definition"/>
        <w:spacing w:before="120" w:after="120"/>
      </w:pPr>
      <w:r>
        <w:rPr>
          <w:b/>
        </w:rPr>
        <w:t>“Electric Facility</w:t>
      </w:r>
      <w:r>
        <w:rPr>
          <w:b/>
        </w:rPr>
        <w:t>”</w:t>
      </w:r>
      <w:r>
        <w:t xml:space="preserve"> shall mean a Generator or an electric transmission facility.</w:t>
      </w:r>
    </w:p>
    <w:p w:rsidR="00C17202" w:rsidRDefault="007E1CF6"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w:t>
      </w:r>
      <w:r>
        <w:t xml:space="preserve">company, trust, unincorporated organization or other form of legal or juridical organization or entity. </w:t>
      </w:r>
    </w:p>
    <w:p w:rsidR="007D2E97" w:rsidRDefault="007E1CF6"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una</w:t>
      </w:r>
      <w:r w:rsidRPr="00846FD3">
        <w:rPr>
          <w:bCs/>
        </w:rPr>
        <w:t xml:space="preserve">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not limited to: the inaccessibility of the physical facility; </w:t>
      </w:r>
      <w:r w:rsidRPr="00846FD3">
        <w:rPr>
          <w:bCs/>
        </w:rPr>
        <w:t>the inaccessibility of necessary documentation or other data; and the unavailability of information regarding the regulatory obligations with which the Market Party will be required to comply in order to return its Generator to service which regulatory obl</w:t>
      </w:r>
      <w:r w:rsidRPr="00846FD3">
        <w:rPr>
          <w:bCs/>
        </w:rPr>
        <w:t>igations are not yet known but which will be made known by the applicable regulatory authority under existing laws and regulations provided that none of the above described circumstances are the result of delay or inaction by the Market Party. The magnitud</w:t>
      </w:r>
      <w:r w:rsidRPr="00846FD3">
        <w:rPr>
          <w:bCs/>
        </w:rPr>
        <w:t xml:space="preserve">e of the repair cost, alone, shall not be an Exceptional Circumstance.  </w:t>
      </w:r>
    </w:p>
    <w:p w:rsidR="00C17202" w:rsidRDefault="007E1CF6"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for</w:t>
      </w:r>
      <w:r>
        <w:rPr>
          <w:bCs/>
        </w:rPr>
        <w:t xml:space="preserve">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w:t>
      </w:r>
      <w:r>
        <w:rPr>
          <w:bCs/>
        </w:rPr>
        <w:t xml:space="preserve">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w:t>
      </w:r>
      <w:r>
        <w:rPr>
          <w:bCs/>
        </w:rPr>
        <w:t xml:space="preserve">that would have been incurred as a result of the foregone sale if it had taken place. </w:t>
      </w:r>
    </w:p>
    <w:p w:rsidR="008007DD" w:rsidRPr="008007DD" w:rsidRDefault="007E1CF6"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xml:space="preserve">” shall mean the capacity price calculated by the NYISO for informational purposes </w:t>
      </w:r>
      <w:r w:rsidRPr="00CC2198">
        <w:rPr>
          <w:iCs/>
        </w:rPr>
        <w:t>only if there is not an effective ICAP Demand Curve and the Commission (</w:t>
      </w:r>
      <w:r>
        <w:rPr>
          <w:iCs/>
        </w:rPr>
        <w:t>i) has accepted an ICAP Demand Curve for the Mitigated Capacity Zone that will become effective when the Mitigated Capacity Zone is first effective, in which case, the Indicative Mitig</w:t>
      </w:r>
      <w:r>
        <w:rPr>
          <w:iCs/>
        </w:rPr>
        <w:t>ation Net CONE shall be the capacity price on such ICAP Demand Curve for the Mitigated Capacity Zone corresponding to the average amount of excess capacity above the Indicative NCZ Locational Minimum Installed Capacity Requirement, as applicable, expressed</w:t>
      </w:r>
      <w:r>
        <w:rPr>
          <w:iCs/>
        </w:rPr>
        <w:t xml:space="preserve"> as a percentage of that requirement that formed the basis for the ICAP Demand Curve accepted by the Commission; or, (ii) has not accepted an ICAP Demand Curve for the Mitigated Capacity Zone, but the ISO has filed an ICAP Demand Curve for the Mitigated Ca</w:t>
      </w:r>
      <w:r>
        <w:rPr>
          <w:iCs/>
        </w:rPr>
        <w:t>pacity Zone pursuant to Services Tariff Section 5.14.1.2.</w:t>
      </w:r>
      <w:r>
        <w:rPr>
          <w:iCs/>
        </w:rPr>
        <w:t>2.4.</w:t>
      </w:r>
      <w:r>
        <w:rPr>
          <w:iCs/>
        </w:rPr>
        <w:t>11, in which case the Indicative Mitigation Net CONE shall be the capacity price on such ICAP Demand Curve corresponding to the average amount of excess capacity above the Indicative NCZ Location</w:t>
      </w:r>
      <w:r>
        <w:rPr>
          <w:iCs/>
        </w:rPr>
        <w:t>al Minimum Installed Capacity Requirement, expressed as a percentage of that requirement, that formed the basis for such ICAP Demand Curve.</w:t>
      </w:r>
    </w:p>
    <w:p w:rsidR="00C17202" w:rsidRDefault="007E1CF6"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w:t>
      </w:r>
      <w:r>
        <w:t xml:space="preserve">nsmission Tariff. </w:t>
      </w:r>
    </w:p>
    <w:p w:rsidR="00C17202" w:rsidRDefault="007E1CF6"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7E1CF6"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w:t>
      </w:r>
      <w:r>
        <w:rPr>
          <w:bCs/>
        </w:rPr>
        <w:t>t X</w:t>
      </w:r>
      <w:r>
        <w:rPr>
          <w:bCs/>
        </w:rPr>
        <w:t>)</w:t>
      </w:r>
      <w:r>
        <w:rPr>
          <w:bCs/>
        </w:rPr>
        <w:t xml:space="preserve"> of the </w:t>
      </w:r>
      <w:r>
        <w:t>ISO’s</w:t>
      </w:r>
      <w:r>
        <w:rPr>
          <w:bCs/>
        </w:rPr>
        <w:t xml:space="preserve"> Open Access Transmission Tariff.</w:t>
      </w:r>
    </w:p>
    <w:p w:rsidR="00C17202" w:rsidRDefault="007E1CF6"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7E1CF6" w:rsidP="008007DD">
      <w:pPr>
        <w:pStyle w:val="Definition"/>
        <w:spacing w:before="120" w:after="120"/>
      </w:pPr>
      <w:r>
        <w:rPr>
          <w:b/>
        </w:rPr>
        <w:t>“Market Party”</w:t>
      </w:r>
      <w:r>
        <w:t xml:space="preserve"> shall mean any person or entity that is</w:t>
      </w:r>
      <w:r>
        <w:t xml:space="preserve">, or for purposes of the determinations </w:t>
      </w:r>
      <w:r>
        <w:t>to be made pursuant to Section 23.4.5.7 of this Attachment H proposes or plans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w:t>
      </w:r>
      <w:r>
        <w:t xml:space="preserve"> any of the </w:t>
      </w:r>
      <w:r w:rsidRPr="002550CF">
        <w:rPr>
          <w:bCs/>
          <w:color w:val="000000"/>
        </w:rPr>
        <w:t>ISO</w:t>
      </w:r>
      <w:r>
        <w:t xml:space="preserve"> Administered Markets, or any combination of the foregoing.</w:t>
      </w:r>
    </w:p>
    <w:p w:rsidR="00C17202" w:rsidRDefault="007E1CF6"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Control by a Market Party that has </w:t>
      </w:r>
      <w:r>
        <w:t>been identified by the ISO as a Pivotal Supplier.</w:t>
      </w:r>
    </w:p>
    <w:p w:rsidR="00C17202" w:rsidRDefault="007E1CF6"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w:t>
      </w:r>
      <w:r w:rsidRPr="00061997">
        <w:rPr>
          <w:bCs/>
          <w:color w:val="000000"/>
        </w:rPr>
        <w:t xml:space="preser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7E1CF6" w:rsidP="008007DD">
      <w:pPr>
        <w:pStyle w:val="Definition"/>
        <w:spacing w:before="120" w:after="120"/>
        <w:rPr>
          <w:color w:val="000000"/>
        </w:rPr>
      </w:pPr>
      <w:r>
        <w:rPr>
          <w:b/>
          <w:bCs/>
          <w:color w:val="000000"/>
        </w:rPr>
        <w:t>“NCZ Examined Project”</w:t>
      </w:r>
      <w:r>
        <w:rPr>
          <w:bCs/>
          <w:color w:val="000000"/>
        </w:rPr>
        <w:t xml:space="preserve"> shall mean an</w:t>
      </w:r>
      <w:r>
        <w:rPr>
          <w:bCs/>
          <w:color w:val="000000"/>
        </w:rPr>
        <w:t xml:space="preserve">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specified in 23.4.5.7.3(I</w:t>
      </w:r>
      <w:r>
        <w:rPr>
          <w:bCs/>
          <w:color w:val="000000"/>
        </w:rPr>
        <w:t>I).  An NCZ Examined Project may be at any phase of development or in operation or an Installed Capacity Supplier.</w:t>
      </w:r>
    </w:p>
    <w:p w:rsidR="00C17202" w:rsidRDefault="007E1CF6"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w:t>
      </w:r>
      <w:r>
        <w:t>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w:t>
      </w:r>
      <w:r>
        <w:t xml:space="preserve">r as escalated as specified in </w:t>
      </w:r>
      <w:r>
        <w:rPr>
          <w:bCs/>
        </w:rPr>
        <w:t>Section 23.</w:t>
      </w:r>
      <w:r>
        <w:t>4.5.7 of Attachment H.</w:t>
      </w:r>
    </w:p>
    <w:p w:rsidR="00C17202" w:rsidRDefault="007E1CF6"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w:t>
      </w:r>
      <w:r>
        <w:t xml:space="preserve"> for five years or more that commences commercial service after the effective date of this definition.</w:t>
      </w:r>
    </w:p>
    <w:p w:rsidR="00C17202" w:rsidRDefault="007E1CF6"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th</w:t>
      </w:r>
      <w:r>
        <w:rPr>
          <w:bCs/>
        </w:rPr>
        <w:t xml:space="preserve">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w:t>
      </w:r>
      <w:r>
        <w:rPr>
          <w:bCs/>
        </w:rPr>
        <w:t>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w:t>
      </w:r>
      <w:r>
        <w:rPr>
          <w:bCs/>
        </w:rPr>
        <w:t>fied in Section 23.4.5.7.6.</w:t>
      </w:r>
    </w:p>
    <w:p w:rsidR="00C17202" w:rsidRDefault="007E1CF6"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w:t>
      </w:r>
      <w:r>
        <w:rPr>
          <w:bCs/>
        </w:rPr>
        <w:t>pacity, and (b) Controls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w:t>
      </w:r>
      <w:r>
        <w:rPr>
          <w:bCs/>
        </w:rPr>
        <w:t xml:space="preserve"> any of its Affiliated Entities, (a) Controls</w:t>
      </w:r>
      <w:r w:rsidRPr="00436F2C">
        <w:rPr>
          <w:bCs/>
        </w:rPr>
        <w:t xml:space="preserve"> </w:t>
      </w:r>
      <w:r>
        <w:rPr>
          <w:bCs/>
        </w:rPr>
        <w:t>650 MW or more of Unforced Capacity; and (b) Controls Unforced Capacity some portion of which is necessary to meet the G-J Locality Locational Minimum Installed Capacity Requirement in an ICAP Spot Market Aucti</w:t>
      </w:r>
      <w:r>
        <w:rPr>
          <w:bCs/>
        </w:rPr>
        <w:t xml:space="preserve">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w:t>
      </w:r>
      <w:r>
        <w:rPr>
          <w:bCs/>
        </w:rPr>
        <w:t>ssion</w:t>
      </w:r>
      <w:r>
        <w:rPr>
          <w:bCs/>
        </w:rPr>
        <w:t>.</w:t>
      </w:r>
      <w:r>
        <w:rPr>
          <w:bCs/>
        </w:rPr>
        <w:t xml:space="preserve"> </w:t>
      </w:r>
    </w:p>
    <w:p w:rsidR="00C17202" w:rsidRDefault="007E1CF6"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7E1CF6"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7E1CF6" w:rsidP="0005583F">
      <w:pPr>
        <w:pStyle w:val="Definition"/>
        <w:spacing w:before="120" w:after="120"/>
        <w:rPr>
          <w:bCs/>
        </w:rPr>
      </w:pPr>
      <w:r>
        <w:rPr>
          <w:b/>
          <w:bCs/>
        </w:rPr>
        <w:t>“</w:t>
      </w:r>
      <w:r>
        <w:rPr>
          <w:b/>
        </w:rPr>
        <w:t>Revised</w:t>
      </w:r>
      <w:r>
        <w:rPr>
          <w:b/>
          <w:bCs/>
        </w:rPr>
        <w:t xml:space="preserve"> Project Cost Allocation” </w:t>
      </w:r>
      <w:r>
        <w:rPr>
          <w:bCs/>
        </w:rPr>
        <w:t>shall have the mea</w:t>
      </w:r>
      <w:r>
        <w:rPr>
          <w:bCs/>
        </w:rPr>
        <w:t xml:space="preserve">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7E1CF6"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7E1CF6" w:rsidP="008007DD">
      <w:pPr>
        <w:pStyle w:val="Definition"/>
        <w:spacing w:before="120" w:after="120"/>
        <w:rPr>
          <w:bCs/>
        </w:rPr>
      </w:pPr>
      <w:r>
        <w:rPr>
          <w:bCs/>
        </w:rPr>
        <w:t>For purposes of Section 23.4.</w:t>
      </w:r>
      <w:r>
        <w:rPr>
          <w:bCs/>
        </w:rPr>
        <w:t xml:space="preserve">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7E1CF6" w:rsidP="008007DD">
      <w:pPr>
        <w:pStyle w:val="Definition"/>
        <w:spacing w:before="120" w:after="120"/>
      </w:pPr>
      <w:r>
        <w:rPr>
          <w:b/>
          <w:bCs/>
        </w:rPr>
        <w:t>“Total Evaluated CR</w:t>
      </w:r>
      <w:r>
        <w:rPr>
          <w:b/>
          <w:bCs/>
        </w:rPr>
        <w:t>IS MW”</w:t>
      </w:r>
      <w:r>
        <w:rPr>
          <w:bCs/>
        </w:rPr>
        <w:t xml:space="preserve"> shall mean the Additional CRIS MW requested plus either (i) if the Installed Capacity Supplier previously received an exemption under Sections 23.4.5.7.2(b), 23.4.5.7.6(b), 23.4.5.7.7 or 23.4.5.7.8, all prior Additional CRIS MW since the facility wa</w:t>
      </w:r>
      <w:r>
        <w:rPr>
          <w:bCs/>
        </w:rPr>
        <w:t xml:space="preserve">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w:t>
      </w:r>
      <w:r>
        <w:rPr>
          <w:bCs/>
        </w:rPr>
        <w:t>ATT Attachments S, X, or Z).</w:t>
      </w:r>
    </w:p>
    <w:p w:rsidR="00C17202" w:rsidRDefault="007E1CF6"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w:t>
      </w:r>
      <w:r>
        <w:rPr>
          <w:bCs/>
        </w:rPr>
        <w:t xml:space="preserve">cable ICAP Demand Curve and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7E1CF6" w:rsidP="008007DD">
      <w:pPr>
        <w:pStyle w:val="Definition"/>
        <w:spacing w:before="120" w:after="120"/>
      </w:pPr>
      <w:r>
        <w:t>For</w:t>
      </w:r>
      <w:r>
        <w:rPr>
          <w:bCs/>
        </w:rPr>
        <w:t xml:space="preserve"> purposes of Section 23.4.5 of this Attachment H, </w:t>
      </w:r>
      <w:r>
        <w:rPr>
          <w:b/>
          <w:bCs/>
        </w:rPr>
        <w:t>“</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w:t>
      </w:r>
      <w:r>
        <w:rPr>
          <w:bCs/>
        </w:rPr>
        <w:t>ion service, in either case net of likely projected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w:t>
      </w:r>
      <w:r>
        <w:rPr>
          <w:bCs/>
        </w:rPr>
        <w:t>, as determined by the ISO, translated into a season</w:t>
      </w:r>
      <w:r>
        <w:rPr>
          <w:bCs/>
        </w:rPr>
        <w:t>ally adjusted monthly UCAP value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w:t>
      </w:r>
      <w:r w:rsidRPr="009D1E70">
        <w:rPr>
          <w:bCs/>
        </w:rPr>
        <w:t>n and transmission of power, and shall not net the revenues from functions other than the generation or transmission of power.</w:t>
      </w:r>
    </w:p>
    <w:p w:rsidR="00C17202" w:rsidRDefault="007E1CF6">
      <w:pPr>
        <w:pStyle w:val="Heading3"/>
      </w:pPr>
      <w:bookmarkStart w:id="6" w:name="_Toc261252163"/>
      <w:r>
        <w:t>23.2.2</w:t>
      </w:r>
      <w:r>
        <w:tab/>
        <w:t>Conduct Subject to Mitigation</w:t>
      </w:r>
      <w:bookmarkEnd w:id="6"/>
    </w:p>
    <w:p w:rsidR="00C17202" w:rsidRDefault="007E1CF6">
      <w:pPr>
        <w:pStyle w:val="Bodypara"/>
      </w:pPr>
      <w:r>
        <w:t xml:space="preserve">Mitigation Measures may be applied: (i) to the bidding, scheduling or operation of an </w:t>
      </w:r>
      <w:r>
        <w:t>“Electric Facility”; or (ii) as specified in Section 23.2.4.2.</w:t>
      </w:r>
      <w:bookmarkStart w:id="7" w:name="_DV_M10"/>
      <w:bookmarkStart w:id="8" w:name="_DV_M11"/>
      <w:bookmarkEnd w:id="7"/>
      <w:bookmarkEnd w:id="8"/>
    </w:p>
    <w:p w:rsidR="00C17202" w:rsidRDefault="007E1CF6">
      <w:pPr>
        <w:pStyle w:val="Heading3"/>
      </w:pPr>
      <w:bookmarkStart w:id="9" w:name="_Toc261252164"/>
      <w:r>
        <w:t>23.2.3</w:t>
      </w:r>
      <w:r>
        <w:tab/>
        <w:t>Conditions for the Imposition of Mitigation Measures</w:t>
      </w:r>
      <w:bookmarkEnd w:id="9"/>
    </w:p>
    <w:p w:rsidR="00C17202" w:rsidRDefault="007E1CF6" w:rsidP="007233E8">
      <w:pPr>
        <w:pStyle w:val="romannumeralpara"/>
      </w:pPr>
      <w:r>
        <w:t>23.2.3.1</w:t>
      </w:r>
      <w:r>
        <w:tab/>
        <w:t>To achieve the foregoing purpose and objectives, Mitigation Measures should only be imposed to remedy conduct that would sub</w:t>
      </w:r>
      <w:r>
        <w:t>stantially distort or impair the competitiveness of any of the ISO Administered Markets.  Accordingly, the ISO shall seek to impose Mitigation Measures only to remedy conduct that:</w:t>
      </w:r>
    </w:p>
    <w:p w:rsidR="00C17202" w:rsidRDefault="007E1CF6">
      <w:pPr>
        <w:pStyle w:val="romannumeralpara"/>
      </w:pPr>
      <w:r>
        <w:t>23.2.3.1.1</w:t>
      </w:r>
      <w:r>
        <w:tab/>
        <w:t>is significantly inconsistent with competitive conduct; and</w:t>
      </w:r>
    </w:p>
    <w:p w:rsidR="00C17202" w:rsidRDefault="007E1CF6">
      <w:pPr>
        <w:pStyle w:val="romannumeralpara"/>
      </w:pPr>
      <w:r>
        <w:t>23.2.3.1.2</w:t>
      </w:r>
      <w:r>
        <w:tab/>
        <w:t>would result in a material change in one or more prices in an ISO Administered Market or production cost guarantee payments (“guarantee payments”) to a Market Party.</w:t>
      </w:r>
    </w:p>
    <w:p w:rsidR="00C17202" w:rsidRDefault="007E1CF6"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competitive conduct includ</w:t>
      </w:r>
      <w:r>
        <w:t xml:space="preserve">e, but may not be limited to, the three categories of conduct specified in Section </w:t>
      </w:r>
      <w:bookmarkStart w:id="10" w:name="_DV_M17"/>
      <w:bookmarkEnd w:id="10"/>
      <w:r>
        <w:t>23.2.4 below.</w:t>
      </w:r>
    </w:p>
    <w:p w:rsidR="00C17202" w:rsidRDefault="007E1CF6">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7E1CF6" w:rsidP="007233E8">
      <w:pPr>
        <w:pStyle w:val="romannumeralpara"/>
      </w:pPr>
      <w:bookmarkStart w:id="14" w:name="_DV_M19"/>
      <w:bookmarkEnd w:id="14"/>
      <w:r>
        <w:t>23.2.4.1</w:t>
      </w:r>
      <w:r>
        <w:tab/>
        <w:t xml:space="preserve">The following categories of conduct, whether by a single firm or by multiple firms acting in </w:t>
      </w:r>
      <w:r>
        <w:t>concert, may cause a material effect on prices or guarantee payments in an ISO Administered Market if exercised from a position of market power.  Accordingly, the ISO shall monitor the ISO Administered Markets for the following categories of conduct, and s</w:t>
      </w:r>
      <w:r>
        <w:t>hall impose appropriate Mitigation Measures if such conduct is detected and the other applicable conditions for the imposition of Mitigation Measures are met:</w:t>
      </w:r>
    </w:p>
    <w:p w:rsidR="00C17202" w:rsidRDefault="007E1CF6"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w:t>
      </w:r>
      <w:r>
        <w:t>e the output of or services provided by an Electric Facility capable of serving an ISO Administered Market.  Such withholding may include, but not be limited to, (i) falsely declaring that an Electric Facility has been forced out of service or otherwise be</w:t>
      </w:r>
      <w:r>
        <w:t xml:space="preserv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 making an unjustifiable change to one o</w:t>
      </w:r>
      <w:r>
        <w:rPr>
          <w:bCs/>
        </w:rPr>
        <w:t>r more operating parameters of a Generator that reduces its ability to provide Energy or Ancillary Services or (iv) operating a Generator in real-time  at a lower output level than the Generator would have been expected to produce had the Generator followe</w:t>
      </w:r>
      <w:r>
        <w:rPr>
          <w:bCs/>
        </w:rPr>
        <w:t>d the ISO’s dispatch instructions, in a manner that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7E1CF6">
      <w:pPr>
        <w:pStyle w:val="alphapara"/>
      </w:pPr>
      <w:r>
        <w:rPr>
          <w:bCs/>
        </w:rPr>
        <w:tab/>
        <w:t>For</w:t>
      </w:r>
      <w:r>
        <w:rPr>
          <w:bCs/>
        </w:rPr>
        <w:t xml:space="preserve"> purposes of this Section and Section 23.4.3.2, the term “unjustifiable change” shall mean a change in an Electric Facility’s operating parameters that is:  (a) not attributable to the Electric Facility’s verifiable physical operating capabilities, and (b)</w:t>
      </w:r>
      <w:r>
        <w:rPr>
          <w:bCs/>
        </w:rPr>
        <w:t xml:space="preserve"> is not a rational competitive response to economic factors other than market power.</w:t>
      </w:r>
    </w:p>
    <w:p w:rsidR="00C17202" w:rsidRDefault="007E1CF6"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w:t>
      </w:r>
      <w:r>
        <w:t xml:space="preserve"> not or will not be dispatched or scheduled, or (ii) the Bids will set a market clearing price.</w:t>
      </w:r>
    </w:p>
    <w:p w:rsidR="00C17202" w:rsidRDefault="007E1CF6" w:rsidP="007233E8">
      <w:pPr>
        <w:pStyle w:val="romannumeralpara"/>
      </w:pPr>
      <w:bookmarkStart w:id="22" w:name="_DV_M22"/>
      <w:bookmarkEnd w:id="22"/>
      <w:r>
        <w:t>23.2.4.1.3</w:t>
      </w:r>
      <w:r>
        <w:tab/>
        <w:t xml:space="preserve">Uneconomic production from an Electric Facility, that is, increasing the output of an Electric Facility to levels that would otherwise be uneconomic </w:t>
      </w:r>
      <w:r>
        <w:t>in order to cause, and obtain benefits from, a transmission constraint.</w:t>
      </w:r>
    </w:p>
    <w:p w:rsidR="00C17202" w:rsidRDefault="007E1CF6"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w:t>
      </w:r>
      <w:r>
        <w:t>ket that allows a Market Party or its Affiliate to manipulate market prices or otherwise impair the efficient operation of that market, pending the revision of such rule, standard, procedure or design feature to preclude such manipulation of prices or impa</w:t>
      </w:r>
      <w:r>
        <w:t>irment of efficiency.</w:t>
      </w:r>
      <w:bookmarkEnd w:id="24"/>
    </w:p>
    <w:p w:rsidR="00C17202" w:rsidRDefault="007E1CF6"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otherwise inconsistent with competitive conduc</w:t>
      </w:r>
      <w:r>
        <w:t>t.</w:t>
      </w:r>
    </w:p>
    <w:p w:rsidR="00C17202" w:rsidRDefault="007E1CF6"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w:t>
      </w:r>
      <w:r>
        <w:t xml:space="preserve"> ISO Administered Market.  The ISO shall: (i) seek to amend the foregoing list as may be appropriate, in accordance with the procedures and requirements for amending the Plan, to include any such conduct that would substantially distort or impair the compe</w:t>
      </w:r>
      <w:r>
        <w:t xml:space="preserve">titiveness of any of the ISO Administered Markets; and (ii) seek such other authorization to mitigate the effects of such conduct from the FERC as may be appropriate.  </w:t>
      </w:r>
      <w:r>
        <w:rPr>
          <w:color w:val="000000"/>
        </w:rPr>
        <w:t>The responsibilities of the Market Monitoring Unit that are addressed in this section of</w:t>
      </w:r>
      <w:r>
        <w:rPr>
          <w:color w:val="000000"/>
        </w:rPr>
        <w:t xml:space="preserve"> the Mitigation Measures are also addressed in Section 30.4.6.2.2 of Attachment O.</w:t>
      </w:r>
      <w:bookmarkEnd w:id="29"/>
    </w:p>
    <w:p w:rsidR="00C17202" w:rsidRDefault="007E1CF6">
      <w:pPr>
        <w:pStyle w:val="EndnoteText"/>
      </w:pPr>
    </w:p>
    <w:p w:rsidR="00C17202" w:rsidRDefault="007E1CF6">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DB7" w:rsidRDefault="00BA0DB7" w:rsidP="00BA0DB7">
      <w:r>
        <w:separator/>
      </w:r>
    </w:p>
  </w:endnote>
  <w:endnote w:type="continuationSeparator" w:id="0">
    <w:p w:rsidR="00BA0DB7" w:rsidRDefault="00BA0DB7" w:rsidP="00B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BA0DB7">
      <w:rPr>
        <w:rFonts w:ascii="Arial" w:eastAsia="Arial" w:hAnsi="Arial" w:cs="Arial"/>
        <w:color w:val="000000"/>
        <w:sz w:val="16"/>
      </w:rPr>
      <w:fldChar w:fldCharType="begin"/>
    </w:r>
    <w:r>
      <w:rPr>
        <w:rFonts w:ascii="Arial" w:eastAsia="Arial" w:hAnsi="Arial" w:cs="Arial"/>
        <w:color w:val="000000"/>
        <w:sz w:val="16"/>
      </w:rPr>
      <w:instrText>PAGE</w:instrText>
    </w:r>
    <w:r w:rsidR="00BA0DB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BA0DB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0DB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jc w:val="right"/>
      <w:rPr>
        <w:rFonts w:ascii="Arial" w:eastAsia="Arial" w:hAnsi="Arial" w:cs="Arial"/>
        <w:color w:val="000000"/>
        <w:sz w:val="16"/>
      </w:rPr>
    </w:pPr>
    <w:r>
      <w:rPr>
        <w:rFonts w:ascii="Arial" w:eastAsia="Arial" w:hAnsi="Arial" w:cs="Arial"/>
        <w:color w:val="000000"/>
        <w:sz w:val="16"/>
      </w:rPr>
      <w:t xml:space="preserve">Effective Date: 2/16/2017 - Docket #: ER16-1751-001 - Page </w:t>
    </w:r>
    <w:r w:rsidR="00BA0DB7">
      <w:rPr>
        <w:rFonts w:ascii="Arial" w:eastAsia="Arial" w:hAnsi="Arial" w:cs="Arial"/>
        <w:color w:val="000000"/>
        <w:sz w:val="16"/>
      </w:rPr>
      <w:fldChar w:fldCharType="begin"/>
    </w:r>
    <w:r>
      <w:rPr>
        <w:rFonts w:ascii="Arial" w:eastAsia="Arial" w:hAnsi="Arial" w:cs="Arial"/>
        <w:color w:val="000000"/>
        <w:sz w:val="16"/>
      </w:rPr>
      <w:instrText>PAGE</w:instrText>
    </w:r>
    <w:r w:rsidR="00BA0DB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DB7" w:rsidRDefault="00BA0DB7" w:rsidP="00BA0DB7">
      <w:r>
        <w:separator/>
      </w:r>
    </w:p>
  </w:footnote>
  <w:footnote w:type="continuationSeparator" w:id="0">
    <w:p w:rsidR="00BA0DB7" w:rsidRDefault="00BA0DB7" w:rsidP="00BA0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w:t>
    </w:r>
    <w:r>
      <w:rPr>
        <w:rFonts w:ascii="Arial" w:eastAsia="Arial" w:hAnsi="Arial" w:cs="Arial"/>
        <w:color w:val="000000"/>
        <w:sz w:val="16"/>
      </w:rPr>
      <w:t>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B7" w:rsidRDefault="007E1C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C58107E">
      <w:start w:val="1"/>
      <w:numFmt w:val="bullet"/>
      <w:pStyle w:val="Bulletpara"/>
      <w:lvlText w:val=""/>
      <w:lvlJc w:val="left"/>
      <w:pPr>
        <w:tabs>
          <w:tab w:val="num" w:pos="720"/>
        </w:tabs>
        <w:ind w:left="720" w:hanging="360"/>
      </w:pPr>
      <w:rPr>
        <w:rFonts w:ascii="Symbol" w:hAnsi="Symbol" w:hint="default"/>
      </w:rPr>
    </w:lvl>
    <w:lvl w:ilvl="1" w:tplc="1854C38A" w:tentative="1">
      <w:start w:val="1"/>
      <w:numFmt w:val="bullet"/>
      <w:lvlText w:val="o"/>
      <w:lvlJc w:val="left"/>
      <w:pPr>
        <w:tabs>
          <w:tab w:val="num" w:pos="1440"/>
        </w:tabs>
        <w:ind w:left="1440" w:hanging="360"/>
      </w:pPr>
      <w:rPr>
        <w:rFonts w:ascii="Courier New" w:hAnsi="Courier New" w:cs="Courier New" w:hint="default"/>
      </w:rPr>
    </w:lvl>
    <w:lvl w:ilvl="2" w:tplc="17403210" w:tentative="1">
      <w:start w:val="1"/>
      <w:numFmt w:val="bullet"/>
      <w:lvlText w:val=""/>
      <w:lvlJc w:val="left"/>
      <w:pPr>
        <w:tabs>
          <w:tab w:val="num" w:pos="2160"/>
        </w:tabs>
        <w:ind w:left="2160" w:hanging="360"/>
      </w:pPr>
      <w:rPr>
        <w:rFonts w:ascii="Wingdings" w:hAnsi="Wingdings" w:hint="default"/>
      </w:rPr>
    </w:lvl>
    <w:lvl w:ilvl="3" w:tplc="125CD4C6" w:tentative="1">
      <w:start w:val="1"/>
      <w:numFmt w:val="bullet"/>
      <w:lvlText w:val=""/>
      <w:lvlJc w:val="left"/>
      <w:pPr>
        <w:tabs>
          <w:tab w:val="num" w:pos="2880"/>
        </w:tabs>
        <w:ind w:left="2880" w:hanging="360"/>
      </w:pPr>
      <w:rPr>
        <w:rFonts w:ascii="Symbol" w:hAnsi="Symbol" w:hint="default"/>
      </w:rPr>
    </w:lvl>
    <w:lvl w:ilvl="4" w:tplc="409E7324" w:tentative="1">
      <w:start w:val="1"/>
      <w:numFmt w:val="bullet"/>
      <w:lvlText w:val="o"/>
      <w:lvlJc w:val="left"/>
      <w:pPr>
        <w:tabs>
          <w:tab w:val="num" w:pos="3600"/>
        </w:tabs>
        <w:ind w:left="3600" w:hanging="360"/>
      </w:pPr>
      <w:rPr>
        <w:rFonts w:ascii="Courier New" w:hAnsi="Courier New" w:cs="Courier New" w:hint="default"/>
      </w:rPr>
    </w:lvl>
    <w:lvl w:ilvl="5" w:tplc="9E0E25EE" w:tentative="1">
      <w:start w:val="1"/>
      <w:numFmt w:val="bullet"/>
      <w:lvlText w:val=""/>
      <w:lvlJc w:val="left"/>
      <w:pPr>
        <w:tabs>
          <w:tab w:val="num" w:pos="4320"/>
        </w:tabs>
        <w:ind w:left="4320" w:hanging="360"/>
      </w:pPr>
      <w:rPr>
        <w:rFonts w:ascii="Wingdings" w:hAnsi="Wingdings" w:hint="default"/>
      </w:rPr>
    </w:lvl>
    <w:lvl w:ilvl="6" w:tplc="853AA0AC" w:tentative="1">
      <w:start w:val="1"/>
      <w:numFmt w:val="bullet"/>
      <w:lvlText w:val=""/>
      <w:lvlJc w:val="left"/>
      <w:pPr>
        <w:tabs>
          <w:tab w:val="num" w:pos="5040"/>
        </w:tabs>
        <w:ind w:left="5040" w:hanging="360"/>
      </w:pPr>
      <w:rPr>
        <w:rFonts w:ascii="Symbol" w:hAnsi="Symbol" w:hint="default"/>
      </w:rPr>
    </w:lvl>
    <w:lvl w:ilvl="7" w:tplc="4CEA3870" w:tentative="1">
      <w:start w:val="1"/>
      <w:numFmt w:val="bullet"/>
      <w:lvlText w:val="o"/>
      <w:lvlJc w:val="left"/>
      <w:pPr>
        <w:tabs>
          <w:tab w:val="num" w:pos="5760"/>
        </w:tabs>
        <w:ind w:left="5760" w:hanging="360"/>
      </w:pPr>
      <w:rPr>
        <w:rFonts w:ascii="Courier New" w:hAnsi="Courier New" w:cs="Courier New" w:hint="default"/>
      </w:rPr>
    </w:lvl>
    <w:lvl w:ilvl="8" w:tplc="950694E2"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6E481D50">
      <w:start w:val="1"/>
      <w:numFmt w:val="none"/>
      <w:lvlText w:val="(b)"/>
      <w:lvlJc w:val="left"/>
      <w:pPr>
        <w:tabs>
          <w:tab w:val="num" w:pos="3240"/>
        </w:tabs>
        <w:ind w:left="3240" w:hanging="360"/>
      </w:pPr>
      <w:rPr>
        <w:rFonts w:hint="default"/>
      </w:rPr>
    </w:lvl>
    <w:lvl w:ilvl="1" w:tplc="D4C29DD0" w:tentative="1">
      <w:start w:val="1"/>
      <w:numFmt w:val="lowerLetter"/>
      <w:lvlText w:val="%2."/>
      <w:lvlJc w:val="left"/>
      <w:pPr>
        <w:tabs>
          <w:tab w:val="num" w:pos="1440"/>
        </w:tabs>
        <w:ind w:left="1440" w:hanging="360"/>
      </w:pPr>
    </w:lvl>
    <w:lvl w:ilvl="2" w:tplc="C8CCEAA4" w:tentative="1">
      <w:start w:val="1"/>
      <w:numFmt w:val="lowerRoman"/>
      <w:lvlText w:val="%3."/>
      <w:lvlJc w:val="right"/>
      <w:pPr>
        <w:tabs>
          <w:tab w:val="num" w:pos="2160"/>
        </w:tabs>
        <w:ind w:left="2160" w:hanging="180"/>
      </w:pPr>
    </w:lvl>
    <w:lvl w:ilvl="3" w:tplc="15CC98FE">
      <w:start w:val="1"/>
      <w:numFmt w:val="decimal"/>
      <w:lvlText w:val="%4."/>
      <w:lvlJc w:val="left"/>
      <w:pPr>
        <w:tabs>
          <w:tab w:val="num" w:pos="2880"/>
        </w:tabs>
        <w:ind w:left="2880" w:hanging="360"/>
      </w:pPr>
    </w:lvl>
    <w:lvl w:ilvl="4" w:tplc="E96A3208" w:tentative="1">
      <w:start w:val="1"/>
      <w:numFmt w:val="lowerLetter"/>
      <w:lvlText w:val="%5."/>
      <w:lvlJc w:val="left"/>
      <w:pPr>
        <w:tabs>
          <w:tab w:val="num" w:pos="3600"/>
        </w:tabs>
        <w:ind w:left="3600" w:hanging="360"/>
      </w:pPr>
    </w:lvl>
    <w:lvl w:ilvl="5" w:tplc="A6B89490" w:tentative="1">
      <w:start w:val="1"/>
      <w:numFmt w:val="lowerRoman"/>
      <w:lvlText w:val="%6."/>
      <w:lvlJc w:val="right"/>
      <w:pPr>
        <w:tabs>
          <w:tab w:val="num" w:pos="4320"/>
        </w:tabs>
        <w:ind w:left="4320" w:hanging="180"/>
      </w:pPr>
    </w:lvl>
    <w:lvl w:ilvl="6" w:tplc="CFAEDB82" w:tentative="1">
      <w:start w:val="1"/>
      <w:numFmt w:val="decimal"/>
      <w:lvlText w:val="%7."/>
      <w:lvlJc w:val="left"/>
      <w:pPr>
        <w:tabs>
          <w:tab w:val="num" w:pos="5040"/>
        </w:tabs>
        <w:ind w:left="5040" w:hanging="360"/>
      </w:pPr>
    </w:lvl>
    <w:lvl w:ilvl="7" w:tplc="8D8A569E" w:tentative="1">
      <w:start w:val="1"/>
      <w:numFmt w:val="lowerLetter"/>
      <w:lvlText w:val="%8."/>
      <w:lvlJc w:val="left"/>
      <w:pPr>
        <w:tabs>
          <w:tab w:val="num" w:pos="5760"/>
        </w:tabs>
        <w:ind w:left="5760" w:hanging="360"/>
      </w:pPr>
    </w:lvl>
    <w:lvl w:ilvl="8" w:tplc="4C804A3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9B826C88">
      <w:start w:val="1"/>
      <w:numFmt w:val="decimal"/>
      <w:lvlText w:val="%1."/>
      <w:lvlJc w:val="left"/>
      <w:pPr>
        <w:tabs>
          <w:tab w:val="num" w:pos="720"/>
        </w:tabs>
        <w:ind w:left="720" w:hanging="360"/>
      </w:pPr>
    </w:lvl>
    <w:lvl w:ilvl="1" w:tplc="1B004F78" w:tentative="1">
      <w:start w:val="1"/>
      <w:numFmt w:val="lowerLetter"/>
      <w:lvlText w:val="%2."/>
      <w:lvlJc w:val="left"/>
      <w:pPr>
        <w:tabs>
          <w:tab w:val="num" w:pos="1440"/>
        </w:tabs>
        <w:ind w:left="1440" w:hanging="360"/>
      </w:pPr>
    </w:lvl>
    <w:lvl w:ilvl="2" w:tplc="30023958" w:tentative="1">
      <w:start w:val="1"/>
      <w:numFmt w:val="lowerRoman"/>
      <w:lvlText w:val="%3."/>
      <w:lvlJc w:val="right"/>
      <w:pPr>
        <w:tabs>
          <w:tab w:val="num" w:pos="2160"/>
        </w:tabs>
        <w:ind w:left="2160" w:hanging="180"/>
      </w:pPr>
    </w:lvl>
    <w:lvl w:ilvl="3" w:tplc="58F402CA" w:tentative="1">
      <w:start w:val="1"/>
      <w:numFmt w:val="decimal"/>
      <w:lvlText w:val="%4."/>
      <w:lvlJc w:val="left"/>
      <w:pPr>
        <w:tabs>
          <w:tab w:val="num" w:pos="2880"/>
        </w:tabs>
        <w:ind w:left="2880" w:hanging="360"/>
      </w:pPr>
    </w:lvl>
    <w:lvl w:ilvl="4" w:tplc="6360AF86" w:tentative="1">
      <w:start w:val="1"/>
      <w:numFmt w:val="lowerLetter"/>
      <w:lvlText w:val="%5."/>
      <w:lvlJc w:val="left"/>
      <w:pPr>
        <w:tabs>
          <w:tab w:val="num" w:pos="3600"/>
        </w:tabs>
        <w:ind w:left="3600" w:hanging="360"/>
      </w:pPr>
    </w:lvl>
    <w:lvl w:ilvl="5" w:tplc="401A9ED0" w:tentative="1">
      <w:start w:val="1"/>
      <w:numFmt w:val="lowerRoman"/>
      <w:lvlText w:val="%6."/>
      <w:lvlJc w:val="right"/>
      <w:pPr>
        <w:tabs>
          <w:tab w:val="num" w:pos="4320"/>
        </w:tabs>
        <w:ind w:left="4320" w:hanging="180"/>
      </w:pPr>
    </w:lvl>
    <w:lvl w:ilvl="6" w:tplc="31FC0236" w:tentative="1">
      <w:start w:val="1"/>
      <w:numFmt w:val="decimal"/>
      <w:lvlText w:val="%7."/>
      <w:lvlJc w:val="left"/>
      <w:pPr>
        <w:tabs>
          <w:tab w:val="num" w:pos="5040"/>
        </w:tabs>
        <w:ind w:left="5040" w:hanging="360"/>
      </w:pPr>
    </w:lvl>
    <w:lvl w:ilvl="7" w:tplc="3DA0826A" w:tentative="1">
      <w:start w:val="1"/>
      <w:numFmt w:val="lowerLetter"/>
      <w:lvlText w:val="%8."/>
      <w:lvlJc w:val="left"/>
      <w:pPr>
        <w:tabs>
          <w:tab w:val="num" w:pos="5760"/>
        </w:tabs>
        <w:ind w:left="5760" w:hanging="360"/>
      </w:pPr>
    </w:lvl>
    <w:lvl w:ilvl="8" w:tplc="7E3A01E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788E438">
      <w:start w:val="1"/>
      <w:numFmt w:val="decimal"/>
      <w:lvlText w:val="(%1)"/>
      <w:lvlJc w:val="left"/>
      <w:pPr>
        <w:tabs>
          <w:tab w:val="num" w:pos="2016"/>
        </w:tabs>
        <w:ind w:left="2016" w:hanging="576"/>
      </w:pPr>
      <w:rPr>
        <w:rFonts w:hint="default"/>
      </w:rPr>
    </w:lvl>
    <w:lvl w:ilvl="1" w:tplc="CEAE6518" w:tentative="1">
      <w:start w:val="1"/>
      <w:numFmt w:val="lowerLetter"/>
      <w:lvlText w:val="%2."/>
      <w:lvlJc w:val="left"/>
      <w:pPr>
        <w:tabs>
          <w:tab w:val="num" w:pos="2880"/>
        </w:tabs>
        <w:ind w:left="2880" w:hanging="360"/>
      </w:pPr>
    </w:lvl>
    <w:lvl w:ilvl="2" w:tplc="B80E614E" w:tentative="1">
      <w:start w:val="1"/>
      <w:numFmt w:val="lowerRoman"/>
      <w:lvlText w:val="%3."/>
      <w:lvlJc w:val="right"/>
      <w:pPr>
        <w:tabs>
          <w:tab w:val="num" w:pos="3600"/>
        </w:tabs>
        <w:ind w:left="3600" w:hanging="180"/>
      </w:pPr>
    </w:lvl>
    <w:lvl w:ilvl="3" w:tplc="80BC0F46" w:tentative="1">
      <w:start w:val="1"/>
      <w:numFmt w:val="decimal"/>
      <w:lvlText w:val="%4."/>
      <w:lvlJc w:val="left"/>
      <w:pPr>
        <w:tabs>
          <w:tab w:val="num" w:pos="4320"/>
        </w:tabs>
        <w:ind w:left="4320" w:hanging="360"/>
      </w:pPr>
    </w:lvl>
    <w:lvl w:ilvl="4" w:tplc="31725210" w:tentative="1">
      <w:start w:val="1"/>
      <w:numFmt w:val="lowerLetter"/>
      <w:lvlText w:val="%5."/>
      <w:lvlJc w:val="left"/>
      <w:pPr>
        <w:tabs>
          <w:tab w:val="num" w:pos="5040"/>
        </w:tabs>
        <w:ind w:left="5040" w:hanging="360"/>
      </w:pPr>
    </w:lvl>
    <w:lvl w:ilvl="5" w:tplc="C41AA10E" w:tentative="1">
      <w:start w:val="1"/>
      <w:numFmt w:val="lowerRoman"/>
      <w:lvlText w:val="%6."/>
      <w:lvlJc w:val="right"/>
      <w:pPr>
        <w:tabs>
          <w:tab w:val="num" w:pos="5760"/>
        </w:tabs>
        <w:ind w:left="5760" w:hanging="180"/>
      </w:pPr>
    </w:lvl>
    <w:lvl w:ilvl="6" w:tplc="1D1AC9A2" w:tentative="1">
      <w:start w:val="1"/>
      <w:numFmt w:val="decimal"/>
      <w:lvlText w:val="%7."/>
      <w:lvlJc w:val="left"/>
      <w:pPr>
        <w:tabs>
          <w:tab w:val="num" w:pos="6480"/>
        </w:tabs>
        <w:ind w:left="6480" w:hanging="360"/>
      </w:pPr>
    </w:lvl>
    <w:lvl w:ilvl="7" w:tplc="E3609F8A" w:tentative="1">
      <w:start w:val="1"/>
      <w:numFmt w:val="lowerLetter"/>
      <w:lvlText w:val="%8."/>
      <w:lvlJc w:val="left"/>
      <w:pPr>
        <w:tabs>
          <w:tab w:val="num" w:pos="7200"/>
        </w:tabs>
        <w:ind w:left="7200" w:hanging="360"/>
      </w:pPr>
    </w:lvl>
    <w:lvl w:ilvl="8" w:tplc="21BA368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902EA0A">
      <w:start w:val="1"/>
      <w:numFmt w:val="lowerRoman"/>
      <w:lvlText w:val="(%1)"/>
      <w:lvlJc w:val="left"/>
      <w:pPr>
        <w:tabs>
          <w:tab w:val="num" w:pos="2448"/>
        </w:tabs>
        <w:ind w:left="2448" w:hanging="648"/>
      </w:pPr>
      <w:rPr>
        <w:rFonts w:hint="default"/>
        <w:b w:val="0"/>
        <w:i w:val="0"/>
        <w:u w:val="none"/>
      </w:rPr>
    </w:lvl>
    <w:lvl w:ilvl="1" w:tplc="39FE4D7E" w:tentative="1">
      <w:start w:val="1"/>
      <w:numFmt w:val="lowerLetter"/>
      <w:lvlText w:val="%2."/>
      <w:lvlJc w:val="left"/>
      <w:pPr>
        <w:tabs>
          <w:tab w:val="num" w:pos="1440"/>
        </w:tabs>
        <w:ind w:left="1440" w:hanging="360"/>
      </w:pPr>
    </w:lvl>
    <w:lvl w:ilvl="2" w:tplc="707496F2" w:tentative="1">
      <w:start w:val="1"/>
      <w:numFmt w:val="lowerRoman"/>
      <w:lvlText w:val="%3."/>
      <w:lvlJc w:val="right"/>
      <w:pPr>
        <w:tabs>
          <w:tab w:val="num" w:pos="2160"/>
        </w:tabs>
        <w:ind w:left="2160" w:hanging="180"/>
      </w:pPr>
    </w:lvl>
    <w:lvl w:ilvl="3" w:tplc="4F840E78" w:tentative="1">
      <w:start w:val="1"/>
      <w:numFmt w:val="decimal"/>
      <w:lvlText w:val="%4."/>
      <w:lvlJc w:val="left"/>
      <w:pPr>
        <w:tabs>
          <w:tab w:val="num" w:pos="2880"/>
        </w:tabs>
        <w:ind w:left="2880" w:hanging="360"/>
      </w:pPr>
    </w:lvl>
    <w:lvl w:ilvl="4" w:tplc="5A06F2AE" w:tentative="1">
      <w:start w:val="1"/>
      <w:numFmt w:val="lowerLetter"/>
      <w:lvlText w:val="%5."/>
      <w:lvlJc w:val="left"/>
      <w:pPr>
        <w:tabs>
          <w:tab w:val="num" w:pos="3600"/>
        </w:tabs>
        <w:ind w:left="3600" w:hanging="360"/>
      </w:pPr>
    </w:lvl>
    <w:lvl w:ilvl="5" w:tplc="91FA98EA" w:tentative="1">
      <w:start w:val="1"/>
      <w:numFmt w:val="lowerRoman"/>
      <w:lvlText w:val="%6."/>
      <w:lvlJc w:val="right"/>
      <w:pPr>
        <w:tabs>
          <w:tab w:val="num" w:pos="4320"/>
        </w:tabs>
        <w:ind w:left="4320" w:hanging="180"/>
      </w:pPr>
    </w:lvl>
    <w:lvl w:ilvl="6" w:tplc="B3B24818" w:tentative="1">
      <w:start w:val="1"/>
      <w:numFmt w:val="decimal"/>
      <w:lvlText w:val="%7."/>
      <w:lvlJc w:val="left"/>
      <w:pPr>
        <w:tabs>
          <w:tab w:val="num" w:pos="5040"/>
        </w:tabs>
        <w:ind w:left="5040" w:hanging="360"/>
      </w:pPr>
    </w:lvl>
    <w:lvl w:ilvl="7" w:tplc="3F0AC484" w:tentative="1">
      <w:start w:val="1"/>
      <w:numFmt w:val="lowerLetter"/>
      <w:lvlText w:val="%8."/>
      <w:lvlJc w:val="left"/>
      <w:pPr>
        <w:tabs>
          <w:tab w:val="num" w:pos="5760"/>
        </w:tabs>
        <w:ind w:left="5760" w:hanging="360"/>
      </w:pPr>
    </w:lvl>
    <w:lvl w:ilvl="8" w:tplc="9DA0701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842AB2B6">
      <w:start w:val="1"/>
      <w:numFmt w:val="decimal"/>
      <w:lvlText w:val="%1."/>
      <w:lvlJc w:val="left"/>
      <w:pPr>
        <w:tabs>
          <w:tab w:val="num" w:pos="2160"/>
        </w:tabs>
        <w:ind w:left="2160" w:hanging="360"/>
      </w:pPr>
    </w:lvl>
    <w:lvl w:ilvl="1" w:tplc="87B84184">
      <w:start w:val="1"/>
      <w:numFmt w:val="lowerLetter"/>
      <w:lvlText w:val="%2)"/>
      <w:lvlJc w:val="left"/>
      <w:pPr>
        <w:tabs>
          <w:tab w:val="num" w:pos="2880"/>
        </w:tabs>
        <w:ind w:left="2880" w:hanging="360"/>
      </w:pPr>
    </w:lvl>
    <w:lvl w:ilvl="2" w:tplc="C930DEE4" w:tentative="1">
      <w:start w:val="1"/>
      <w:numFmt w:val="lowerRoman"/>
      <w:lvlText w:val="%3."/>
      <w:lvlJc w:val="right"/>
      <w:pPr>
        <w:tabs>
          <w:tab w:val="num" w:pos="3600"/>
        </w:tabs>
        <w:ind w:left="3600" w:hanging="180"/>
      </w:pPr>
    </w:lvl>
    <w:lvl w:ilvl="3" w:tplc="8682B3AA" w:tentative="1">
      <w:start w:val="1"/>
      <w:numFmt w:val="decimal"/>
      <w:lvlText w:val="%4."/>
      <w:lvlJc w:val="left"/>
      <w:pPr>
        <w:tabs>
          <w:tab w:val="num" w:pos="4320"/>
        </w:tabs>
        <w:ind w:left="4320" w:hanging="360"/>
      </w:pPr>
    </w:lvl>
    <w:lvl w:ilvl="4" w:tplc="309E6704" w:tentative="1">
      <w:start w:val="1"/>
      <w:numFmt w:val="lowerLetter"/>
      <w:lvlText w:val="%5."/>
      <w:lvlJc w:val="left"/>
      <w:pPr>
        <w:tabs>
          <w:tab w:val="num" w:pos="5040"/>
        </w:tabs>
        <w:ind w:left="5040" w:hanging="360"/>
      </w:pPr>
    </w:lvl>
    <w:lvl w:ilvl="5" w:tplc="6D5273C2" w:tentative="1">
      <w:start w:val="1"/>
      <w:numFmt w:val="lowerRoman"/>
      <w:lvlText w:val="%6."/>
      <w:lvlJc w:val="right"/>
      <w:pPr>
        <w:tabs>
          <w:tab w:val="num" w:pos="5760"/>
        </w:tabs>
        <w:ind w:left="5760" w:hanging="180"/>
      </w:pPr>
    </w:lvl>
    <w:lvl w:ilvl="6" w:tplc="56A0B81A" w:tentative="1">
      <w:start w:val="1"/>
      <w:numFmt w:val="decimal"/>
      <w:lvlText w:val="%7."/>
      <w:lvlJc w:val="left"/>
      <w:pPr>
        <w:tabs>
          <w:tab w:val="num" w:pos="6480"/>
        </w:tabs>
        <w:ind w:left="6480" w:hanging="360"/>
      </w:pPr>
    </w:lvl>
    <w:lvl w:ilvl="7" w:tplc="5CFEFD7A" w:tentative="1">
      <w:start w:val="1"/>
      <w:numFmt w:val="lowerLetter"/>
      <w:lvlText w:val="%8."/>
      <w:lvlJc w:val="left"/>
      <w:pPr>
        <w:tabs>
          <w:tab w:val="num" w:pos="7200"/>
        </w:tabs>
        <w:ind w:left="7200" w:hanging="360"/>
      </w:pPr>
    </w:lvl>
    <w:lvl w:ilvl="8" w:tplc="DD860406"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9288E40">
      <w:start w:val="1"/>
      <w:numFmt w:val="decimal"/>
      <w:lvlText w:val="%1."/>
      <w:lvlJc w:val="left"/>
      <w:pPr>
        <w:tabs>
          <w:tab w:val="num" w:pos="1440"/>
        </w:tabs>
        <w:ind w:left="1440" w:hanging="360"/>
      </w:pPr>
    </w:lvl>
    <w:lvl w:ilvl="1" w:tplc="D6B0B8E6" w:tentative="1">
      <w:start w:val="1"/>
      <w:numFmt w:val="lowerLetter"/>
      <w:lvlText w:val="%2."/>
      <w:lvlJc w:val="left"/>
      <w:pPr>
        <w:tabs>
          <w:tab w:val="num" w:pos="2160"/>
        </w:tabs>
        <w:ind w:left="2160" w:hanging="360"/>
      </w:pPr>
    </w:lvl>
    <w:lvl w:ilvl="2" w:tplc="F6D0138A" w:tentative="1">
      <w:start w:val="1"/>
      <w:numFmt w:val="lowerRoman"/>
      <w:lvlText w:val="%3."/>
      <w:lvlJc w:val="right"/>
      <w:pPr>
        <w:tabs>
          <w:tab w:val="num" w:pos="2880"/>
        </w:tabs>
        <w:ind w:left="2880" w:hanging="180"/>
      </w:pPr>
    </w:lvl>
    <w:lvl w:ilvl="3" w:tplc="1108D9B6" w:tentative="1">
      <w:start w:val="1"/>
      <w:numFmt w:val="decimal"/>
      <w:lvlText w:val="%4."/>
      <w:lvlJc w:val="left"/>
      <w:pPr>
        <w:tabs>
          <w:tab w:val="num" w:pos="3600"/>
        </w:tabs>
        <w:ind w:left="3600" w:hanging="360"/>
      </w:pPr>
    </w:lvl>
    <w:lvl w:ilvl="4" w:tplc="A19676D0" w:tentative="1">
      <w:start w:val="1"/>
      <w:numFmt w:val="lowerLetter"/>
      <w:lvlText w:val="%5."/>
      <w:lvlJc w:val="left"/>
      <w:pPr>
        <w:tabs>
          <w:tab w:val="num" w:pos="4320"/>
        </w:tabs>
        <w:ind w:left="4320" w:hanging="360"/>
      </w:pPr>
    </w:lvl>
    <w:lvl w:ilvl="5" w:tplc="AB3A72BA" w:tentative="1">
      <w:start w:val="1"/>
      <w:numFmt w:val="lowerRoman"/>
      <w:lvlText w:val="%6."/>
      <w:lvlJc w:val="right"/>
      <w:pPr>
        <w:tabs>
          <w:tab w:val="num" w:pos="5040"/>
        </w:tabs>
        <w:ind w:left="5040" w:hanging="180"/>
      </w:pPr>
    </w:lvl>
    <w:lvl w:ilvl="6" w:tplc="A946631A" w:tentative="1">
      <w:start w:val="1"/>
      <w:numFmt w:val="decimal"/>
      <w:lvlText w:val="%7."/>
      <w:lvlJc w:val="left"/>
      <w:pPr>
        <w:tabs>
          <w:tab w:val="num" w:pos="5760"/>
        </w:tabs>
        <w:ind w:left="5760" w:hanging="360"/>
      </w:pPr>
    </w:lvl>
    <w:lvl w:ilvl="7" w:tplc="43488872" w:tentative="1">
      <w:start w:val="1"/>
      <w:numFmt w:val="lowerLetter"/>
      <w:lvlText w:val="%8."/>
      <w:lvlJc w:val="left"/>
      <w:pPr>
        <w:tabs>
          <w:tab w:val="num" w:pos="6480"/>
        </w:tabs>
        <w:ind w:left="6480" w:hanging="360"/>
      </w:pPr>
    </w:lvl>
    <w:lvl w:ilvl="8" w:tplc="09A2D9A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69EE4FF4">
      <w:start w:val="1"/>
      <w:numFmt w:val="decimal"/>
      <w:lvlText w:val="%1."/>
      <w:lvlJc w:val="left"/>
      <w:pPr>
        <w:tabs>
          <w:tab w:val="num" w:pos="1440"/>
        </w:tabs>
        <w:ind w:left="1440" w:hanging="360"/>
      </w:pPr>
    </w:lvl>
    <w:lvl w:ilvl="1" w:tplc="B84EFA1E" w:tentative="1">
      <w:start w:val="1"/>
      <w:numFmt w:val="lowerLetter"/>
      <w:lvlText w:val="%2."/>
      <w:lvlJc w:val="left"/>
      <w:pPr>
        <w:tabs>
          <w:tab w:val="num" w:pos="2160"/>
        </w:tabs>
        <w:ind w:left="2160" w:hanging="360"/>
      </w:pPr>
    </w:lvl>
    <w:lvl w:ilvl="2" w:tplc="03A63B42" w:tentative="1">
      <w:start w:val="1"/>
      <w:numFmt w:val="lowerRoman"/>
      <w:lvlText w:val="%3."/>
      <w:lvlJc w:val="right"/>
      <w:pPr>
        <w:tabs>
          <w:tab w:val="num" w:pos="2880"/>
        </w:tabs>
        <w:ind w:left="2880" w:hanging="180"/>
      </w:pPr>
    </w:lvl>
    <w:lvl w:ilvl="3" w:tplc="CFBA88A4" w:tentative="1">
      <w:start w:val="1"/>
      <w:numFmt w:val="decimal"/>
      <w:lvlText w:val="%4."/>
      <w:lvlJc w:val="left"/>
      <w:pPr>
        <w:tabs>
          <w:tab w:val="num" w:pos="3600"/>
        </w:tabs>
        <w:ind w:left="3600" w:hanging="360"/>
      </w:pPr>
    </w:lvl>
    <w:lvl w:ilvl="4" w:tplc="6860C54C" w:tentative="1">
      <w:start w:val="1"/>
      <w:numFmt w:val="lowerLetter"/>
      <w:lvlText w:val="%5."/>
      <w:lvlJc w:val="left"/>
      <w:pPr>
        <w:tabs>
          <w:tab w:val="num" w:pos="4320"/>
        </w:tabs>
        <w:ind w:left="4320" w:hanging="360"/>
      </w:pPr>
    </w:lvl>
    <w:lvl w:ilvl="5" w:tplc="83EA3C1C" w:tentative="1">
      <w:start w:val="1"/>
      <w:numFmt w:val="lowerRoman"/>
      <w:lvlText w:val="%6."/>
      <w:lvlJc w:val="right"/>
      <w:pPr>
        <w:tabs>
          <w:tab w:val="num" w:pos="5040"/>
        </w:tabs>
        <w:ind w:left="5040" w:hanging="180"/>
      </w:pPr>
    </w:lvl>
    <w:lvl w:ilvl="6" w:tplc="4DE0F8F4" w:tentative="1">
      <w:start w:val="1"/>
      <w:numFmt w:val="decimal"/>
      <w:lvlText w:val="%7."/>
      <w:lvlJc w:val="left"/>
      <w:pPr>
        <w:tabs>
          <w:tab w:val="num" w:pos="5760"/>
        </w:tabs>
        <w:ind w:left="5760" w:hanging="360"/>
      </w:pPr>
    </w:lvl>
    <w:lvl w:ilvl="7" w:tplc="3F120CE8" w:tentative="1">
      <w:start w:val="1"/>
      <w:numFmt w:val="lowerLetter"/>
      <w:lvlText w:val="%8."/>
      <w:lvlJc w:val="left"/>
      <w:pPr>
        <w:tabs>
          <w:tab w:val="num" w:pos="6480"/>
        </w:tabs>
        <w:ind w:left="6480" w:hanging="360"/>
      </w:pPr>
    </w:lvl>
    <w:lvl w:ilvl="8" w:tplc="72F82A7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28A55D8">
      <w:start w:val="1"/>
      <w:numFmt w:val="decimal"/>
      <w:lvlText w:val="%1."/>
      <w:lvlJc w:val="left"/>
      <w:pPr>
        <w:tabs>
          <w:tab w:val="num" w:pos="2880"/>
        </w:tabs>
        <w:ind w:left="2880" w:hanging="360"/>
      </w:pPr>
    </w:lvl>
    <w:lvl w:ilvl="1" w:tplc="C7FCB3B4" w:tentative="1">
      <w:start w:val="1"/>
      <w:numFmt w:val="lowerLetter"/>
      <w:lvlText w:val="%2."/>
      <w:lvlJc w:val="left"/>
      <w:pPr>
        <w:tabs>
          <w:tab w:val="num" w:pos="3600"/>
        </w:tabs>
        <w:ind w:left="3600" w:hanging="360"/>
      </w:pPr>
    </w:lvl>
    <w:lvl w:ilvl="2" w:tplc="8A1CCA34" w:tentative="1">
      <w:start w:val="1"/>
      <w:numFmt w:val="lowerRoman"/>
      <w:lvlText w:val="%3."/>
      <w:lvlJc w:val="right"/>
      <w:pPr>
        <w:tabs>
          <w:tab w:val="num" w:pos="4320"/>
        </w:tabs>
        <w:ind w:left="4320" w:hanging="180"/>
      </w:pPr>
    </w:lvl>
    <w:lvl w:ilvl="3" w:tplc="B72204F0" w:tentative="1">
      <w:start w:val="1"/>
      <w:numFmt w:val="decimal"/>
      <w:lvlText w:val="%4."/>
      <w:lvlJc w:val="left"/>
      <w:pPr>
        <w:tabs>
          <w:tab w:val="num" w:pos="5040"/>
        </w:tabs>
        <w:ind w:left="5040" w:hanging="360"/>
      </w:pPr>
    </w:lvl>
    <w:lvl w:ilvl="4" w:tplc="B8B2062C" w:tentative="1">
      <w:start w:val="1"/>
      <w:numFmt w:val="lowerLetter"/>
      <w:lvlText w:val="%5."/>
      <w:lvlJc w:val="left"/>
      <w:pPr>
        <w:tabs>
          <w:tab w:val="num" w:pos="5760"/>
        </w:tabs>
        <w:ind w:left="5760" w:hanging="360"/>
      </w:pPr>
    </w:lvl>
    <w:lvl w:ilvl="5" w:tplc="28EEA306" w:tentative="1">
      <w:start w:val="1"/>
      <w:numFmt w:val="lowerRoman"/>
      <w:lvlText w:val="%6."/>
      <w:lvlJc w:val="right"/>
      <w:pPr>
        <w:tabs>
          <w:tab w:val="num" w:pos="6480"/>
        </w:tabs>
        <w:ind w:left="6480" w:hanging="180"/>
      </w:pPr>
    </w:lvl>
    <w:lvl w:ilvl="6" w:tplc="B01237F4" w:tentative="1">
      <w:start w:val="1"/>
      <w:numFmt w:val="decimal"/>
      <w:lvlText w:val="%7."/>
      <w:lvlJc w:val="left"/>
      <w:pPr>
        <w:tabs>
          <w:tab w:val="num" w:pos="7200"/>
        </w:tabs>
        <w:ind w:left="7200" w:hanging="360"/>
      </w:pPr>
    </w:lvl>
    <w:lvl w:ilvl="7" w:tplc="DA78B360" w:tentative="1">
      <w:start w:val="1"/>
      <w:numFmt w:val="lowerLetter"/>
      <w:lvlText w:val="%8."/>
      <w:lvlJc w:val="left"/>
      <w:pPr>
        <w:tabs>
          <w:tab w:val="num" w:pos="7920"/>
        </w:tabs>
        <w:ind w:left="7920" w:hanging="360"/>
      </w:pPr>
    </w:lvl>
    <w:lvl w:ilvl="8" w:tplc="03566FBE"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567E8E98">
      <w:start w:val="1"/>
      <w:numFmt w:val="lowerLetter"/>
      <w:lvlText w:val="%1."/>
      <w:lvlJc w:val="left"/>
      <w:pPr>
        <w:tabs>
          <w:tab w:val="num" w:pos="2160"/>
        </w:tabs>
        <w:ind w:left="2160" w:hanging="360"/>
      </w:pPr>
    </w:lvl>
    <w:lvl w:ilvl="1" w:tplc="D9842432" w:tentative="1">
      <w:start w:val="1"/>
      <w:numFmt w:val="lowerLetter"/>
      <w:lvlText w:val="%2."/>
      <w:lvlJc w:val="left"/>
      <w:pPr>
        <w:tabs>
          <w:tab w:val="num" w:pos="2880"/>
        </w:tabs>
        <w:ind w:left="2880" w:hanging="360"/>
      </w:pPr>
    </w:lvl>
    <w:lvl w:ilvl="2" w:tplc="1C3CAF70" w:tentative="1">
      <w:start w:val="1"/>
      <w:numFmt w:val="lowerRoman"/>
      <w:lvlText w:val="%3."/>
      <w:lvlJc w:val="right"/>
      <w:pPr>
        <w:tabs>
          <w:tab w:val="num" w:pos="3600"/>
        </w:tabs>
        <w:ind w:left="3600" w:hanging="180"/>
      </w:pPr>
    </w:lvl>
    <w:lvl w:ilvl="3" w:tplc="D124F7BE" w:tentative="1">
      <w:start w:val="1"/>
      <w:numFmt w:val="decimal"/>
      <w:lvlText w:val="%4."/>
      <w:lvlJc w:val="left"/>
      <w:pPr>
        <w:tabs>
          <w:tab w:val="num" w:pos="4320"/>
        </w:tabs>
        <w:ind w:left="4320" w:hanging="360"/>
      </w:pPr>
    </w:lvl>
    <w:lvl w:ilvl="4" w:tplc="F0EAFCC8" w:tentative="1">
      <w:start w:val="1"/>
      <w:numFmt w:val="lowerLetter"/>
      <w:lvlText w:val="%5."/>
      <w:lvlJc w:val="left"/>
      <w:pPr>
        <w:tabs>
          <w:tab w:val="num" w:pos="5040"/>
        </w:tabs>
        <w:ind w:left="5040" w:hanging="360"/>
      </w:pPr>
    </w:lvl>
    <w:lvl w:ilvl="5" w:tplc="2E84C5A2" w:tentative="1">
      <w:start w:val="1"/>
      <w:numFmt w:val="lowerRoman"/>
      <w:lvlText w:val="%6."/>
      <w:lvlJc w:val="right"/>
      <w:pPr>
        <w:tabs>
          <w:tab w:val="num" w:pos="5760"/>
        </w:tabs>
        <w:ind w:left="5760" w:hanging="180"/>
      </w:pPr>
    </w:lvl>
    <w:lvl w:ilvl="6" w:tplc="8C262672" w:tentative="1">
      <w:start w:val="1"/>
      <w:numFmt w:val="decimal"/>
      <w:lvlText w:val="%7."/>
      <w:lvlJc w:val="left"/>
      <w:pPr>
        <w:tabs>
          <w:tab w:val="num" w:pos="6480"/>
        </w:tabs>
        <w:ind w:left="6480" w:hanging="360"/>
      </w:pPr>
    </w:lvl>
    <w:lvl w:ilvl="7" w:tplc="67AC9796" w:tentative="1">
      <w:start w:val="1"/>
      <w:numFmt w:val="lowerLetter"/>
      <w:lvlText w:val="%8."/>
      <w:lvlJc w:val="left"/>
      <w:pPr>
        <w:tabs>
          <w:tab w:val="num" w:pos="7200"/>
        </w:tabs>
        <w:ind w:left="7200" w:hanging="360"/>
      </w:pPr>
    </w:lvl>
    <w:lvl w:ilvl="8" w:tplc="DC3475D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2E9C98B8">
      <w:start w:val="3"/>
      <w:numFmt w:val="decimal"/>
      <w:lvlText w:val="(%1)"/>
      <w:lvlJc w:val="left"/>
      <w:pPr>
        <w:tabs>
          <w:tab w:val="num" w:pos="2520"/>
        </w:tabs>
        <w:ind w:left="2520" w:hanging="360"/>
      </w:pPr>
      <w:rPr>
        <w:rFonts w:hint="default"/>
      </w:rPr>
    </w:lvl>
    <w:lvl w:ilvl="1" w:tplc="4EDCB0DE" w:tentative="1">
      <w:start w:val="1"/>
      <w:numFmt w:val="lowerLetter"/>
      <w:lvlText w:val="%2."/>
      <w:lvlJc w:val="left"/>
      <w:pPr>
        <w:tabs>
          <w:tab w:val="num" w:pos="3240"/>
        </w:tabs>
        <w:ind w:left="3240" w:hanging="360"/>
      </w:pPr>
    </w:lvl>
    <w:lvl w:ilvl="2" w:tplc="DE064348" w:tentative="1">
      <w:start w:val="1"/>
      <w:numFmt w:val="lowerRoman"/>
      <w:lvlText w:val="%3."/>
      <w:lvlJc w:val="right"/>
      <w:pPr>
        <w:tabs>
          <w:tab w:val="num" w:pos="3960"/>
        </w:tabs>
        <w:ind w:left="3960" w:hanging="180"/>
      </w:pPr>
    </w:lvl>
    <w:lvl w:ilvl="3" w:tplc="891EEBB2" w:tentative="1">
      <w:start w:val="1"/>
      <w:numFmt w:val="decimal"/>
      <w:lvlText w:val="%4."/>
      <w:lvlJc w:val="left"/>
      <w:pPr>
        <w:tabs>
          <w:tab w:val="num" w:pos="4680"/>
        </w:tabs>
        <w:ind w:left="4680" w:hanging="360"/>
      </w:pPr>
    </w:lvl>
    <w:lvl w:ilvl="4" w:tplc="A1E43758" w:tentative="1">
      <w:start w:val="1"/>
      <w:numFmt w:val="lowerLetter"/>
      <w:lvlText w:val="%5."/>
      <w:lvlJc w:val="left"/>
      <w:pPr>
        <w:tabs>
          <w:tab w:val="num" w:pos="5400"/>
        </w:tabs>
        <w:ind w:left="5400" w:hanging="360"/>
      </w:pPr>
    </w:lvl>
    <w:lvl w:ilvl="5" w:tplc="BD88A1AA" w:tentative="1">
      <w:start w:val="1"/>
      <w:numFmt w:val="lowerRoman"/>
      <w:lvlText w:val="%6."/>
      <w:lvlJc w:val="right"/>
      <w:pPr>
        <w:tabs>
          <w:tab w:val="num" w:pos="6120"/>
        </w:tabs>
        <w:ind w:left="6120" w:hanging="180"/>
      </w:pPr>
    </w:lvl>
    <w:lvl w:ilvl="6" w:tplc="5E8C7EA6" w:tentative="1">
      <w:start w:val="1"/>
      <w:numFmt w:val="decimal"/>
      <w:lvlText w:val="%7."/>
      <w:lvlJc w:val="left"/>
      <w:pPr>
        <w:tabs>
          <w:tab w:val="num" w:pos="6840"/>
        </w:tabs>
        <w:ind w:left="6840" w:hanging="360"/>
      </w:pPr>
    </w:lvl>
    <w:lvl w:ilvl="7" w:tplc="03E60B18" w:tentative="1">
      <w:start w:val="1"/>
      <w:numFmt w:val="lowerLetter"/>
      <w:lvlText w:val="%8."/>
      <w:lvlJc w:val="left"/>
      <w:pPr>
        <w:tabs>
          <w:tab w:val="num" w:pos="7560"/>
        </w:tabs>
        <w:ind w:left="7560" w:hanging="360"/>
      </w:pPr>
    </w:lvl>
    <w:lvl w:ilvl="8" w:tplc="1A4E70D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96AE448">
      <w:start w:val="1"/>
      <w:numFmt w:val="bullet"/>
      <w:lvlText w:val=""/>
      <w:lvlJc w:val="left"/>
      <w:pPr>
        <w:tabs>
          <w:tab w:val="num" w:pos="5760"/>
        </w:tabs>
        <w:ind w:left="5760" w:hanging="360"/>
      </w:pPr>
      <w:rPr>
        <w:rFonts w:ascii="Symbol" w:hAnsi="Symbol" w:hint="default"/>
        <w:color w:val="auto"/>
        <w:u w:val="none"/>
      </w:rPr>
    </w:lvl>
    <w:lvl w:ilvl="1" w:tplc="30905CC8" w:tentative="1">
      <w:start w:val="1"/>
      <w:numFmt w:val="bullet"/>
      <w:lvlText w:val="o"/>
      <w:lvlJc w:val="left"/>
      <w:pPr>
        <w:tabs>
          <w:tab w:val="num" w:pos="3600"/>
        </w:tabs>
        <w:ind w:left="3600" w:hanging="360"/>
      </w:pPr>
      <w:rPr>
        <w:rFonts w:ascii="Courier New" w:hAnsi="Courier New" w:hint="default"/>
      </w:rPr>
    </w:lvl>
    <w:lvl w:ilvl="2" w:tplc="C740883E" w:tentative="1">
      <w:start w:val="1"/>
      <w:numFmt w:val="bullet"/>
      <w:lvlText w:val=""/>
      <w:lvlJc w:val="left"/>
      <w:pPr>
        <w:tabs>
          <w:tab w:val="num" w:pos="4320"/>
        </w:tabs>
        <w:ind w:left="4320" w:hanging="360"/>
      </w:pPr>
      <w:rPr>
        <w:rFonts w:ascii="Wingdings" w:hAnsi="Wingdings" w:hint="default"/>
      </w:rPr>
    </w:lvl>
    <w:lvl w:ilvl="3" w:tplc="1C98752E">
      <w:start w:val="1"/>
      <w:numFmt w:val="bullet"/>
      <w:lvlText w:val=""/>
      <w:lvlJc w:val="left"/>
      <w:pPr>
        <w:tabs>
          <w:tab w:val="num" w:pos="5040"/>
        </w:tabs>
        <w:ind w:left="5040" w:hanging="360"/>
      </w:pPr>
      <w:rPr>
        <w:rFonts w:ascii="Symbol" w:hAnsi="Symbol" w:hint="default"/>
      </w:rPr>
    </w:lvl>
    <w:lvl w:ilvl="4" w:tplc="BF221D24" w:tentative="1">
      <w:start w:val="1"/>
      <w:numFmt w:val="bullet"/>
      <w:lvlText w:val="o"/>
      <w:lvlJc w:val="left"/>
      <w:pPr>
        <w:tabs>
          <w:tab w:val="num" w:pos="5760"/>
        </w:tabs>
        <w:ind w:left="5760" w:hanging="360"/>
      </w:pPr>
      <w:rPr>
        <w:rFonts w:ascii="Courier New" w:hAnsi="Courier New" w:hint="default"/>
      </w:rPr>
    </w:lvl>
    <w:lvl w:ilvl="5" w:tplc="517A495A" w:tentative="1">
      <w:start w:val="1"/>
      <w:numFmt w:val="bullet"/>
      <w:lvlText w:val=""/>
      <w:lvlJc w:val="left"/>
      <w:pPr>
        <w:tabs>
          <w:tab w:val="num" w:pos="6480"/>
        </w:tabs>
        <w:ind w:left="6480" w:hanging="360"/>
      </w:pPr>
      <w:rPr>
        <w:rFonts w:ascii="Wingdings" w:hAnsi="Wingdings" w:hint="default"/>
      </w:rPr>
    </w:lvl>
    <w:lvl w:ilvl="6" w:tplc="624C5B3A" w:tentative="1">
      <w:start w:val="1"/>
      <w:numFmt w:val="bullet"/>
      <w:lvlText w:val=""/>
      <w:lvlJc w:val="left"/>
      <w:pPr>
        <w:tabs>
          <w:tab w:val="num" w:pos="7200"/>
        </w:tabs>
        <w:ind w:left="7200" w:hanging="360"/>
      </w:pPr>
      <w:rPr>
        <w:rFonts w:ascii="Symbol" w:hAnsi="Symbol" w:hint="default"/>
      </w:rPr>
    </w:lvl>
    <w:lvl w:ilvl="7" w:tplc="177EC1CE" w:tentative="1">
      <w:start w:val="1"/>
      <w:numFmt w:val="bullet"/>
      <w:lvlText w:val="o"/>
      <w:lvlJc w:val="left"/>
      <w:pPr>
        <w:tabs>
          <w:tab w:val="num" w:pos="7920"/>
        </w:tabs>
        <w:ind w:left="7920" w:hanging="360"/>
      </w:pPr>
      <w:rPr>
        <w:rFonts w:ascii="Courier New" w:hAnsi="Courier New" w:hint="default"/>
      </w:rPr>
    </w:lvl>
    <w:lvl w:ilvl="8" w:tplc="98E65DC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DE24CDC">
      <w:start w:val="1"/>
      <w:numFmt w:val="decimal"/>
      <w:lvlText w:val="%1."/>
      <w:lvlJc w:val="left"/>
      <w:pPr>
        <w:tabs>
          <w:tab w:val="num" w:pos="3600"/>
        </w:tabs>
        <w:ind w:left="3600" w:hanging="360"/>
      </w:pPr>
    </w:lvl>
    <w:lvl w:ilvl="1" w:tplc="E74A815C" w:tentative="1">
      <w:start w:val="1"/>
      <w:numFmt w:val="lowerLetter"/>
      <w:lvlText w:val="%2."/>
      <w:lvlJc w:val="left"/>
      <w:pPr>
        <w:tabs>
          <w:tab w:val="num" w:pos="4320"/>
        </w:tabs>
        <w:ind w:left="4320" w:hanging="360"/>
      </w:pPr>
    </w:lvl>
    <w:lvl w:ilvl="2" w:tplc="338010AC" w:tentative="1">
      <w:start w:val="1"/>
      <w:numFmt w:val="lowerRoman"/>
      <w:lvlText w:val="%3."/>
      <w:lvlJc w:val="right"/>
      <w:pPr>
        <w:tabs>
          <w:tab w:val="num" w:pos="5040"/>
        </w:tabs>
        <w:ind w:left="5040" w:hanging="180"/>
      </w:pPr>
    </w:lvl>
    <w:lvl w:ilvl="3" w:tplc="07E41694" w:tentative="1">
      <w:start w:val="1"/>
      <w:numFmt w:val="decimal"/>
      <w:lvlText w:val="%4."/>
      <w:lvlJc w:val="left"/>
      <w:pPr>
        <w:tabs>
          <w:tab w:val="num" w:pos="5760"/>
        </w:tabs>
        <w:ind w:left="5760" w:hanging="360"/>
      </w:pPr>
    </w:lvl>
    <w:lvl w:ilvl="4" w:tplc="A4D61722" w:tentative="1">
      <w:start w:val="1"/>
      <w:numFmt w:val="lowerLetter"/>
      <w:lvlText w:val="%5."/>
      <w:lvlJc w:val="left"/>
      <w:pPr>
        <w:tabs>
          <w:tab w:val="num" w:pos="6480"/>
        </w:tabs>
        <w:ind w:left="6480" w:hanging="360"/>
      </w:pPr>
    </w:lvl>
    <w:lvl w:ilvl="5" w:tplc="F9C831DC" w:tentative="1">
      <w:start w:val="1"/>
      <w:numFmt w:val="lowerRoman"/>
      <w:lvlText w:val="%6."/>
      <w:lvlJc w:val="right"/>
      <w:pPr>
        <w:tabs>
          <w:tab w:val="num" w:pos="7200"/>
        </w:tabs>
        <w:ind w:left="7200" w:hanging="180"/>
      </w:pPr>
    </w:lvl>
    <w:lvl w:ilvl="6" w:tplc="20060B0A" w:tentative="1">
      <w:start w:val="1"/>
      <w:numFmt w:val="decimal"/>
      <w:lvlText w:val="%7."/>
      <w:lvlJc w:val="left"/>
      <w:pPr>
        <w:tabs>
          <w:tab w:val="num" w:pos="7920"/>
        </w:tabs>
        <w:ind w:left="7920" w:hanging="360"/>
      </w:pPr>
    </w:lvl>
    <w:lvl w:ilvl="7" w:tplc="038C57C6" w:tentative="1">
      <w:start w:val="1"/>
      <w:numFmt w:val="lowerLetter"/>
      <w:lvlText w:val="%8."/>
      <w:lvlJc w:val="left"/>
      <w:pPr>
        <w:tabs>
          <w:tab w:val="num" w:pos="8640"/>
        </w:tabs>
        <w:ind w:left="8640" w:hanging="360"/>
      </w:pPr>
    </w:lvl>
    <w:lvl w:ilvl="8" w:tplc="B0261EB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BA0DB7"/>
    <w:rsid w:val="007E1CF6"/>
    <w:rsid w:val="00BA0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537589-2B25-4614-B243-F49D819E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3339</Words>
  <Characters>19037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