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861" w:rsidRDefault="00BD46D3">
      <w:pPr>
        <w:pStyle w:val="Heading2"/>
      </w:pPr>
      <w:bookmarkStart w:id="0" w:name="_DV_M127"/>
      <w:bookmarkStart w:id="1" w:name="_Toc261444464"/>
      <w:bookmarkEnd w:id="0"/>
      <w:r>
        <w:t>3.4</w:t>
      </w:r>
      <w:r>
        <w:tab/>
        <w:t>Transmission Customer Responsibilities</w:t>
      </w:r>
      <w:bookmarkEnd w:id="1"/>
    </w:p>
    <w:p w:rsidR="009A1861" w:rsidRDefault="00BD46D3">
      <w:pPr>
        <w:pStyle w:val="Heading3"/>
      </w:pPr>
      <w:bookmarkStart w:id="2" w:name="_DV_M128"/>
      <w:bookmarkStart w:id="3" w:name="_Toc261444465"/>
      <w:bookmarkEnd w:id="2"/>
      <w:r>
        <w:t>3.4.1</w:t>
      </w:r>
      <w:r>
        <w:tab/>
        <w:t>Conditions Required of Transmission Customers:</w:t>
      </w:r>
      <w:bookmarkEnd w:id="3"/>
      <w:r>
        <w:t xml:space="preserve">  </w:t>
      </w:r>
    </w:p>
    <w:p w:rsidR="009A1861" w:rsidRDefault="00BD46D3">
      <w:pPr>
        <w:pStyle w:val="Bodypara"/>
      </w:pPr>
      <w:r>
        <w:t>Point</w:t>
      </w:r>
      <w:r>
        <w:noBreakHyphen/>
        <w:t>To</w:t>
      </w:r>
      <w:r>
        <w:noBreakHyphen/>
        <w:t>Point Transmission Service shall be provided by the ISO only if the following conditions are satisfied by the Transmission Customer:</w:t>
      </w:r>
    </w:p>
    <w:p w:rsidR="009A1861" w:rsidRDefault="00BD46D3">
      <w:pPr>
        <w:pStyle w:val="alphapara"/>
      </w:pPr>
      <w:bookmarkStart w:id="4" w:name="_DV_M129"/>
      <w:bookmarkEnd w:id="4"/>
      <w:r>
        <w:t>a.</w:t>
      </w:r>
      <w:r>
        <w:tab/>
        <w:t xml:space="preserve">The </w:t>
      </w:r>
      <w:r>
        <w:t>Transmission Customer has pending a Completed Application for service;</w:t>
      </w:r>
    </w:p>
    <w:p w:rsidR="009A1861" w:rsidRDefault="00BD46D3">
      <w:pPr>
        <w:pStyle w:val="alphapara"/>
      </w:pPr>
      <w:bookmarkStart w:id="5" w:name="_DV_M130"/>
      <w:bookmarkEnd w:id="5"/>
      <w:r>
        <w:t>b.</w:t>
      </w:r>
      <w:r>
        <w:tab/>
        <w:t>The Transmission Customer meets the creditworthiness criteria set forth in Attachment W;</w:t>
      </w:r>
    </w:p>
    <w:p w:rsidR="009A1861" w:rsidRDefault="00BD46D3">
      <w:pPr>
        <w:pStyle w:val="alphapara"/>
      </w:pPr>
      <w:bookmarkStart w:id="6" w:name="_DV_M131"/>
      <w:bookmarkEnd w:id="6"/>
      <w:r>
        <w:t>c.</w:t>
      </w:r>
      <w:r>
        <w:tab/>
        <w:t>The Transmission Customer provides an unconditional and irrevocable letter of credit as se</w:t>
      </w:r>
      <w:r>
        <w:t>curity to meet its responsibilities and obligations under the Tariff in an amount calculated by the ISO;</w:t>
      </w:r>
    </w:p>
    <w:p w:rsidR="009A1861" w:rsidRDefault="00BD46D3">
      <w:pPr>
        <w:pStyle w:val="alphapara"/>
      </w:pPr>
      <w:r>
        <w:t>d.</w:t>
      </w:r>
      <w:r>
        <w:tab/>
        <w:t>The Transmission Customer has arrangements in place for any other Transmission Service necessary to effect the delivery from the generating source t</w:t>
      </w:r>
      <w:r>
        <w:t>o the ISO prior to the time when service under Part 3 of the Tariff commences;</w:t>
      </w:r>
    </w:p>
    <w:p w:rsidR="009A1861" w:rsidRDefault="00BD46D3">
      <w:pPr>
        <w:pStyle w:val="alphapara"/>
      </w:pPr>
      <w:r>
        <w:t>e.</w:t>
      </w:r>
      <w:r>
        <w:tab/>
        <w:t>The Transmission Customer provides the information required by the ISO’s planning process established in Attachment Y;</w:t>
      </w:r>
    </w:p>
    <w:p w:rsidR="009A1861" w:rsidRDefault="00BD46D3">
      <w:pPr>
        <w:pStyle w:val="alphapara"/>
      </w:pPr>
      <w:r>
        <w:t>f.</w:t>
      </w:r>
      <w:r>
        <w:tab/>
        <w:t>The Transmission Customer agrees to pay for any faci</w:t>
      </w:r>
      <w:r>
        <w:t xml:space="preserve">lities constructed and chargeable to such Transmission Customer under Part 3 of the Tariff, whether or not the Transmission Customer takes service; </w:t>
      </w:r>
    </w:p>
    <w:p w:rsidR="009A1861" w:rsidRDefault="00BD46D3">
      <w:pPr>
        <w:pStyle w:val="alphapara"/>
      </w:pPr>
      <w:r>
        <w:t>g.</w:t>
      </w:r>
      <w:r>
        <w:tab/>
        <w:t>The Transmission Customer has executed a Point</w:t>
      </w:r>
      <w:r>
        <w:noBreakHyphen/>
        <w:t>To</w:t>
      </w:r>
      <w:r>
        <w:noBreakHyphen/>
        <w:t>Point Service Agreement or has agreed to receive servi</w:t>
      </w:r>
      <w:r>
        <w:t xml:space="preserve">ce pursuant to Section 3.3.3;  </w:t>
      </w:r>
    </w:p>
    <w:p w:rsidR="009A1861" w:rsidRDefault="00BD46D3">
      <w:pPr>
        <w:pStyle w:val="alphapara"/>
      </w:pPr>
      <w:r>
        <w:t>h.</w:t>
      </w:r>
      <w:r>
        <w:tab/>
        <w:t>The Transmission Customer has satisfied the communication requirements and the metering requirements established by the ISO; and</w:t>
      </w:r>
    </w:p>
    <w:p w:rsidR="009A1861" w:rsidRDefault="00BD46D3">
      <w:pPr>
        <w:pStyle w:val="alphapara"/>
      </w:pPr>
      <w:r>
        <w:t>i.</w:t>
      </w:r>
      <w:r>
        <w:tab/>
        <w:t>If the Point</w:t>
      </w:r>
      <w:r>
        <w:noBreakHyphen/>
        <w:t>to</w:t>
      </w:r>
      <w:r>
        <w:noBreakHyphen/>
        <w:t xml:space="preserve">Point Transmission Service involves the use of LIPA's </w:t>
      </w:r>
      <w:r>
        <w:lastRenderedPageBreak/>
        <w:t>transmission facili</w:t>
      </w:r>
      <w:r>
        <w:t>ties, approval of such transactions has been granted pursuant to Section 2.5.7.</w:t>
      </w:r>
    </w:p>
    <w:p w:rsidR="009A1861" w:rsidRDefault="00BD46D3">
      <w:pPr>
        <w:pStyle w:val="Heading3"/>
      </w:pPr>
      <w:bookmarkStart w:id="7" w:name="_Toc261444466"/>
      <w:r>
        <w:t>3.4.2</w:t>
      </w:r>
      <w:r>
        <w:tab/>
        <w:t>Transmission Customer Responsibility for Third</w:t>
      </w:r>
      <w:r>
        <w:noBreakHyphen/>
        <w:t>Party Arrangements:</w:t>
      </w:r>
      <w:bookmarkEnd w:id="7"/>
      <w:r>
        <w:t xml:space="preserve">  </w:t>
      </w:r>
    </w:p>
    <w:p w:rsidR="009A1861" w:rsidRDefault="00BD46D3">
      <w:pPr>
        <w:pStyle w:val="Bodypara"/>
      </w:pPr>
      <w:r>
        <w:t>Any scheduling arrangements that may be required by other Control Areas shall be the responsibility o</w:t>
      </w:r>
      <w:r>
        <w:t xml:space="preserve">f the Transmission Customer requesting service.  The Transmission Customer shall provide, unless waived by the ISO, notification to the ISO identifying such systems and authorizing them to schedule Energy to be transmitted by the ISO pursuant to Section 3 </w:t>
      </w:r>
      <w:r>
        <w:t xml:space="preserve">of this Tariff on behalf of the Transmission Customer at the Point of Delivery or the Point of Receipt.  The ISO will undertake reasonable efforts to assist the Transmission Customer in making such arrangements, including without limitation, providing any </w:t>
      </w:r>
      <w:r>
        <w:t xml:space="preserve">information or data required by such other Control Area consistent with Good Utility Practice. </w:t>
      </w:r>
    </w:p>
    <w:p w:rsidR="009A1861" w:rsidRDefault="009A1861">
      <w:pPr>
        <w:pStyle w:val="Heading2"/>
      </w:pPr>
    </w:p>
    <w:sectPr w:rsidR="009A1861" w:rsidSect="009A186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861" w:rsidRDefault="009A1861" w:rsidP="009A1861">
      <w:r>
        <w:separator/>
      </w:r>
    </w:p>
  </w:endnote>
  <w:endnote w:type="continuationSeparator" w:id="0">
    <w:p w:rsidR="009A1861" w:rsidRDefault="009A1861" w:rsidP="009A18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861" w:rsidRDefault="00BD46D3">
    <w:pPr>
      <w:jc w:val="right"/>
      <w:rPr>
        <w:rFonts w:ascii="Arial" w:eastAsia="Arial" w:hAnsi="Arial" w:cs="Arial"/>
        <w:color w:val="000000"/>
        <w:sz w:val="16"/>
      </w:rPr>
    </w:pPr>
    <w:r>
      <w:rPr>
        <w:rFonts w:ascii="Arial" w:eastAsia="Arial" w:hAnsi="Arial" w:cs="Arial"/>
        <w:color w:val="000000"/>
        <w:sz w:val="16"/>
      </w:rPr>
      <w:t>Effective Date: 3/12/2011 - Docket #:</w:t>
    </w:r>
    <w:r>
      <w:rPr>
        <w:rFonts w:ascii="Arial" w:eastAsia="Arial" w:hAnsi="Arial" w:cs="Arial"/>
        <w:color w:val="000000"/>
        <w:sz w:val="16"/>
      </w:rPr>
      <w:t xml:space="preserve"> ER11-2459-000 - Page </w:t>
    </w:r>
    <w:r w:rsidR="009A1861">
      <w:rPr>
        <w:rFonts w:ascii="Arial" w:eastAsia="Arial" w:hAnsi="Arial" w:cs="Arial"/>
        <w:color w:val="000000"/>
        <w:sz w:val="16"/>
      </w:rPr>
      <w:fldChar w:fldCharType="begin"/>
    </w:r>
    <w:r>
      <w:rPr>
        <w:rFonts w:ascii="Arial" w:eastAsia="Arial" w:hAnsi="Arial" w:cs="Arial"/>
        <w:color w:val="000000"/>
        <w:sz w:val="16"/>
      </w:rPr>
      <w:instrText>PAGE</w:instrText>
    </w:r>
    <w:r w:rsidR="009A186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861" w:rsidRDefault="00BD46D3">
    <w:pPr>
      <w:jc w:val="right"/>
      <w:rPr>
        <w:rFonts w:ascii="Arial" w:eastAsia="Arial" w:hAnsi="Arial" w:cs="Arial"/>
        <w:color w:val="000000"/>
        <w:sz w:val="16"/>
      </w:rPr>
    </w:pPr>
    <w:r>
      <w:rPr>
        <w:rFonts w:ascii="Arial" w:eastAsia="Arial" w:hAnsi="Arial" w:cs="Arial"/>
        <w:color w:val="000000"/>
        <w:sz w:val="16"/>
      </w:rPr>
      <w:t xml:space="preserve">Effective Date: 3/12/2011 - Docket #: ER11-2459-000 - Page </w:t>
    </w:r>
    <w:r w:rsidR="009A186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A186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861" w:rsidRDefault="00BD46D3">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3/12/2011 - Docket #: ER11-2459-000 - Page </w:t>
    </w:r>
    <w:r w:rsidR="009A1861">
      <w:rPr>
        <w:rFonts w:ascii="Arial" w:eastAsia="Arial" w:hAnsi="Arial" w:cs="Arial"/>
        <w:color w:val="000000"/>
        <w:sz w:val="16"/>
      </w:rPr>
      <w:fldChar w:fldCharType="begin"/>
    </w:r>
    <w:r>
      <w:rPr>
        <w:rFonts w:ascii="Arial" w:eastAsia="Arial" w:hAnsi="Arial" w:cs="Arial"/>
        <w:color w:val="000000"/>
        <w:sz w:val="16"/>
      </w:rPr>
      <w:instrText>PAGE</w:instrText>
    </w:r>
    <w:r w:rsidR="009A186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861" w:rsidRDefault="009A1861" w:rsidP="009A1861">
      <w:r>
        <w:separator/>
      </w:r>
    </w:p>
  </w:footnote>
  <w:footnote w:type="continuationSeparator" w:id="0">
    <w:p w:rsidR="009A1861" w:rsidRDefault="009A1861" w:rsidP="009A18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861" w:rsidRDefault="00BD46D3">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w:t>
    </w:r>
    <w:r>
      <w:rPr>
        <w:rFonts w:ascii="Arial" w:eastAsia="Arial" w:hAnsi="Arial" w:cs="Arial"/>
        <w:color w:val="000000"/>
        <w:sz w:val="16"/>
      </w:rPr>
      <w:t>on Service --&gt; 3.4 OATT Transmission Customer Responsibilities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861" w:rsidRDefault="00BD46D3">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3.4 OATT Transmission Customer Responsibilities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861" w:rsidRDefault="00BD46D3">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3.4 OATT Transmission Customer Responsibilities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D1BA8604">
      <w:start w:val="1"/>
      <w:numFmt w:val="bullet"/>
      <w:pStyle w:val="Bulletpara"/>
      <w:lvlText w:val=""/>
      <w:lvlJc w:val="left"/>
      <w:pPr>
        <w:tabs>
          <w:tab w:val="num" w:pos="720"/>
        </w:tabs>
        <w:ind w:left="720" w:hanging="360"/>
      </w:pPr>
      <w:rPr>
        <w:rFonts w:ascii="Symbol" w:hAnsi="Symbol" w:hint="default"/>
      </w:rPr>
    </w:lvl>
    <w:lvl w:ilvl="1" w:tplc="C8749FBA" w:tentative="1">
      <w:start w:val="1"/>
      <w:numFmt w:val="bullet"/>
      <w:lvlText w:val="o"/>
      <w:lvlJc w:val="left"/>
      <w:pPr>
        <w:tabs>
          <w:tab w:val="num" w:pos="1440"/>
        </w:tabs>
        <w:ind w:left="1440" w:hanging="360"/>
      </w:pPr>
      <w:rPr>
        <w:rFonts w:ascii="Courier New" w:hAnsi="Courier New" w:cs="Courier New" w:hint="default"/>
      </w:rPr>
    </w:lvl>
    <w:lvl w:ilvl="2" w:tplc="101EBE98" w:tentative="1">
      <w:start w:val="1"/>
      <w:numFmt w:val="bullet"/>
      <w:lvlText w:val=""/>
      <w:lvlJc w:val="left"/>
      <w:pPr>
        <w:tabs>
          <w:tab w:val="num" w:pos="2160"/>
        </w:tabs>
        <w:ind w:left="2160" w:hanging="360"/>
      </w:pPr>
      <w:rPr>
        <w:rFonts w:ascii="Wingdings" w:hAnsi="Wingdings" w:hint="default"/>
      </w:rPr>
    </w:lvl>
    <w:lvl w:ilvl="3" w:tplc="54221FBC" w:tentative="1">
      <w:start w:val="1"/>
      <w:numFmt w:val="bullet"/>
      <w:lvlText w:val=""/>
      <w:lvlJc w:val="left"/>
      <w:pPr>
        <w:tabs>
          <w:tab w:val="num" w:pos="2880"/>
        </w:tabs>
        <w:ind w:left="2880" w:hanging="360"/>
      </w:pPr>
      <w:rPr>
        <w:rFonts w:ascii="Symbol" w:hAnsi="Symbol" w:hint="default"/>
      </w:rPr>
    </w:lvl>
    <w:lvl w:ilvl="4" w:tplc="F63CF1B0" w:tentative="1">
      <w:start w:val="1"/>
      <w:numFmt w:val="bullet"/>
      <w:lvlText w:val="o"/>
      <w:lvlJc w:val="left"/>
      <w:pPr>
        <w:tabs>
          <w:tab w:val="num" w:pos="3600"/>
        </w:tabs>
        <w:ind w:left="3600" w:hanging="360"/>
      </w:pPr>
      <w:rPr>
        <w:rFonts w:ascii="Courier New" w:hAnsi="Courier New" w:cs="Courier New" w:hint="default"/>
      </w:rPr>
    </w:lvl>
    <w:lvl w:ilvl="5" w:tplc="7FD21266" w:tentative="1">
      <w:start w:val="1"/>
      <w:numFmt w:val="bullet"/>
      <w:lvlText w:val=""/>
      <w:lvlJc w:val="left"/>
      <w:pPr>
        <w:tabs>
          <w:tab w:val="num" w:pos="4320"/>
        </w:tabs>
        <w:ind w:left="4320" w:hanging="360"/>
      </w:pPr>
      <w:rPr>
        <w:rFonts w:ascii="Wingdings" w:hAnsi="Wingdings" w:hint="default"/>
      </w:rPr>
    </w:lvl>
    <w:lvl w:ilvl="6" w:tplc="2E02613E" w:tentative="1">
      <w:start w:val="1"/>
      <w:numFmt w:val="bullet"/>
      <w:lvlText w:val=""/>
      <w:lvlJc w:val="left"/>
      <w:pPr>
        <w:tabs>
          <w:tab w:val="num" w:pos="5040"/>
        </w:tabs>
        <w:ind w:left="5040" w:hanging="360"/>
      </w:pPr>
      <w:rPr>
        <w:rFonts w:ascii="Symbol" w:hAnsi="Symbol" w:hint="default"/>
      </w:rPr>
    </w:lvl>
    <w:lvl w:ilvl="7" w:tplc="E87C8BF6" w:tentative="1">
      <w:start w:val="1"/>
      <w:numFmt w:val="bullet"/>
      <w:lvlText w:val="o"/>
      <w:lvlJc w:val="left"/>
      <w:pPr>
        <w:tabs>
          <w:tab w:val="num" w:pos="5760"/>
        </w:tabs>
        <w:ind w:left="5760" w:hanging="360"/>
      </w:pPr>
      <w:rPr>
        <w:rFonts w:ascii="Courier New" w:hAnsi="Courier New" w:cs="Courier New" w:hint="default"/>
      </w:rPr>
    </w:lvl>
    <w:lvl w:ilvl="8" w:tplc="EF46D20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0622A0C8">
      <w:start w:val="1"/>
      <w:numFmt w:val="bullet"/>
      <w:lvlText w:val="­"/>
      <w:lvlJc w:val="left"/>
      <w:pPr>
        <w:tabs>
          <w:tab w:val="num" w:pos="720"/>
        </w:tabs>
        <w:ind w:left="720" w:hanging="360"/>
      </w:pPr>
      <w:rPr>
        <w:rFonts w:ascii="Courier New" w:hAnsi="Courier New" w:hint="default"/>
      </w:rPr>
    </w:lvl>
    <w:lvl w:ilvl="1" w:tplc="8A880760" w:tentative="1">
      <w:start w:val="1"/>
      <w:numFmt w:val="bullet"/>
      <w:lvlText w:val="o"/>
      <w:lvlJc w:val="left"/>
      <w:pPr>
        <w:tabs>
          <w:tab w:val="num" w:pos="1440"/>
        </w:tabs>
        <w:ind w:left="1440" w:hanging="360"/>
      </w:pPr>
      <w:rPr>
        <w:rFonts w:ascii="Courier New" w:hAnsi="Courier New" w:cs="Courier New" w:hint="default"/>
      </w:rPr>
    </w:lvl>
    <w:lvl w:ilvl="2" w:tplc="2C7CE7D4" w:tentative="1">
      <w:start w:val="1"/>
      <w:numFmt w:val="bullet"/>
      <w:lvlText w:val=""/>
      <w:lvlJc w:val="left"/>
      <w:pPr>
        <w:tabs>
          <w:tab w:val="num" w:pos="2160"/>
        </w:tabs>
        <w:ind w:left="2160" w:hanging="360"/>
      </w:pPr>
      <w:rPr>
        <w:rFonts w:ascii="Wingdings" w:hAnsi="Wingdings" w:hint="default"/>
      </w:rPr>
    </w:lvl>
    <w:lvl w:ilvl="3" w:tplc="7764CDD0" w:tentative="1">
      <w:start w:val="1"/>
      <w:numFmt w:val="bullet"/>
      <w:lvlText w:val=""/>
      <w:lvlJc w:val="left"/>
      <w:pPr>
        <w:tabs>
          <w:tab w:val="num" w:pos="2880"/>
        </w:tabs>
        <w:ind w:left="2880" w:hanging="360"/>
      </w:pPr>
      <w:rPr>
        <w:rFonts w:ascii="Symbol" w:hAnsi="Symbol" w:hint="default"/>
      </w:rPr>
    </w:lvl>
    <w:lvl w:ilvl="4" w:tplc="2286E936" w:tentative="1">
      <w:start w:val="1"/>
      <w:numFmt w:val="bullet"/>
      <w:lvlText w:val="o"/>
      <w:lvlJc w:val="left"/>
      <w:pPr>
        <w:tabs>
          <w:tab w:val="num" w:pos="3600"/>
        </w:tabs>
        <w:ind w:left="3600" w:hanging="360"/>
      </w:pPr>
      <w:rPr>
        <w:rFonts w:ascii="Courier New" w:hAnsi="Courier New" w:cs="Courier New" w:hint="default"/>
      </w:rPr>
    </w:lvl>
    <w:lvl w:ilvl="5" w:tplc="654A6124" w:tentative="1">
      <w:start w:val="1"/>
      <w:numFmt w:val="bullet"/>
      <w:lvlText w:val=""/>
      <w:lvlJc w:val="left"/>
      <w:pPr>
        <w:tabs>
          <w:tab w:val="num" w:pos="4320"/>
        </w:tabs>
        <w:ind w:left="4320" w:hanging="360"/>
      </w:pPr>
      <w:rPr>
        <w:rFonts w:ascii="Wingdings" w:hAnsi="Wingdings" w:hint="default"/>
      </w:rPr>
    </w:lvl>
    <w:lvl w:ilvl="6" w:tplc="014C11F8" w:tentative="1">
      <w:start w:val="1"/>
      <w:numFmt w:val="bullet"/>
      <w:lvlText w:val=""/>
      <w:lvlJc w:val="left"/>
      <w:pPr>
        <w:tabs>
          <w:tab w:val="num" w:pos="5040"/>
        </w:tabs>
        <w:ind w:left="5040" w:hanging="360"/>
      </w:pPr>
      <w:rPr>
        <w:rFonts w:ascii="Symbol" w:hAnsi="Symbol" w:hint="default"/>
      </w:rPr>
    </w:lvl>
    <w:lvl w:ilvl="7" w:tplc="C3C276DC" w:tentative="1">
      <w:start w:val="1"/>
      <w:numFmt w:val="bullet"/>
      <w:lvlText w:val="o"/>
      <w:lvlJc w:val="left"/>
      <w:pPr>
        <w:tabs>
          <w:tab w:val="num" w:pos="5760"/>
        </w:tabs>
        <w:ind w:left="5760" w:hanging="360"/>
      </w:pPr>
      <w:rPr>
        <w:rFonts w:ascii="Courier New" w:hAnsi="Courier New" w:cs="Courier New" w:hint="default"/>
      </w:rPr>
    </w:lvl>
    <w:lvl w:ilvl="8" w:tplc="431CDB6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A82042DE">
      <w:start w:val="1"/>
      <w:numFmt w:val="lowerRoman"/>
      <w:lvlText w:val="(%1)"/>
      <w:lvlJc w:val="left"/>
      <w:pPr>
        <w:tabs>
          <w:tab w:val="num" w:pos="2448"/>
        </w:tabs>
        <w:ind w:left="2448" w:hanging="648"/>
      </w:pPr>
      <w:rPr>
        <w:rFonts w:hint="default"/>
        <w:b w:val="0"/>
        <w:i w:val="0"/>
        <w:u w:val="none"/>
      </w:rPr>
    </w:lvl>
    <w:lvl w:ilvl="1" w:tplc="C06A370A" w:tentative="1">
      <w:start w:val="1"/>
      <w:numFmt w:val="lowerLetter"/>
      <w:lvlText w:val="%2."/>
      <w:lvlJc w:val="left"/>
      <w:pPr>
        <w:tabs>
          <w:tab w:val="num" w:pos="1440"/>
        </w:tabs>
        <w:ind w:left="1440" w:hanging="360"/>
      </w:pPr>
    </w:lvl>
    <w:lvl w:ilvl="2" w:tplc="050AB59A" w:tentative="1">
      <w:start w:val="1"/>
      <w:numFmt w:val="lowerRoman"/>
      <w:lvlText w:val="%3."/>
      <w:lvlJc w:val="right"/>
      <w:pPr>
        <w:tabs>
          <w:tab w:val="num" w:pos="2160"/>
        </w:tabs>
        <w:ind w:left="2160" w:hanging="180"/>
      </w:pPr>
    </w:lvl>
    <w:lvl w:ilvl="3" w:tplc="55503666" w:tentative="1">
      <w:start w:val="1"/>
      <w:numFmt w:val="decimal"/>
      <w:lvlText w:val="%4."/>
      <w:lvlJc w:val="left"/>
      <w:pPr>
        <w:tabs>
          <w:tab w:val="num" w:pos="2880"/>
        </w:tabs>
        <w:ind w:left="2880" w:hanging="360"/>
      </w:pPr>
    </w:lvl>
    <w:lvl w:ilvl="4" w:tplc="69927268" w:tentative="1">
      <w:start w:val="1"/>
      <w:numFmt w:val="lowerLetter"/>
      <w:lvlText w:val="%5."/>
      <w:lvlJc w:val="left"/>
      <w:pPr>
        <w:tabs>
          <w:tab w:val="num" w:pos="3600"/>
        </w:tabs>
        <w:ind w:left="3600" w:hanging="360"/>
      </w:pPr>
    </w:lvl>
    <w:lvl w:ilvl="5" w:tplc="6A326046" w:tentative="1">
      <w:start w:val="1"/>
      <w:numFmt w:val="lowerRoman"/>
      <w:lvlText w:val="%6."/>
      <w:lvlJc w:val="right"/>
      <w:pPr>
        <w:tabs>
          <w:tab w:val="num" w:pos="4320"/>
        </w:tabs>
        <w:ind w:left="4320" w:hanging="180"/>
      </w:pPr>
    </w:lvl>
    <w:lvl w:ilvl="6" w:tplc="B276D156" w:tentative="1">
      <w:start w:val="1"/>
      <w:numFmt w:val="decimal"/>
      <w:lvlText w:val="%7."/>
      <w:lvlJc w:val="left"/>
      <w:pPr>
        <w:tabs>
          <w:tab w:val="num" w:pos="5040"/>
        </w:tabs>
        <w:ind w:left="5040" w:hanging="360"/>
      </w:pPr>
    </w:lvl>
    <w:lvl w:ilvl="7" w:tplc="8542A8A6" w:tentative="1">
      <w:start w:val="1"/>
      <w:numFmt w:val="lowerLetter"/>
      <w:lvlText w:val="%8."/>
      <w:lvlJc w:val="left"/>
      <w:pPr>
        <w:tabs>
          <w:tab w:val="num" w:pos="5760"/>
        </w:tabs>
        <w:ind w:left="5760" w:hanging="360"/>
      </w:pPr>
    </w:lvl>
    <w:lvl w:ilvl="8" w:tplc="660C3B3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5D027564">
      <w:start w:val="1"/>
      <w:numFmt w:val="bullet"/>
      <w:lvlText w:val=""/>
      <w:lvlJc w:val="left"/>
      <w:pPr>
        <w:tabs>
          <w:tab w:val="num" w:pos="5760"/>
        </w:tabs>
        <w:ind w:left="5760" w:hanging="360"/>
      </w:pPr>
      <w:rPr>
        <w:rFonts w:ascii="Symbol" w:hAnsi="Symbol" w:hint="default"/>
        <w:color w:val="auto"/>
        <w:u w:val="none"/>
      </w:rPr>
    </w:lvl>
    <w:lvl w:ilvl="1" w:tplc="0FD4BA00" w:tentative="1">
      <w:start w:val="1"/>
      <w:numFmt w:val="bullet"/>
      <w:lvlText w:val="o"/>
      <w:lvlJc w:val="left"/>
      <w:pPr>
        <w:tabs>
          <w:tab w:val="num" w:pos="3600"/>
        </w:tabs>
        <w:ind w:left="3600" w:hanging="360"/>
      </w:pPr>
      <w:rPr>
        <w:rFonts w:ascii="Courier New" w:hAnsi="Courier New" w:hint="default"/>
      </w:rPr>
    </w:lvl>
    <w:lvl w:ilvl="2" w:tplc="0FC44DFA" w:tentative="1">
      <w:start w:val="1"/>
      <w:numFmt w:val="bullet"/>
      <w:lvlText w:val=""/>
      <w:lvlJc w:val="left"/>
      <w:pPr>
        <w:tabs>
          <w:tab w:val="num" w:pos="4320"/>
        </w:tabs>
        <w:ind w:left="4320" w:hanging="360"/>
      </w:pPr>
      <w:rPr>
        <w:rFonts w:ascii="Wingdings" w:hAnsi="Wingdings" w:hint="default"/>
      </w:rPr>
    </w:lvl>
    <w:lvl w:ilvl="3" w:tplc="D52218E6">
      <w:start w:val="1"/>
      <w:numFmt w:val="bullet"/>
      <w:lvlText w:val=""/>
      <w:lvlJc w:val="left"/>
      <w:pPr>
        <w:tabs>
          <w:tab w:val="num" w:pos="5040"/>
        </w:tabs>
        <w:ind w:left="5040" w:hanging="360"/>
      </w:pPr>
      <w:rPr>
        <w:rFonts w:ascii="Symbol" w:hAnsi="Symbol" w:hint="default"/>
      </w:rPr>
    </w:lvl>
    <w:lvl w:ilvl="4" w:tplc="ACB2BF1C" w:tentative="1">
      <w:start w:val="1"/>
      <w:numFmt w:val="bullet"/>
      <w:lvlText w:val="o"/>
      <w:lvlJc w:val="left"/>
      <w:pPr>
        <w:tabs>
          <w:tab w:val="num" w:pos="5760"/>
        </w:tabs>
        <w:ind w:left="5760" w:hanging="360"/>
      </w:pPr>
      <w:rPr>
        <w:rFonts w:ascii="Courier New" w:hAnsi="Courier New" w:hint="default"/>
      </w:rPr>
    </w:lvl>
    <w:lvl w:ilvl="5" w:tplc="45A40B76" w:tentative="1">
      <w:start w:val="1"/>
      <w:numFmt w:val="bullet"/>
      <w:lvlText w:val=""/>
      <w:lvlJc w:val="left"/>
      <w:pPr>
        <w:tabs>
          <w:tab w:val="num" w:pos="6480"/>
        </w:tabs>
        <w:ind w:left="6480" w:hanging="360"/>
      </w:pPr>
      <w:rPr>
        <w:rFonts w:ascii="Wingdings" w:hAnsi="Wingdings" w:hint="default"/>
      </w:rPr>
    </w:lvl>
    <w:lvl w:ilvl="6" w:tplc="13FADA5A" w:tentative="1">
      <w:start w:val="1"/>
      <w:numFmt w:val="bullet"/>
      <w:lvlText w:val=""/>
      <w:lvlJc w:val="left"/>
      <w:pPr>
        <w:tabs>
          <w:tab w:val="num" w:pos="7200"/>
        </w:tabs>
        <w:ind w:left="7200" w:hanging="360"/>
      </w:pPr>
      <w:rPr>
        <w:rFonts w:ascii="Symbol" w:hAnsi="Symbol" w:hint="default"/>
      </w:rPr>
    </w:lvl>
    <w:lvl w:ilvl="7" w:tplc="2AC89290" w:tentative="1">
      <w:start w:val="1"/>
      <w:numFmt w:val="bullet"/>
      <w:lvlText w:val="o"/>
      <w:lvlJc w:val="left"/>
      <w:pPr>
        <w:tabs>
          <w:tab w:val="num" w:pos="7920"/>
        </w:tabs>
        <w:ind w:left="7920" w:hanging="360"/>
      </w:pPr>
      <w:rPr>
        <w:rFonts w:ascii="Courier New" w:hAnsi="Courier New" w:hint="default"/>
      </w:rPr>
    </w:lvl>
    <w:lvl w:ilvl="8" w:tplc="352C5FF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A1861"/>
    <w:rsid w:val="009A1861"/>
    <w:rsid w:val="00BD46D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1861"/>
    <w:pPr>
      <w:widowControl w:val="0"/>
    </w:pPr>
    <w:rPr>
      <w:snapToGrid w:val="0"/>
      <w:sz w:val="24"/>
    </w:rPr>
  </w:style>
  <w:style w:type="paragraph" w:styleId="Heading1">
    <w:name w:val="heading 1"/>
    <w:basedOn w:val="Normal"/>
    <w:next w:val="Normal"/>
    <w:link w:val="Heading1Char"/>
    <w:qFormat/>
    <w:rsid w:val="009A1861"/>
    <w:pPr>
      <w:keepNext/>
      <w:spacing w:before="240" w:after="240"/>
      <w:ind w:left="720" w:hanging="720"/>
      <w:outlineLvl w:val="0"/>
    </w:pPr>
    <w:rPr>
      <w:b/>
    </w:rPr>
  </w:style>
  <w:style w:type="paragraph" w:styleId="Heading2">
    <w:name w:val="heading 2"/>
    <w:basedOn w:val="Normal"/>
    <w:next w:val="Normal"/>
    <w:qFormat/>
    <w:rsid w:val="009A1861"/>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9A1861"/>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A1861"/>
    <w:pPr>
      <w:keepNext/>
      <w:tabs>
        <w:tab w:val="left" w:pos="1800"/>
      </w:tabs>
      <w:spacing w:before="240" w:after="240"/>
      <w:ind w:left="1800" w:hanging="1080"/>
      <w:outlineLvl w:val="3"/>
    </w:pPr>
    <w:rPr>
      <w:b/>
    </w:rPr>
  </w:style>
  <w:style w:type="paragraph" w:styleId="Heading5">
    <w:name w:val="heading 5"/>
    <w:basedOn w:val="Normal"/>
    <w:next w:val="Normal"/>
    <w:qFormat/>
    <w:rsid w:val="009A1861"/>
    <w:pPr>
      <w:keepNext/>
      <w:spacing w:line="480" w:lineRule="auto"/>
      <w:ind w:left="1440" w:right="-90" w:hanging="720"/>
      <w:outlineLvl w:val="4"/>
    </w:pPr>
    <w:rPr>
      <w:b/>
    </w:rPr>
  </w:style>
  <w:style w:type="paragraph" w:styleId="Heading6">
    <w:name w:val="heading 6"/>
    <w:basedOn w:val="Normal"/>
    <w:next w:val="Normal"/>
    <w:qFormat/>
    <w:rsid w:val="009A1861"/>
    <w:pPr>
      <w:keepNext/>
      <w:spacing w:line="480" w:lineRule="auto"/>
      <w:ind w:left="1080" w:right="-90" w:hanging="360"/>
      <w:outlineLvl w:val="5"/>
    </w:pPr>
    <w:rPr>
      <w:b/>
    </w:rPr>
  </w:style>
  <w:style w:type="paragraph" w:styleId="Heading7">
    <w:name w:val="heading 7"/>
    <w:basedOn w:val="Normal"/>
    <w:next w:val="Normal"/>
    <w:qFormat/>
    <w:rsid w:val="009A1861"/>
    <w:pPr>
      <w:keepNext/>
      <w:spacing w:line="480" w:lineRule="auto"/>
      <w:ind w:left="720" w:right="630"/>
      <w:outlineLvl w:val="6"/>
    </w:pPr>
    <w:rPr>
      <w:b/>
    </w:rPr>
  </w:style>
  <w:style w:type="paragraph" w:styleId="Heading8">
    <w:name w:val="heading 8"/>
    <w:basedOn w:val="Normal"/>
    <w:next w:val="Normal"/>
    <w:qFormat/>
    <w:rsid w:val="009A1861"/>
    <w:pPr>
      <w:keepNext/>
      <w:spacing w:line="480" w:lineRule="auto"/>
      <w:ind w:left="720" w:right="-90"/>
      <w:outlineLvl w:val="7"/>
    </w:pPr>
    <w:rPr>
      <w:b/>
    </w:rPr>
  </w:style>
  <w:style w:type="paragraph" w:styleId="Heading9">
    <w:name w:val="heading 9"/>
    <w:basedOn w:val="Normal"/>
    <w:next w:val="Normal"/>
    <w:qFormat/>
    <w:rsid w:val="009A186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1861"/>
    <w:rPr>
      <w:b/>
      <w:snapToGrid w:val="0"/>
      <w:sz w:val="24"/>
      <w:lang w:val="en-US" w:eastAsia="en-US" w:bidi="ar-SA"/>
    </w:rPr>
  </w:style>
  <w:style w:type="character" w:customStyle="1" w:styleId="Heading3Char">
    <w:name w:val="Heading 3 Char"/>
    <w:basedOn w:val="DefaultParagraphFont"/>
    <w:link w:val="Heading3"/>
    <w:rsid w:val="009A1861"/>
    <w:rPr>
      <w:b/>
      <w:snapToGrid w:val="0"/>
      <w:sz w:val="24"/>
      <w:lang w:val="en-US" w:eastAsia="en-US" w:bidi="ar-SA"/>
    </w:rPr>
  </w:style>
  <w:style w:type="character" w:styleId="FootnoteReference">
    <w:name w:val="footnote reference"/>
    <w:semiHidden/>
    <w:rsid w:val="009A1861"/>
  </w:style>
  <w:style w:type="paragraph" w:customStyle="1" w:styleId="Definition">
    <w:name w:val="Definition"/>
    <w:basedOn w:val="Normal"/>
    <w:rsid w:val="009A1861"/>
    <w:pPr>
      <w:widowControl/>
      <w:spacing w:before="240" w:after="240"/>
    </w:pPr>
  </w:style>
  <w:style w:type="paragraph" w:customStyle="1" w:styleId="Definitionindent">
    <w:name w:val="Definition indent"/>
    <w:basedOn w:val="Definition"/>
    <w:rsid w:val="009A1861"/>
    <w:pPr>
      <w:spacing w:before="120" w:after="120"/>
      <w:ind w:left="720"/>
    </w:pPr>
  </w:style>
  <w:style w:type="paragraph" w:customStyle="1" w:styleId="Bodypara">
    <w:name w:val="Body para"/>
    <w:basedOn w:val="Normal"/>
    <w:rsid w:val="009A1861"/>
    <w:pPr>
      <w:spacing w:line="480" w:lineRule="auto"/>
      <w:ind w:firstLine="720"/>
    </w:pPr>
  </w:style>
  <w:style w:type="paragraph" w:customStyle="1" w:styleId="alphapara">
    <w:name w:val="alpha para"/>
    <w:basedOn w:val="Bodypara"/>
    <w:rsid w:val="009A1861"/>
    <w:pPr>
      <w:ind w:left="1440" w:hanging="720"/>
    </w:pPr>
  </w:style>
  <w:style w:type="paragraph" w:styleId="Header">
    <w:name w:val="header"/>
    <w:basedOn w:val="Normal"/>
    <w:rsid w:val="009A1861"/>
    <w:pPr>
      <w:widowControl/>
      <w:tabs>
        <w:tab w:val="center" w:pos="4680"/>
        <w:tab w:val="right" w:pos="9360"/>
      </w:tabs>
    </w:pPr>
    <w:rPr>
      <w:snapToGrid/>
      <w:szCs w:val="24"/>
    </w:rPr>
  </w:style>
  <w:style w:type="paragraph" w:styleId="Date">
    <w:name w:val="Date"/>
    <w:basedOn w:val="Normal"/>
    <w:next w:val="Normal"/>
    <w:rsid w:val="009A1861"/>
    <w:pPr>
      <w:widowControl/>
    </w:pPr>
  </w:style>
  <w:style w:type="paragraph" w:customStyle="1" w:styleId="TOCheading">
    <w:name w:val="TOC heading"/>
    <w:basedOn w:val="Normal"/>
    <w:rsid w:val="009A1861"/>
    <w:pPr>
      <w:spacing w:before="240" w:after="240"/>
    </w:pPr>
    <w:rPr>
      <w:b/>
    </w:rPr>
  </w:style>
  <w:style w:type="paragraph" w:styleId="DocumentMap">
    <w:name w:val="Document Map"/>
    <w:basedOn w:val="Normal"/>
    <w:semiHidden/>
    <w:rsid w:val="009A1861"/>
    <w:pPr>
      <w:shd w:val="clear" w:color="auto" w:fill="000080"/>
    </w:pPr>
    <w:rPr>
      <w:rFonts w:ascii="Tahoma" w:hAnsi="Tahoma" w:cs="Tahoma"/>
      <w:sz w:val="20"/>
    </w:rPr>
  </w:style>
  <w:style w:type="paragraph" w:styleId="BalloonText">
    <w:name w:val="Balloon Text"/>
    <w:basedOn w:val="Normal"/>
    <w:semiHidden/>
    <w:rsid w:val="009A1861"/>
    <w:rPr>
      <w:rFonts w:ascii="Tahoma" w:hAnsi="Tahoma" w:cs="Tahoma"/>
      <w:sz w:val="16"/>
      <w:szCs w:val="16"/>
    </w:rPr>
  </w:style>
  <w:style w:type="paragraph" w:customStyle="1" w:styleId="Footers">
    <w:name w:val="Footers"/>
    <w:basedOn w:val="Heading1"/>
    <w:rsid w:val="009A1861"/>
    <w:pPr>
      <w:tabs>
        <w:tab w:val="left" w:pos="1440"/>
        <w:tab w:val="left" w:pos="7020"/>
        <w:tab w:val="right" w:pos="9360"/>
      </w:tabs>
    </w:pPr>
    <w:rPr>
      <w:b w:val="0"/>
      <w:sz w:val="20"/>
    </w:rPr>
  </w:style>
  <w:style w:type="paragraph" w:customStyle="1" w:styleId="subhead">
    <w:name w:val="subhead"/>
    <w:basedOn w:val="Heading4"/>
    <w:rsid w:val="009A1861"/>
    <w:pPr>
      <w:tabs>
        <w:tab w:val="clear" w:pos="1800"/>
      </w:tabs>
      <w:ind w:left="720" w:firstLine="0"/>
    </w:pPr>
  </w:style>
  <w:style w:type="paragraph" w:customStyle="1" w:styleId="alphaheading">
    <w:name w:val="alpha heading"/>
    <w:basedOn w:val="Normal"/>
    <w:rsid w:val="009A1861"/>
    <w:pPr>
      <w:keepNext/>
      <w:tabs>
        <w:tab w:val="left" w:pos="1440"/>
      </w:tabs>
      <w:spacing w:before="240" w:after="240"/>
      <w:ind w:left="1440" w:hanging="720"/>
    </w:pPr>
    <w:rPr>
      <w:b/>
      <w:szCs w:val="24"/>
    </w:rPr>
  </w:style>
  <w:style w:type="paragraph" w:customStyle="1" w:styleId="romannumeralpara">
    <w:name w:val="roman numeral para"/>
    <w:basedOn w:val="Normal"/>
    <w:rsid w:val="009A1861"/>
    <w:pPr>
      <w:spacing w:line="480" w:lineRule="auto"/>
      <w:ind w:left="1440" w:hanging="720"/>
    </w:pPr>
  </w:style>
  <w:style w:type="paragraph" w:customStyle="1" w:styleId="Bulletpara">
    <w:name w:val="Bullet para"/>
    <w:basedOn w:val="Normal"/>
    <w:rsid w:val="009A1861"/>
    <w:pPr>
      <w:widowControl/>
      <w:numPr>
        <w:numId w:val="10"/>
      </w:numPr>
      <w:tabs>
        <w:tab w:val="left" w:pos="900"/>
      </w:tabs>
      <w:spacing w:before="120" w:after="120"/>
    </w:pPr>
    <w:rPr>
      <w:szCs w:val="24"/>
    </w:rPr>
  </w:style>
  <w:style w:type="paragraph" w:styleId="TOC1">
    <w:name w:val="toc 1"/>
    <w:basedOn w:val="Normal"/>
    <w:next w:val="Normal"/>
    <w:semiHidden/>
    <w:rsid w:val="009A1861"/>
  </w:style>
  <w:style w:type="paragraph" w:customStyle="1" w:styleId="Tarifftitle">
    <w:name w:val="Tariff title"/>
    <w:basedOn w:val="Normal"/>
    <w:rsid w:val="009A1861"/>
    <w:rPr>
      <w:b/>
      <w:sz w:val="28"/>
      <w:szCs w:val="28"/>
    </w:rPr>
  </w:style>
  <w:style w:type="paragraph" w:styleId="TOC2">
    <w:name w:val="toc 2"/>
    <w:basedOn w:val="Normal"/>
    <w:next w:val="Normal"/>
    <w:semiHidden/>
    <w:rsid w:val="009A1861"/>
    <w:pPr>
      <w:ind w:left="240"/>
    </w:pPr>
  </w:style>
  <w:style w:type="character" w:styleId="Hyperlink">
    <w:name w:val="Hyperlink"/>
    <w:basedOn w:val="DefaultParagraphFont"/>
    <w:rsid w:val="009A1861"/>
    <w:rPr>
      <w:color w:val="0000FF"/>
      <w:u w:val="single"/>
    </w:rPr>
  </w:style>
  <w:style w:type="paragraph" w:styleId="TOC3">
    <w:name w:val="toc 3"/>
    <w:basedOn w:val="Normal"/>
    <w:next w:val="Normal"/>
    <w:semiHidden/>
    <w:rsid w:val="009A1861"/>
    <w:pPr>
      <w:ind w:left="480"/>
    </w:pPr>
  </w:style>
  <w:style w:type="paragraph" w:styleId="TOC4">
    <w:name w:val="toc 4"/>
    <w:basedOn w:val="Normal"/>
    <w:next w:val="Normal"/>
    <w:semiHidden/>
    <w:rsid w:val="009A1861"/>
    <w:pPr>
      <w:ind w:left="720"/>
    </w:pPr>
  </w:style>
  <w:style w:type="paragraph" w:styleId="TOC5">
    <w:name w:val="toc 5"/>
    <w:basedOn w:val="Normal"/>
    <w:next w:val="Normal"/>
    <w:semiHidden/>
    <w:rsid w:val="009A1861"/>
    <w:pPr>
      <w:widowControl/>
      <w:ind w:left="960"/>
    </w:pPr>
    <w:rPr>
      <w:snapToGrid/>
      <w:szCs w:val="24"/>
    </w:rPr>
  </w:style>
  <w:style w:type="paragraph" w:styleId="TOC6">
    <w:name w:val="toc 6"/>
    <w:basedOn w:val="Normal"/>
    <w:next w:val="Normal"/>
    <w:semiHidden/>
    <w:rsid w:val="009A1861"/>
    <w:pPr>
      <w:widowControl/>
      <w:ind w:left="1200"/>
    </w:pPr>
    <w:rPr>
      <w:snapToGrid/>
      <w:szCs w:val="24"/>
    </w:rPr>
  </w:style>
  <w:style w:type="paragraph" w:styleId="TOC7">
    <w:name w:val="toc 7"/>
    <w:basedOn w:val="Normal"/>
    <w:next w:val="Normal"/>
    <w:semiHidden/>
    <w:rsid w:val="009A1861"/>
    <w:pPr>
      <w:widowControl/>
      <w:ind w:left="1440"/>
    </w:pPr>
    <w:rPr>
      <w:snapToGrid/>
      <w:szCs w:val="24"/>
    </w:rPr>
  </w:style>
  <w:style w:type="paragraph" w:styleId="TOC8">
    <w:name w:val="toc 8"/>
    <w:basedOn w:val="Normal"/>
    <w:next w:val="Normal"/>
    <w:semiHidden/>
    <w:rsid w:val="009A1861"/>
    <w:pPr>
      <w:widowControl/>
      <w:ind w:left="1680"/>
    </w:pPr>
    <w:rPr>
      <w:snapToGrid/>
      <w:szCs w:val="24"/>
    </w:rPr>
  </w:style>
  <w:style w:type="paragraph" w:styleId="TOC9">
    <w:name w:val="toc 9"/>
    <w:basedOn w:val="Normal"/>
    <w:next w:val="Normal"/>
    <w:semiHidden/>
    <w:rsid w:val="009A1861"/>
    <w:pPr>
      <w:widowControl/>
      <w:ind w:left="1920"/>
    </w:pPr>
    <w:rPr>
      <w:snapToGrid/>
      <w:szCs w:val="24"/>
    </w:rPr>
  </w:style>
  <w:style w:type="paragraph" w:customStyle="1" w:styleId="a">
    <w:name w:val="_"/>
    <w:basedOn w:val="Normal"/>
    <w:rsid w:val="009A1861"/>
    <w:pPr>
      <w:ind w:left="1800" w:hanging="630"/>
    </w:pPr>
  </w:style>
  <w:style w:type="character" w:styleId="CommentReference">
    <w:name w:val="annotation reference"/>
    <w:basedOn w:val="DefaultParagraphFont"/>
    <w:semiHidden/>
    <w:rsid w:val="009A1861"/>
    <w:rPr>
      <w:sz w:val="16"/>
      <w:szCs w:val="16"/>
    </w:rPr>
  </w:style>
  <w:style w:type="paragraph" w:styleId="CommentText">
    <w:name w:val="annotation text"/>
    <w:basedOn w:val="Normal"/>
    <w:semiHidden/>
    <w:rsid w:val="009A1861"/>
    <w:rPr>
      <w:sz w:val="20"/>
    </w:rPr>
  </w:style>
  <w:style w:type="paragraph" w:styleId="CommentSubject">
    <w:name w:val="annotation subject"/>
    <w:basedOn w:val="CommentText"/>
    <w:next w:val="CommentText"/>
    <w:semiHidden/>
    <w:rsid w:val="009A1861"/>
    <w:rPr>
      <w:b/>
      <w:bCs/>
    </w:rPr>
  </w:style>
  <w:style w:type="paragraph" w:styleId="Footer">
    <w:name w:val="footer"/>
    <w:basedOn w:val="Normal"/>
    <w:rsid w:val="009A1861"/>
    <w:pPr>
      <w:tabs>
        <w:tab w:val="center" w:pos="4320"/>
        <w:tab w:val="right" w:pos="8640"/>
      </w:tabs>
    </w:pPr>
  </w:style>
  <w:style w:type="character" w:styleId="PageNumber">
    <w:name w:val="page number"/>
    <w:basedOn w:val="DefaultParagraphFont"/>
    <w:rsid w:val="009A1861"/>
  </w:style>
  <w:style w:type="paragraph" w:styleId="BodyTextIndent">
    <w:name w:val="Body Text Indent"/>
    <w:aliases w:val="bi"/>
    <w:basedOn w:val="Normal"/>
    <w:rsid w:val="009A18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2010-12-20T19:55:00Z</cp:lastPrinted>
  <dcterms:created xsi:type="dcterms:W3CDTF">2017-03-23T23:18:00Z</dcterms:created>
  <dcterms:modified xsi:type="dcterms:W3CDTF">2017-03-23T23:18:00Z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ies>
</file>