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90" w:rsidRDefault="000665F4">
      <w:pPr>
        <w:pStyle w:val="Heading2"/>
      </w:pPr>
      <w:bookmarkStart w:id="0" w:name="_Toc261444439"/>
      <w:r>
        <w:t>3.1</w:t>
      </w:r>
      <w:r>
        <w:tab/>
        <w:t>Nature of Firm Point</w:t>
      </w:r>
      <w:r>
        <w:noBreakHyphen/>
        <w:t>To</w:t>
      </w:r>
      <w:r>
        <w:noBreakHyphen/>
        <w:t>Point Transmission Service</w:t>
      </w:r>
      <w:bookmarkEnd w:id="0"/>
    </w:p>
    <w:p w:rsidR="00BB1090" w:rsidRDefault="000665F4">
      <w:pPr>
        <w:pStyle w:val="Heading3"/>
      </w:pPr>
      <w:bookmarkStart w:id="1" w:name="_Toc261444440"/>
      <w:r>
        <w:t>3.1.1</w:t>
      </w:r>
      <w:r>
        <w:tab/>
        <w:t>Term:</w:t>
      </w:r>
      <w:bookmarkEnd w:id="1"/>
      <w:r>
        <w:t xml:space="preserve"> </w:t>
      </w:r>
    </w:p>
    <w:p w:rsidR="00BB1090" w:rsidRDefault="000665F4">
      <w:pPr>
        <w:pStyle w:val="Bodypara"/>
      </w:pPr>
      <w:r>
        <w:t xml:space="preserve">The minimum term of Firm Point-To-Point Transmission Service shall be provided in nominal one hour increments and the maximum term shall not exceed the maximum permissible term as </w:t>
      </w:r>
      <w:r>
        <w:t>specified in ISO Procedures.</w:t>
      </w:r>
    </w:p>
    <w:p w:rsidR="00BB1090" w:rsidRDefault="000665F4">
      <w:pPr>
        <w:pStyle w:val="Heading3"/>
      </w:pPr>
      <w:bookmarkStart w:id="2" w:name="_Toc261444441"/>
      <w:r>
        <w:t>3.1.2.</w:t>
      </w:r>
      <w:r>
        <w:tab/>
        <w:t>Reservation Priority:</w:t>
      </w:r>
      <w:bookmarkEnd w:id="2"/>
      <w:r>
        <w:t xml:space="preserve"> </w:t>
      </w:r>
    </w:p>
    <w:p w:rsidR="00BB1090" w:rsidRDefault="000665F4">
      <w:pPr>
        <w:pStyle w:val="Bodypara"/>
      </w:pPr>
      <w:r>
        <w:t>All requests for Firm Point-to-Point Transmission Service will be deemed to have the same reservation priority. Firm Point-to-Point Transmission Service will have the same priority as Network Servi</w:t>
      </w:r>
      <w:r>
        <w:t xml:space="preserve">ce subject to Section 3.1.6.   </w:t>
      </w:r>
    </w:p>
    <w:p w:rsidR="00BB1090" w:rsidRDefault="000665F4">
      <w:pPr>
        <w:pStyle w:val="Heading3"/>
      </w:pPr>
      <w:bookmarkStart w:id="3" w:name="_Toc261444442"/>
      <w:r>
        <w:t xml:space="preserve">3.1.3 </w:t>
      </w:r>
      <w:r>
        <w:tab/>
        <w:t>Use of Firm Transmission Service by the Transmission Owner(s):</w:t>
      </w:r>
      <w:bookmarkEnd w:id="3"/>
      <w:r>
        <w:t xml:space="preserve">   </w:t>
      </w:r>
    </w:p>
    <w:p w:rsidR="00BB1090" w:rsidRDefault="000665F4">
      <w:pPr>
        <w:pStyle w:val="Bodypara"/>
      </w:pPr>
      <w:r>
        <w:t>The Transmission Owner will be subject to the rates, terms and conditions of Part 3 of the Tariff when making Third-Party Sales under (i) agreements ex</w:t>
      </w:r>
      <w:r>
        <w:t>ecuted on or after the effective date of ISO, or (ii) agreements executed prior to the aforementioned date that the Commission requires to be unbundled, by the date specified by the Commission.  The Transmission Owners will maintain separate accounting, pu</w:t>
      </w:r>
      <w:r>
        <w:t>rsuant to Section 2.8, for any use of the Point-To-Point Transmission Service to make Third-Party Sales.</w:t>
      </w:r>
    </w:p>
    <w:p w:rsidR="00BB1090" w:rsidRDefault="000665F4">
      <w:pPr>
        <w:pStyle w:val="Heading3"/>
      </w:pPr>
      <w:bookmarkStart w:id="4" w:name="_Toc261444443"/>
      <w:r>
        <w:t>3.1.4</w:t>
      </w:r>
      <w:r>
        <w:tab/>
        <w:t>Service Agreements:</w:t>
      </w:r>
      <w:bookmarkEnd w:id="4"/>
      <w:r>
        <w:t xml:space="preserve">  </w:t>
      </w:r>
    </w:p>
    <w:p w:rsidR="00BB1090" w:rsidRDefault="000665F4">
      <w:pPr>
        <w:pStyle w:val="Bodypara"/>
      </w:pPr>
      <w:r>
        <w:t>The ISO shall offer a standard form Firm Point-To-Point Transmission Service Agreement (Attachment A) to an Eligible Custom</w:t>
      </w:r>
      <w:r>
        <w:t>er when it submits a Completed Application for Firm Point-To-Point Transmission Service.  Executed Service Agreements that contain the information required under this Tariff shall be filed with the Commission in compliance with applicable Commission regula</w:t>
      </w:r>
      <w:r>
        <w:t>tions.</w:t>
      </w:r>
    </w:p>
    <w:p w:rsidR="00BB1090" w:rsidRPr="009D3014" w:rsidRDefault="000665F4">
      <w:pPr>
        <w:pStyle w:val="Heading3"/>
      </w:pPr>
      <w:bookmarkStart w:id="5" w:name="_Toc261444444"/>
      <w:r w:rsidRPr="00D94938">
        <w:rPr>
          <w:rStyle w:val="Heading3Char"/>
          <w:b/>
        </w:rPr>
        <w:lastRenderedPageBreak/>
        <w:t>3.1.5</w:t>
      </w:r>
      <w:r w:rsidRPr="00D94938">
        <w:rPr>
          <w:rStyle w:val="Heading3Char"/>
          <w:b/>
        </w:rPr>
        <w:tab/>
        <w:t xml:space="preserve">Transmission Customer Obligation for Facility Additions or Redispatch </w:t>
      </w:r>
      <w:r w:rsidRPr="00D94938">
        <w:t>Cost:</w:t>
      </w:r>
      <w:bookmarkEnd w:id="5"/>
      <w:r w:rsidRPr="00D94938">
        <w:t xml:space="preserve"> </w:t>
      </w:r>
    </w:p>
    <w:p w:rsidR="00BB1090" w:rsidRDefault="000665F4">
      <w:pPr>
        <w:pStyle w:val="Bodypara"/>
      </w:pPr>
      <w:r>
        <w:t>The ISO continuously redispatches all resources subject to its control in order to meet Load and to accommodate requests for a Firm Transmission Service through the u</w:t>
      </w:r>
      <w:r>
        <w:t>se of SCUC</w:t>
      </w:r>
      <w:r>
        <w:rPr>
          <w:i/>
          <w:iCs/>
        </w:rPr>
        <w:t xml:space="preserve">, </w:t>
      </w:r>
      <w:r>
        <w:t>RTC</w:t>
      </w:r>
      <w:r>
        <w:rPr>
          <w:i/>
          <w:iCs/>
        </w:rPr>
        <w:t>,</w:t>
      </w:r>
      <w:r>
        <w:t xml:space="preserve"> and RTD.  Firm Point-To-Point Transmission Customers are charged for these redispatch costs in accordance with Attachment J.  Transmission Owner(s) will be obligated to expand or upgrade its Transmission System pursuant to the terms of Sec</w:t>
      </w:r>
      <w:r>
        <w:t>tion 3.7.  The Transmission Customer or Eligible Customer must agree to compensate the Transmission Owner(s) for any necessary transmission facility additions pursuant to Section 3.7.</w:t>
      </w:r>
    </w:p>
    <w:p w:rsidR="00BB1090" w:rsidRPr="009D3014" w:rsidRDefault="000665F4">
      <w:pPr>
        <w:pStyle w:val="Heading3"/>
        <w:rPr>
          <w:rStyle w:val="Heading3Char"/>
          <w:b/>
        </w:rPr>
      </w:pPr>
      <w:bookmarkStart w:id="6" w:name="_Toc261444445"/>
      <w:r w:rsidRPr="00D94938">
        <w:rPr>
          <w:rStyle w:val="Heading3Char"/>
          <w:b/>
        </w:rPr>
        <w:t>3.1.6</w:t>
      </w:r>
      <w:r w:rsidRPr="00D94938">
        <w:rPr>
          <w:rStyle w:val="Heading3Char"/>
          <w:b/>
        </w:rPr>
        <w:tab/>
        <w:t>Curtailment of Firm Transmission Service:</w:t>
      </w:r>
      <w:bookmarkEnd w:id="6"/>
      <w:r w:rsidRPr="00D94938">
        <w:rPr>
          <w:rStyle w:val="Heading3Char"/>
          <w:b/>
        </w:rPr>
        <w:t xml:space="preserve">  </w:t>
      </w:r>
    </w:p>
    <w:p w:rsidR="00BB1090" w:rsidRDefault="000665F4">
      <w:pPr>
        <w:pStyle w:val="Bodypara"/>
        <w:rPr>
          <w:u w:val="double"/>
        </w:rPr>
      </w:pPr>
      <w:r>
        <w:t>In the event that a Cu</w:t>
      </w:r>
      <w:r>
        <w:t>rtailment on the NYS Transmission System, or a portion thereof, is required to maintain reliable operation of such system, Curtailments will be made on a non</w:t>
      </w:r>
      <w:r>
        <w:noBreakHyphen/>
        <w:t>discriminatory basis to the Transaction(s) that effectively relieve the Constraint.  When applicab</w:t>
      </w:r>
      <w:r>
        <w:t>le, the ISO will follow the Lake Erie Emergency Redispatch (“LEER”) Procedure filed on February 26, 1999, in Docket No. EL99</w:t>
      </w:r>
      <w:r>
        <w:noBreakHyphen/>
        <w:t>52</w:t>
      </w:r>
      <w:r>
        <w:noBreakHyphen/>
        <w:t>000 which is incorporated by reference herein. The LEER Procedure is intended to prevent the necessity of implementing the Curta</w:t>
      </w:r>
      <w:r>
        <w:t xml:space="preserve">ilment procedures contained in the Commission and NERC tariffs and policies.  To the extent possible, Curtailments of External Transactions at the Proxy Generator Buses associated with the Cross-Sound Scheduled Line, the Neptune Scheduled Line, the Linden </w:t>
      </w:r>
      <w:r>
        <w:t xml:space="preserve">VFT Scheduled Line, or the HTP Scheduled Line shall be based on the transmission priority of the associated Advance Reservation for use of the Cross-Sound Scheduled Line, the Neptune Scheduled Line, the Linden VFT Scheduled Line, or the HTP Scheduled Line </w:t>
      </w:r>
      <w:r>
        <w:t xml:space="preserve">(as appropriate).  The ISO reserves the right to Curtail Firm Transmission Service provided under this Tariff for reliability reasons, in whole or in part, when, in the ISO’s sole discretion, an Emergency or other unforeseen condition threatens </w:t>
      </w:r>
      <w:r>
        <w:lastRenderedPageBreak/>
        <w:t xml:space="preserve">to or does </w:t>
      </w:r>
      <w:r>
        <w:t>impair or degrade the reliability of the NYS Power System.  The ISO will notify all affected Transmission Customers in a timely manner of any scheduled Curtailments.  If the ISO declares a Major Emergency State, Transmission Customers shall comply with all</w:t>
      </w:r>
      <w:r>
        <w:t xml:space="preserve"> directions issued by the ISO concerning the avoidance, management, and alleviation of the Major Emergency and shall comply with all procedures concerning a Major Emergency set forth in the ISO Procedures and the Reliability Rules.  If the ISO is required </w:t>
      </w:r>
      <w:r>
        <w:t xml:space="preserve">to Curtail Transmission Service as a result of a Transmission Loading Relief (“TLR”) event, the ISO will perform such Curtailment in accordance with the NERC TLR Procedure.  </w:t>
      </w:r>
    </w:p>
    <w:p w:rsidR="00BB1090" w:rsidRDefault="000665F4">
      <w:pPr>
        <w:pStyle w:val="Heading3"/>
      </w:pPr>
      <w:bookmarkStart w:id="7" w:name="_Toc261444446"/>
      <w:r>
        <w:t>3.1.7</w:t>
      </w:r>
      <w:r>
        <w:tab/>
        <w:t>Classification of Firm Transmission Service:</w:t>
      </w:r>
      <w:bookmarkEnd w:id="7"/>
      <w:r>
        <w:t xml:space="preserve">  </w:t>
      </w:r>
    </w:p>
    <w:p w:rsidR="00BB1090" w:rsidRDefault="000665F4">
      <w:pPr>
        <w:pStyle w:val="romannumeralpara"/>
      </w:pPr>
      <w:r>
        <w:t>3.1.7.1</w:t>
      </w:r>
      <w:r>
        <w:tab/>
      </w:r>
      <w:r>
        <w:tab/>
        <w:t>The Transmission Cu</w:t>
      </w:r>
      <w:r>
        <w:t>stomer taking Firm Point-To-Point Transmission Service may request a modification of the Points of Receipt or Delivery pursuant to the terms of Section 3.15.</w:t>
      </w:r>
      <w:r>
        <w:tab/>
      </w:r>
      <w:r>
        <w:tab/>
      </w:r>
    </w:p>
    <w:p w:rsidR="00BB1090" w:rsidRDefault="000665F4">
      <w:pPr>
        <w:pStyle w:val="romannumeralpara"/>
      </w:pPr>
      <w:r>
        <w:t>3.1.7.2</w:t>
      </w:r>
      <w:r>
        <w:tab/>
      </w:r>
      <w:r>
        <w:tab/>
        <w:t>The ISO shall provide firm Transmission Service for the delivery of Energy from the Poi</w:t>
      </w:r>
      <w:r>
        <w:t>nt(s) of Receipt to the Point(s) of Delivery.  Each Point of Receipt shall be set forth in the Firm Point-To-Point Service schedule submitted by the Transmission Customer.</w:t>
      </w:r>
    </w:p>
    <w:p w:rsidR="00BB1090" w:rsidRDefault="000665F4">
      <w:pPr>
        <w:pStyle w:val="Heading3"/>
      </w:pPr>
      <w:bookmarkStart w:id="8" w:name="_Toc261444447"/>
      <w:r>
        <w:t>3.1.8</w:t>
      </w:r>
      <w:r>
        <w:tab/>
        <w:t>Scheduling of Firm Point-To-Point Transmission Service:</w:t>
      </w:r>
      <w:bookmarkEnd w:id="8"/>
      <w:r>
        <w:t xml:space="preserve"> </w:t>
      </w:r>
    </w:p>
    <w:p w:rsidR="00BB1090" w:rsidRDefault="000665F4">
      <w:pPr>
        <w:pStyle w:val="romannumeralpara"/>
        <w:rPr>
          <w:sz w:val="20"/>
        </w:rPr>
      </w:pPr>
      <w:r>
        <w:rPr>
          <w:b/>
        </w:rPr>
        <w:t>3.1.8.1</w:t>
      </w:r>
      <w:r>
        <w:rPr>
          <w:b/>
        </w:rPr>
        <w:tab/>
      </w:r>
      <w:r>
        <w:rPr>
          <w:bCs/>
        </w:rPr>
        <w:tab/>
      </w:r>
      <w:r>
        <w:rPr>
          <w:b/>
        </w:rPr>
        <w:t>In the Day-A</w:t>
      </w:r>
      <w:r>
        <w:rPr>
          <w:b/>
        </w:rPr>
        <w:t>head Market:</w:t>
      </w:r>
      <w:r>
        <w:t xml:space="preserve">  Schedules for the Transmission Customer’s Firm Point-to-Point Transmission Service Day-Ahead must be submitted to the ISO no later than 5:00 a.m. of the day prior to commencement of the Dispatch Day or 4:50 a.m. for Transmission Service over </w:t>
      </w:r>
      <w:r>
        <w:t>the</w:t>
      </w:r>
      <w:r>
        <w:rPr>
          <w:bCs/>
        </w:rPr>
        <w:t xml:space="preserve"> Cross-Sound Scheduled Line, the Neptune Scheduled Line, the Linden VFT Scheduled Line, or </w:t>
      </w:r>
      <w:r>
        <w:t>the HTP Scheduled Line.</w:t>
      </w:r>
      <w:r>
        <w:rPr>
          <w:sz w:val="20"/>
        </w:rPr>
        <w:t xml:space="preserve"> </w:t>
      </w:r>
      <w:r>
        <w:t xml:space="preserve"> Schedules involving the use of LIPA’s facilities shall be treated in accordance with Section 2.5.7.  Schedules submitted after 5:00 a.m.,</w:t>
      </w:r>
      <w:r>
        <w:t xml:space="preserve"> or 4:50 a.m. as appropriate,  will not be accepted in the Day-Ahead schedule.  Schedules of Energy to be delivered must be stated in increments of 1,000 kWh per hour between each Point of Receipt and corresponding Point of Delivery.    For Firm Transmissi</w:t>
      </w:r>
      <w:r>
        <w:t>on Service requests between a Point of Receipt and Point of Delivery that are internal to the NYCA, and between a Point of Receipt at the Proxy Generator Bus designated for Imports and a Point of Delivery that is a Load Bus internal to the NYCA, the ISO wi</w:t>
      </w:r>
      <w:r>
        <w:t xml:space="preserve">ll furnish to the Transmission Customer hour-to-hour schedules equal to those requested and shall deliver the Energy provided by such schedules.  Energy shall be provided from the Point of Receipt if economic, and from the LBMP Market otherwise.  For Firm </w:t>
      </w:r>
      <w:r>
        <w:t xml:space="preserve">Transmission Service requests between a Point of Delivery at the Proxy Generator Bus designated for Exports and a Point of Receipt that is a Generator Bus internal to the NYCA the ISO will furnish to the Transmission Customer, hour-to-hour schedules equal </w:t>
      </w:r>
      <w:r>
        <w:t>to the Export Transaction schedule and shall deliver the Energy provided by such schedules. For Firm Transmission Service requests between a Point of Receipt at the Proxy Generator Bus designated for Imports and a Point of Delivery at the Proxy Generator B</w:t>
      </w:r>
      <w:r>
        <w:t xml:space="preserve">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Transmission Customer revise or termina</w:t>
      </w:r>
      <w:r>
        <w:t xml:space="preserve">te any schedule, such party shall notify the ISO prior to the close of the Real-Time Scheduling Window, and the ISO shall have the right to adjust accordingly the schedule for Energy to be received and to be delivered. </w:t>
      </w:r>
    </w:p>
    <w:p w:rsidR="00BB1090" w:rsidRDefault="000665F4">
      <w:pPr>
        <w:pStyle w:val="romannumeralpara"/>
      </w:pPr>
      <w:r>
        <w:rPr>
          <w:b/>
        </w:rPr>
        <w:t>3.1.8.2</w:t>
      </w:r>
      <w:r>
        <w:rPr>
          <w:b/>
        </w:rPr>
        <w:tab/>
      </w:r>
      <w:r>
        <w:tab/>
      </w:r>
      <w:r>
        <w:rPr>
          <w:b/>
        </w:rPr>
        <w:t>In the Real-Time Market:</w:t>
      </w:r>
      <w:r>
        <w:t xml:space="preserve">  S</w:t>
      </w:r>
      <w:r>
        <w:t xml:space="preserve">chedules for the Transmission Customer’s Firm Point-to-Point Transmission Service in Real-Time must be submitted to the ISO no later than the close of the Real-Time Scheduling Window.  </w:t>
      </w:r>
    </w:p>
    <w:p w:rsidR="00BB1090" w:rsidRDefault="000665F4">
      <w:pPr>
        <w:pStyle w:val="romannumeralpara"/>
        <w:ind w:firstLine="720"/>
      </w:pPr>
      <w:r>
        <w:t>Schedules involving the use of LIPA’s facilities shall be treated in a</w:t>
      </w:r>
      <w:r>
        <w:t>ccordance with Section 2.5.7.  Schedules submitted after the close of the Real-Time Scheduling Window shall not be accepted in the Real-Time schedule.  Schedules of any Energy that is to be delivered must be stated in increments of 1,000 kWh per hour betwe</w:t>
      </w:r>
      <w:r>
        <w:t>en each Point of Receipt and corresponding Point of Delivery. For Firm Transmission Service requests between a Point of Receipt and Point of Delivery that are internal to the NYCA, or between a Point of Receipt at the Proxy Generator Bus designated for Imp</w:t>
      </w:r>
      <w:r>
        <w:t>orts and a Point of Delivery that is a Load Bus internal to the NYCA, the ISO will furnish to the Transmission Customer schedules equal to those requested and shall deliver the Energy provided by such schedules. Energy shall be provided from the Point of R</w:t>
      </w:r>
      <w:r>
        <w:t>eceipt if economic, and from the LBMP Market otherwise. For Firm Transmission Service requests between a Point of Delivery at the Proxy Generator Bus designated for Exports and a Point of Receipt that is a Generator Bus internal to the NYCA, the ISO will f</w:t>
      </w:r>
      <w:r>
        <w:t>urnish to the Transmission Customer schedules equal to the Export Transaction schedule and shall deliver the Energy provided by such schedules. For Firm Transmission Service requests between a Point of Receipt at the Proxy Generator Bus designated for Impo</w:t>
      </w:r>
      <w:r>
        <w:t xml:space="preserve">rts and a Point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w:t>
      </w:r>
      <w:r>
        <w:t xml:space="preserve"> Should the Transmission Customer revise or terminate any schedule, such party shall notify the ISO prior to the close of the Real-Time Scheduling Window and the ISO shall have the right to adjust accordingly the schedule for Energy to be received and to b</w:t>
      </w:r>
      <w:r>
        <w:t>e delivered.</w:t>
      </w:r>
    </w:p>
    <w:p w:rsidR="00BB1090" w:rsidRDefault="000665F4">
      <w:pPr>
        <w:pStyle w:val="Heading2"/>
      </w:pPr>
    </w:p>
    <w:sectPr w:rsidR="00BB1090" w:rsidSect="00545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0E" w:rsidRDefault="0080060E" w:rsidP="0080060E">
      <w:r>
        <w:separator/>
      </w:r>
    </w:p>
  </w:endnote>
  <w:endnote w:type="continuationSeparator" w:id="0">
    <w:p w:rsidR="0080060E" w:rsidRDefault="0080060E" w:rsidP="00800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80060E">
      <w:rPr>
        <w:rFonts w:ascii="Arial" w:eastAsia="Arial" w:hAnsi="Arial" w:cs="Arial"/>
        <w:color w:val="000000"/>
        <w:sz w:val="16"/>
      </w:rPr>
      <w:fldChar w:fldCharType="begin"/>
    </w:r>
    <w:r>
      <w:rPr>
        <w:rFonts w:ascii="Arial" w:eastAsia="Arial" w:hAnsi="Arial" w:cs="Arial"/>
        <w:color w:val="000000"/>
        <w:sz w:val="16"/>
      </w:rPr>
      <w:instrText>PAGE</w:instrText>
    </w:r>
    <w:r w:rsidR="008006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8006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06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jc w:val="right"/>
      <w:rPr>
        <w:rFonts w:ascii="Arial" w:eastAsia="Arial" w:hAnsi="Arial" w:cs="Arial"/>
        <w:color w:val="000000"/>
        <w:sz w:val="16"/>
      </w:rPr>
    </w:pPr>
    <w:r>
      <w:rPr>
        <w:rFonts w:ascii="Arial" w:eastAsia="Arial" w:hAnsi="Arial" w:cs="Arial"/>
        <w:color w:val="000000"/>
        <w:sz w:val="16"/>
      </w:rPr>
      <w:t>Effective Date: 10/22/</w:t>
    </w:r>
    <w:r>
      <w:rPr>
        <w:rFonts w:ascii="Arial" w:eastAsia="Arial" w:hAnsi="Arial" w:cs="Arial"/>
        <w:color w:val="000000"/>
        <w:sz w:val="16"/>
      </w:rPr>
      <w:t xml:space="preserve">2014 - Docket #: ER12-701-002 - Page </w:t>
    </w:r>
    <w:r w:rsidR="0080060E">
      <w:rPr>
        <w:rFonts w:ascii="Arial" w:eastAsia="Arial" w:hAnsi="Arial" w:cs="Arial"/>
        <w:color w:val="000000"/>
        <w:sz w:val="16"/>
      </w:rPr>
      <w:fldChar w:fldCharType="begin"/>
    </w:r>
    <w:r>
      <w:rPr>
        <w:rFonts w:ascii="Arial" w:eastAsia="Arial" w:hAnsi="Arial" w:cs="Arial"/>
        <w:color w:val="000000"/>
        <w:sz w:val="16"/>
      </w:rPr>
      <w:instrText>PAGE</w:instrText>
    </w:r>
    <w:r w:rsidR="008006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0E" w:rsidRDefault="0080060E" w:rsidP="0080060E">
      <w:r>
        <w:separator/>
      </w:r>
    </w:p>
  </w:footnote>
  <w:footnote w:type="continuationSeparator" w:id="0">
    <w:p w:rsidR="0080060E" w:rsidRDefault="0080060E" w:rsidP="00800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0E" w:rsidRDefault="000665F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98E80B0">
      <w:start w:val="1"/>
      <w:numFmt w:val="bullet"/>
      <w:pStyle w:val="Bulletpara"/>
      <w:lvlText w:val=""/>
      <w:lvlJc w:val="left"/>
      <w:pPr>
        <w:tabs>
          <w:tab w:val="num" w:pos="720"/>
        </w:tabs>
        <w:ind w:left="720" w:hanging="360"/>
      </w:pPr>
      <w:rPr>
        <w:rFonts w:ascii="Symbol" w:hAnsi="Symbol" w:hint="default"/>
      </w:rPr>
    </w:lvl>
    <w:lvl w:ilvl="1" w:tplc="541AC244" w:tentative="1">
      <w:start w:val="1"/>
      <w:numFmt w:val="bullet"/>
      <w:lvlText w:val="o"/>
      <w:lvlJc w:val="left"/>
      <w:pPr>
        <w:tabs>
          <w:tab w:val="num" w:pos="1440"/>
        </w:tabs>
        <w:ind w:left="1440" w:hanging="360"/>
      </w:pPr>
      <w:rPr>
        <w:rFonts w:ascii="Courier New" w:hAnsi="Courier New" w:cs="Courier New" w:hint="default"/>
      </w:rPr>
    </w:lvl>
    <w:lvl w:ilvl="2" w:tplc="4C34E002" w:tentative="1">
      <w:start w:val="1"/>
      <w:numFmt w:val="bullet"/>
      <w:lvlText w:val=""/>
      <w:lvlJc w:val="left"/>
      <w:pPr>
        <w:tabs>
          <w:tab w:val="num" w:pos="2160"/>
        </w:tabs>
        <w:ind w:left="2160" w:hanging="360"/>
      </w:pPr>
      <w:rPr>
        <w:rFonts w:ascii="Wingdings" w:hAnsi="Wingdings" w:hint="default"/>
      </w:rPr>
    </w:lvl>
    <w:lvl w:ilvl="3" w:tplc="53CC4DDA" w:tentative="1">
      <w:start w:val="1"/>
      <w:numFmt w:val="bullet"/>
      <w:lvlText w:val=""/>
      <w:lvlJc w:val="left"/>
      <w:pPr>
        <w:tabs>
          <w:tab w:val="num" w:pos="2880"/>
        </w:tabs>
        <w:ind w:left="2880" w:hanging="360"/>
      </w:pPr>
      <w:rPr>
        <w:rFonts w:ascii="Symbol" w:hAnsi="Symbol" w:hint="default"/>
      </w:rPr>
    </w:lvl>
    <w:lvl w:ilvl="4" w:tplc="24729818" w:tentative="1">
      <w:start w:val="1"/>
      <w:numFmt w:val="bullet"/>
      <w:lvlText w:val="o"/>
      <w:lvlJc w:val="left"/>
      <w:pPr>
        <w:tabs>
          <w:tab w:val="num" w:pos="3600"/>
        </w:tabs>
        <w:ind w:left="3600" w:hanging="360"/>
      </w:pPr>
      <w:rPr>
        <w:rFonts w:ascii="Courier New" w:hAnsi="Courier New" w:cs="Courier New" w:hint="default"/>
      </w:rPr>
    </w:lvl>
    <w:lvl w:ilvl="5" w:tplc="56E02476" w:tentative="1">
      <w:start w:val="1"/>
      <w:numFmt w:val="bullet"/>
      <w:lvlText w:val=""/>
      <w:lvlJc w:val="left"/>
      <w:pPr>
        <w:tabs>
          <w:tab w:val="num" w:pos="4320"/>
        </w:tabs>
        <w:ind w:left="4320" w:hanging="360"/>
      </w:pPr>
      <w:rPr>
        <w:rFonts w:ascii="Wingdings" w:hAnsi="Wingdings" w:hint="default"/>
      </w:rPr>
    </w:lvl>
    <w:lvl w:ilvl="6" w:tplc="209EA3FC" w:tentative="1">
      <w:start w:val="1"/>
      <w:numFmt w:val="bullet"/>
      <w:lvlText w:val=""/>
      <w:lvlJc w:val="left"/>
      <w:pPr>
        <w:tabs>
          <w:tab w:val="num" w:pos="5040"/>
        </w:tabs>
        <w:ind w:left="5040" w:hanging="360"/>
      </w:pPr>
      <w:rPr>
        <w:rFonts w:ascii="Symbol" w:hAnsi="Symbol" w:hint="default"/>
      </w:rPr>
    </w:lvl>
    <w:lvl w:ilvl="7" w:tplc="83909F7A" w:tentative="1">
      <w:start w:val="1"/>
      <w:numFmt w:val="bullet"/>
      <w:lvlText w:val="o"/>
      <w:lvlJc w:val="left"/>
      <w:pPr>
        <w:tabs>
          <w:tab w:val="num" w:pos="5760"/>
        </w:tabs>
        <w:ind w:left="5760" w:hanging="360"/>
      </w:pPr>
      <w:rPr>
        <w:rFonts w:ascii="Courier New" w:hAnsi="Courier New" w:cs="Courier New" w:hint="default"/>
      </w:rPr>
    </w:lvl>
    <w:lvl w:ilvl="8" w:tplc="BC6C010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A467386">
      <w:start w:val="1"/>
      <w:numFmt w:val="bullet"/>
      <w:lvlText w:val="­"/>
      <w:lvlJc w:val="left"/>
      <w:pPr>
        <w:tabs>
          <w:tab w:val="num" w:pos="720"/>
        </w:tabs>
        <w:ind w:left="720" w:hanging="360"/>
      </w:pPr>
      <w:rPr>
        <w:rFonts w:ascii="Courier New" w:hAnsi="Courier New" w:hint="default"/>
      </w:rPr>
    </w:lvl>
    <w:lvl w:ilvl="1" w:tplc="6A8CE470" w:tentative="1">
      <w:start w:val="1"/>
      <w:numFmt w:val="bullet"/>
      <w:lvlText w:val="o"/>
      <w:lvlJc w:val="left"/>
      <w:pPr>
        <w:tabs>
          <w:tab w:val="num" w:pos="1440"/>
        </w:tabs>
        <w:ind w:left="1440" w:hanging="360"/>
      </w:pPr>
      <w:rPr>
        <w:rFonts w:ascii="Courier New" w:hAnsi="Courier New" w:cs="Courier New" w:hint="default"/>
      </w:rPr>
    </w:lvl>
    <w:lvl w:ilvl="2" w:tplc="1ED09828" w:tentative="1">
      <w:start w:val="1"/>
      <w:numFmt w:val="bullet"/>
      <w:lvlText w:val=""/>
      <w:lvlJc w:val="left"/>
      <w:pPr>
        <w:tabs>
          <w:tab w:val="num" w:pos="2160"/>
        </w:tabs>
        <w:ind w:left="2160" w:hanging="360"/>
      </w:pPr>
      <w:rPr>
        <w:rFonts w:ascii="Wingdings" w:hAnsi="Wingdings" w:hint="default"/>
      </w:rPr>
    </w:lvl>
    <w:lvl w:ilvl="3" w:tplc="C43CC4E8" w:tentative="1">
      <w:start w:val="1"/>
      <w:numFmt w:val="bullet"/>
      <w:lvlText w:val=""/>
      <w:lvlJc w:val="left"/>
      <w:pPr>
        <w:tabs>
          <w:tab w:val="num" w:pos="2880"/>
        </w:tabs>
        <w:ind w:left="2880" w:hanging="360"/>
      </w:pPr>
      <w:rPr>
        <w:rFonts w:ascii="Symbol" w:hAnsi="Symbol" w:hint="default"/>
      </w:rPr>
    </w:lvl>
    <w:lvl w:ilvl="4" w:tplc="7FB4A3C0" w:tentative="1">
      <w:start w:val="1"/>
      <w:numFmt w:val="bullet"/>
      <w:lvlText w:val="o"/>
      <w:lvlJc w:val="left"/>
      <w:pPr>
        <w:tabs>
          <w:tab w:val="num" w:pos="3600"/>
        </w:tabs>
        <w:ind w:left="3600" w:hanging="360"/>
      </w:pPr>
      <w:rPr>
        <w:rFonts w:ascii="Courier New" w:hAnsi="Courier New" w:cs="Courier New" w:hint="default"/>
      </w:rPr>
    </w:lvl>
    <w:lvl w:ilvl="5" w:tplc="6E460580" w:tentative="1">
      <w:start w:val="1"/>
      <w:numFmt w:val="bullet"/>
      <w:lvlText w:val=""/>
      <w:lvlJc w:val="left"/>
      <w:pPr>
        <w:tabs>
          <w:tab w:val="num" w:pos="4320"/>
        </w:tabs>
        <w:ind w:left="4320" w:hanging="360"/>
      </w:pPr>
      <w:rPr>
        <w:rFonts w:ascii="Wingdings" w:hAnsi="Wingdings" w:hint="default"/>
      </w:rPr>
    </w:lvl>
    <w:lvl w:ilvl="6" w:tplc="48AC4C3E" w:tentative="1">
      <w:start w:val="1"/>
      <w:numFmt w:val="bullet"/>
      <w:lvlText w:val=""/>
      <w:lvlJc w:val="left"/>
      <w:pPr>
        <w:tabs>
          <w:tab w:val="num" w:pos="5040"/>
        </w:tabs>
        <w:ind w:left="5040" w:hanging="360"/>
      </w:pPr>
      <w:rPr>
        <w:rFonts w:ascii="Symbol" w:hAnsi="Symbol" w:hint="default"/>
      </w:rPr>
    </w:lvl>
    <w:lvl w:ilvl="7" w:tplc="64D46FD0" w:tentative="1">
      <w:start w:val="1"/>
      <w:numFmt w:val="bullet"/>
      <w:lvlText w:val="o"/>
      <w:lvlJc w:val="left"/>
      <w:pPr>
        <w:tabs>
          <w:tab w:val="num" w:pos="5760"/>
        </w:tabs>
        <w:ind w:left="5760" w:hanging="360"/>
      </w:pPr>
      <w:rPr>
        <w:rFonts w:ascii="Courier New" w:hAnsi="Courier New" w:cs="Courier New" w:hint="default"/>
      </w:rPr>
    </w:lvl>
    <w:lvl w:ilvl="8" w:tplc="FFBC52C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092C080">
      <w:start w:val="1"/>
      <w:numFmt w:val="lowerRoman"/>
      <w:lvlText w:val="(%1)"/>
      <w:lvlJc w:val="left"/>
      <w:pPr>
        <w:tabs>
          <w:tab w:val="num" w:pos="2448"/>
        </w:tabs>
        <w:ind w:left="2448" w:hanging="648"/>
      </w:pPr>
      <w:rPr>
        <w:rFonts w:hint="default"/>
        <w:b w:val="0"/>
        <w:i w:val="0"/>
        <w:u w:val="none"/>
      </w:rPr>
    </w:lvl>
    <w:lvl w:ilvl="1" w:tplc="A32088F0" w:tentative="1">
      <w:start w:val="1"/>
      <w:numFmt w:val="lowerLetter"/>
      <w:lvlText w:val="%2."/>
      <w:lvlJc w:val="left"/>
      <w:pPr>
        <w:tabs>
          <w:tab w:val="num" w:pos="1440"/>
        </w:tabs>
        <w:ind w:left="1440" w:hanging="360"/>
      </w:pPr>
    </w:lvl>
    <w:lvl w:ilvl="2" w:tplc="D3C018E6" w:tentative="1">
      <w:start w:val="1"/>
      <w:numFmt w:val="lowerRoman"/>
      <w:lvlText w:val="%3."/>
      <w:lvlJc w:val="right"/>
      <w:pPr>
        <w:tabs>
          <w:tab w:val="num" w:pos="2160"/>
        </w:tabs>
        <w:ind w:left="2160" w:hanging="180"/>
      </w:pPr>
    </w:lvl>
    <w:lvl w:ilvl="3" w:tplc="A8C2ABCC" w:tentative="1">
      <w:start w:val="1"/>
      <w:numFmt w:val="decimal"/>
      <w:lvlText w:val="%4."/>
      <w:lvlJc w:val="left"/>
      <w:pPr>
        <w:tabs>
          <w:tab w:val="num" w:pos="2880"/>
        </w:tabs>
        <w:ind w:left="2880" w:hanging="360"/>
      </w:pPr>
    </w:lvl>
    <w:lvl w:ilvl="4" w:tplc="32EE48F2" w:tentative="1">
      <w:start w:val="1"/>
      <w:numFmt w:val="lowerLetter"/>
      <w:lvlText w:val="%5."/>
      <w:lvlJc w:val="left"/>
      <w:pPr>
        <w:tabs>
          <w:tab w:val="num" w:pos="3600"/>
        </w:tabs>
        <w:ind w:left="3600" w:hanging="360"/>
      </w:pPr>
    </w:lvl>
    <w:lvl w:ilvl="5" w:tplc="D10897CC" w:tentative="1">
      <w:start w:val="1"/>
      <w:numFmt w:val="lowerRoman"/>
      <w:lvlText w:val="%6."/>
      <w:lvlJc w:val="right"/>
      <w:pPr>
        <w:tabs>
          <w:tab w:val="num" w:pos="4320"/>
        </w:tabs>
        <w:ind w:left="4320" w:hanging="180"/>
      </w:pPr>
    </w:lvl>
    <w:lvl w:ilvl="6" w:tplc="D0B4147C" w:tentative="1">
      <w:start w:val="1"/>
      <w:numFmt w:val="decimal"/>
      <w:lvlText w:val="%7."/>
      <w:lvlJc w:val="left"/>
      <w:pPr>
        <w:tabs>
          <w:tab w:val="num" w:pos="5040"/>
        </w:tabs>
        <w:ind w:left="5040" w:hanging="360"/>
      </w:pPr>
    </w:lvl>
    <w:lvl w:ilvl="7" w:tplc="33FCAB4E" w:tentative="1">
      <w:start w:val="1"/>
      <w:numFmt w:val="lowerLetter"/>
      <w:lvlText w:val="%8."/>
      <w:lvlJc w:val="left"/>
      <w:pPr>
        <w:tabs>
          <w:tab w:val="num" w:pos="5760"/>
        </w:tabs>
        <w:ind w:left="5760" w:hanging="360"/>
      </w:pPr>
    </w:lvl>
    <w:lvl w:ilvl="8" w:tplc="7F0E9DB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AB4103E">
      <w:start w:val="1"/>
      <w:numFmt w:val="bullet"/>
      <w:lvlText w:val=""/>
      <w:lvlJc w:val="left"/>
      <w:pPr>
        <w:tabs>
          <w:tab w:val="num" w:pos="5760"/>
        </w:tabs>
        <w:ind w:left="5760" w:hanging="360"/>
      </w:pPr>
      <w:rPr>
        <w:rFonts w:ascii="Symbol" w:hAnsi="Symbol" w:hint="default"/>
        <w:color w:val="auto"/>
        <w:u w:val="none"/>
      </w:rPr>
    </w:lvl>
    <w:lvl w:ilvl="1" w:tplc="8A427AFE" w:tentative="1">
      <w:start w:val="1"/>
      <w:numFmt w:val="bullet"/>
      <w:lvlText w:val="o"/>
      <w:lvlJc w:val="left"/>
      <w:pPr>
        <w:tabs>
          <w:tab w:val="num" w:pos="3600"/>
        </w:tabs>
        <w:ind w:left="3600" w:hanging="360"/>
      </w:pPr>
      <w:rPr>
        <w:rFonts w:ascii="Courier New" w:hAnsi="Courier New" w:hint="default"/>
      </w:rPr>
    </w:lvl>
    <w:lvl w:ilvl="2" w:tplc="E7649208" w:tentative="1">
      <w:start w:val="1"/>
      <w:numFmt w:val="bullet"/>
      <w:lvlText w:val=""/>
      <w:lvlJc w:val="left"/>
      <w:pPr>
        <w:tabs>
          <w:tab w:val="num" w:pos="4320"/>
        </w:tabs>
        <w:ind w:left="4320" w:hanging="360"/>
      </w:pPr>
      <w:rPr>
        <w:rFonts w:ascii="Wingdings" w:hAnsi="Wingdings" w:hint="default"/>
      </w:rPr>
    </w:lvl>
    <w:lvl w:ilvl="3" w:tplc="E7DA361C">
      <w:start w:val="1"/>
      <w:numFmt w:val="bullet"/>
      <w:lvlText w:val=""/>
      <w:lvlJc w:val="left"/>
      <w:pPr>
        <w:tabs>
          <w:tab w:val="num" w:pos="5040"/>
        </w:tabs>
        <w:ind w:left="5040" w:hanging="360"/>
      </w:pPr>
      <w:rPr>
        <w:rFonts w:ascii="Symbol" w:hAnsi="Symbol" w:hint="default"/>
      </w:rPr>
    </w:lvl>
    <w:lvl w:ilvl="4" w:tplc="1930C410" w:tentative="1">
      <w:start w:val="1"/>
      <w:numFmt w:val="bullet"/>
      <w:lvlText w:val="o"/>
      <w:lvlJc w:val="left"/>
      <w:pPr>
        <w:tabs>
          <w:tab w:val="num" w:pos="5760"/>
        </w:tabs>
        <w:ind w:left="5760" w:hanging="360"/>
      </w:pPr>
      <w:rPr>
        <w:rFonts w:ascii="Courier New" w:hAnsi="Courier New" w:hint="default"/>
      </w:rPr>
    </w:lvl>
    <w:lvl w:ilvl="5" w:tplc="1298C0E8" w:tentative="1">
      <w:start w:val="1"/>
      <w:numFmt w:val="bullet"/>
      <w:lvlText w:val=""/>
      <w:lvlJc w:val="left"/>
      <w:pPr>
        <w:tabs>
          <w:tab w:val="num" w:pos="6480"/>
        </w:tabs>
        <w:ind w:left="6480" w:hanging="360"/>
      </w:pPr>
      <w:rPr>
        <w:rFonts w:ascii="Wingdings" w:hAnsi="Wingdings" w:hint="default"/>
      </w:rPr>
    </w:lvl>
    <w:lvl w:ilvl="6" w:tplc="163E870E" w:tentative="1">
      <w:start w:val="1"/>
      <w:numFmt w:val="bullet"/>
      <w:lvlText w:val=""/>
      <w:lvlJc w:val="left"/>
      <w:pPr>
        <w:tabs>
          <w:tab w:val="num" w:pos="7200"/>
        </w:tabs>
        <w:ind w:left="7200" w:hanging="360"/>
      </w:pPr>
      <w:rPr>
        <w:rFonts w:ascii="Symbol" w:hAnsi="Symbol" w:hint="default"/>
      </w:rPr>
    </w:lvl>
    <w:lvl w:ilvl="7" w:tplc="B3F65D2A" w:tentative="1">
      <w:start w:val="1"/>
      <w:numFmt w:val="bullet"/>
      <w:lvlText w:val="o"/>
      <w:lvlJc w:val="left"/>
      <w:pPr>
        <w:tabs>
          <w:tab w:val="num" w:pos="7920"/>
        </w:tabs>
        <w:ind w:left="7920" w:hanging="360"/>
      </w:pPr>
      <w:rPr>
        <w:rFonts w:ascii="Courier New" w:hAnsi="Courier New" w:hint="default"/>
      </w:rPr>
    </w:lvl>
    <w:lvl w:ilvl="8" w:tplc="6CE6543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0060E"/>
    <w:rsid w:val="000665F4"/>
    <w:rsid w:val="00800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C6D"/>
    <w:pPr>
      <w:widowControl w:val="0"/>
    </w:pPr>
    <w:rPr>
      <w:snapToGrid w:val="0"/>
      <w:sz w:val="24"/>
    </w:rPr>
  </w:style>
  <w:style w:type="paragraph" w:styleId="Heading1">
    <w:name w:val="heading 1"/>
    <w:basedOn w:val="Normal"/>
    <w:next w:val="Normal"/>
    <w:link w:val="Heading1Char"/>
    <w:qFormat/>
    <w:rsid w:val="00545C6D"/>
    <w:pPr>
      <w:keepNext/>
      <w:spacing w:before="240" w:after="240"/>
      <w:ind w:left="720" w:hanging="720"/>
      <w:outlineLvl w:val="0"/>
    </w:pPr>
    <w:rPr>
      <w:b/>
    </w:rPr>
  </w:style>
  <w:style w:type="paragraph" w:styleId="Heading2">
    <w:name w:val="heading 2"/>
    <w:basedOn w:val="Normal"/>
    <w:next w:val="Normal"/>
    <w:qFormat/>
    <w:rsid w:val="00545C6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5C6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5C6D"/>
    <w:pPr>
      <w:keepNext/>
      <w:tabs>
        <w:tab w:val="left" w:pos="1800"/>
      </w:tabs>
      <w:spacing w:before="240" w:after="240"/>
      <w:ind w:left="1800" w:hanging="1080"/>
      <w:outlineLvl w:val="3"/>
    </w:pPr>
    <w:rPr>
      <w:b/>
    </w:rPr>
  </w:style>
  <w:style w:type="paragraph" w:styleId="Heading5">
    <w:name w:val="heading 5"/>
    <w:basedOn w:val="Normal"/>
    <w:next w:val="Normal"/>
    <w:qFormat/>
    <w:rsid w:val="00545C6D"/>
    <w:pPr>
      <w:keepNext/>
      <w:spacing w:line="480" w:lineRule="auto"/>
      <w:ind w:left="1440" w:right="-90" w:hanging="720"/>
      <w:outlineLvl w:val="4"/>
    </w:pPr>
    <w:rPr>
      <w:b/>
    </w:rPr>
  </w:style>
  <w:style w:type="paragraph" w:styleId="Heading6">
    <w:name w:val="heading 6"/>
    <w:basedOn w:val="Normal"/>
    <w:next w:val="Normal"/>
    <w:qFormat/>
    <w:rsid w:val="00545C6D"/>
    <w:pPr>
      <w:keepNext/>
      <w:spacing w:line="480" w:lineRule="auto"/>
      <w:ind w:left="1080" w:right="-90" w:hanging="360"/>
      <w:outlineLvl w:val="5"/>
    </w:pPr>
    <w:rPr>
      <w:b/>
    </w:rPr>
  </w:style>
  <w:style w:type="paragraph" w:styleId="Heading7">
    <w:name w:val="heading 7"/>
    <w:basedOn w:val="Normal"/>
    <w:next w:val="Normal"/>
    <w:qFormat/>
    <w:rsid w:val="00545C6D"/>
    <w:pPr>
      <w:keepNext/>
      <w:spacing w:line="480" w:lineRule="auto"/>
      <w:ind w:left="720" w:right="630"/>
      <w:outlineLvl w:val="6"/>
    </w:pPr>
    <w:rPr>
      <w:b/>
    </w:rPr>
  </w:style>
  <w:style w:type="paragraph" w:styleId="Heading8">
    <w:name w:val="heading 8"/>
    <w:basedOn w:val="Normal"/>
    <w:next w:val="Normal"/>
    <w:qFormat/>
    <w:rsid w:val="00545C6D"/>
    <w:pPr>
      <w:keepNext/>
      <w:spacing w:line="480" w:lineRule="auto"/>
      <w:ind w:left="720" w:right="-90"/>
      <w:outlineLvl w:val="7"/>
    </w:pPr>
    <w:rPr>
      <w:b/>
    </w:rPr>
  </w:style>
  <w:style w:type="paragraph" w:styleId="Heading9">
    <w:name w:val="heading 9"/>
    <w:basedOn w:val="Normal"/>
    <w:next w:val="Normal"/>
    <w:qFormat/>
    <w:rsid w:val="00545C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C6D"/>
    <w:rPr>
      <w:b/>
      <w:snapToGrid w:val="0"/>
      <w:sz w:val="24"/>
      <w:lang w:val="en-US" w:eastAsia="en-US" w:bidi="ar-SA"/>
    </w:rPr>
  </w:style>
  <w:style w:type="character" w:customStyle="1" w:styleId="Heading3Char">
    <w:name w:val="Heading 3 Char"/>
    <w:basedOn w:val="DefaultParagraphFont"/>
    <w:link w:val="Heading3"/>
    <w:rsid w:val="00545C6D"/>
    <w:rPr>
      <w:b/>
      <w:snapToGrid w:val="0"/>
      <w:sz w:val="24"/>
      <w:lang w:val="en-US" w:eastAsia="en-US" w:bidi="ar-SA"/>
    </w:rPr>
  </w:style>
  <w:style w:type="character" w:styleId="FootnoteReference">
    <w:name w:val="footnote reference"/>
    <w:semiHidden/>
    <w:rsid w:val="00545C6D"/>
  </w:style>
  <w:style w:type="paragraph" w:customStyle="1" w:styleId="Definition">
    <w:name w:val="Definition"/>
    <w:basedOn w:val="Normal"/>
    <w:rsid w:val="00545C6D"/>
    <w:pPr>
      <w:widowControl/>
      <w:spacing w:before="240" w:after="240"/>
    </w:pPr>
  </w:style>
  <w:style w:type="paragraph" w:customStyle="1" w:styleId="Definitionindent">
    <w:name w:val="Definition indent"/>
    <w:basedOn w:val="Definition"/>
    <w:rsid w:val="00545C6D"/>
    <w:pPr>
      <w:spacing w:before="120" w:after="120"/>
      <w:ind w:left="720"/>
    </w:pPr>
  </w:style>
  <w:style w:type="paragraph" w:customStyle="1" w:styleId="Bodypara">
    <w:name w:val="Body para"/>
    <w:basedOn w:val="Normal"/>
    <w:rsid w:val="00545C6D"/>
    <w:pPr>
      <w:spacing w:line="480" w:lineRule="auto"/>
      <w:ind w:firstLine="720"/>
    </w:pPr>
  </w:style>
  <w:style w:type="paragraph" w:customStyle="1" w:styleId="alphapara">
    <w:name w:val="alpha para"/>
    <w:basedOn w:val="Bodypara"/>
    <w:rsid w:val="00545C6D"/>
    <w:pPr>
      <w:ind w:left="1440" w:hanging="720"/>
    </w:pPr>
  </w:style>
  <w:style w:type="paragraph" w:styleId="Header">
    <w:name w:val="header"/>
    <w:basedOn w:val="Normal"/>
    <w:rsid w:val="00545C6D"/>
    <w:pPr>
      <w:widowControl/>
      <w:tabs>
        <w:tab w:val="center" w:pos="4680"/>
        <w:tab w:val="right" w:pos="9360"/>
      </w:tabs>
    </w:pPr>
    <w:rPr>
      <w:snapToGrid/>
      <w:szCs w:val="24"/>
    </w:rPr>
  </w:style>
  <w:style w:type="paragraph" w:styleId="Date">
    <w:name w:val="Date"/>
    <w:basedOn w:val="Normal"/>
    <w:next w:val="Normal"/>
    <w:rsid w:val="00545C6D"/>
    <w:pPr>
      <w:widowControl/>
    </w:pPr>
  </w:style>
  <w:style w:type="paragraph" w:customStyle="1" w:styleId="TOCheading">
    <w:name w:val="TOC heading"/>
    <w:basedOn w:val="Normal"/>
    <w:rsid w:val="00545C6D"/>
    <w:pPr>
      <w:spacing w:before="240" w:after="240"/>
    </w:pPr>
    <w:rPr>
      <w:b/>
    </w:rPr>
  </w:style>
  <w:style w:type="paragraph" w:styleId="DocumentMap">
    <w:name w:val="Document Map"/>
    <w:basedOn w:val="Normal"/>
    <w:semiHidden/>
    <w:rsid w:val="00545C6D"/>
    <w:pPr>
      <w:shd w:val="clear" w:color="auto" w:fill="000080"/>
    </w:pPr>
    <w:rPr>
      <w:rFonts w:ascii="Tahoma" w:hAnsi="Tahoma" w:cs="Tahoma"/>
      <w:sz w:val="20"/>
    </w:rPr>
  </w:style>
  <w:style w:type="paragraph" w:styleId="BalloonText">
    <w:name w:val="Balloon Text"/>
    <w:basedOn w:val="Normal"/>
    <w:semiHidden/>
    <w:rsid w:val="00545C6D"/>
    <w:rPr>
      <w:rFonts w:ascii="Tahoma" w:hAnsi="Tahoma" w:cs="Tahoma"/>
      <w:sz w:val="16"/>
      <w:szCs w:val="16"/>
    </w:rPr>
  </w:style>
  <w:style w:type="paragraph" w:customStyle="1" w:styleId="Footers">
    <w:name w:val="Footers"/>
    <w:basedOn w:val="Heading1"/>
    <w:rsid w:val="00545C6D"/>
    <w:pPr>
      <w:tabs>
        <w:tab w:val="left" w:pos="1440"/>
        <w:tab w:val="left" w:pos="7020"/>
        <w:tab w:val="right" w:pos="9360"/>
      </w:tabs>
    </w:pPr>
    <w:rPr>
      <w:b w:val="0"/>
      <w:sz w:val="20"/>
    </w:rPr>
  </w:style>
  <w:style w:type="paragraph" w:customStyle="1" w:styleId="subhead">
    <w:name w:val="subhead"/>
    <w:basedOn w:val="Heading4"/>
    <w:rsid w:val="00545C6D"/>
    <w:pPr>
      <w:tabs>
        <w:tab w:val="clear" w:pos="1800"/>
      </w:tabs>
      <w:ind w:left="720" w:firstLine="0"/>
    </w:pPr>
  </w:style>
  <w:style w:type="paragraph" w:customStyle="1" w:styleId="alphaheading">
    <w:name w:val="alpha heading"/>
    <w:basedOn w:val="Normal"/>
    <w:rsid w:val="00545C6D"/>
    <w:pPr>
      <w:keepNext/>
      <w:tabs>
        <w:tab w:val="left" w:pos="1440"/>
      </w:tabs>
      <w:spacing w:before="240" w:after="240"/>
      <w:ind w:left="1440" w:hanging="720"/>
    </w:pPr>
    <w:rPr>
      <w:b/>
      <w:szCs w:val="24"/>
    </w:rPr>
  </w:style>
  <w:style w:type="paragraph" w:customStyle="1" w:styleId="romannumeralpara">
    <w:name w:val="roman numeral para"/>
    <w:basedOn w:val="Normal"/>
    <w:rsid w:val="00545C6D"/>
    <w:pPr>
      <w:spacing w:line="480" w:lineRule="auto"/>
      <w:ind w:left="1440" w:hanging="720"/>
    </w:pPr>
  </w:style>
  <w:style w:type="paragraph" w:customStyle="1" w:styleId="Bulletpara">
    <w:name w:val="Bullet para"/>
    <w:basedOn w:val="Normal"/>
    <w:rsid w:val="00545C6D"/>
    <w:pPr>
      <w:widowControl/>
      <w:numPr>
        <w:numId w:val="10"/>
      </w:numPr>
      <w:tabs>
        <w:tab w:val="left" w:pos="900"/>
      </w:tabs>
      <w:spacing w:before="120" w:after="120"/>
    </w:pPr>
    <w:rPr>
      <w:szCs w:val="24"/>
    </w:rPr>
  </w:style>
  <w:style w:type="paragraph" w:styleId="TOC1">
    <w:name w:val="toc 1"/>
    <w:basedOn w:val="Normal"/>
    <w:next w:val="Normal"/>
    <w:semiHidden/>
    <w:rsid w:val="00545C6D"/>
  </w:style>
  <w:style w:type="paragraph" w:customStyle="1" w:styleId="Tarifftitle">
    <w:name w:val="Tariff title"/>
    <w:basedOn w:val="Normal"/>
    <w:rsid w:val="00545C6D"/>
    <w:rPr>
      <w:b/>
      <w:sz w:val="28"/>
      <w:szCs w:val="28"/>
    </w:rPr>
  </w:style>
  <w:style w:type="paragraph" w:styleId="TOC2">
    <w:name w:val="toc 2"/>
    <w:basedOn w:val="Normal"/>
    <w:next w:val="Normal"/>
    <w:semiHidden/>
    <w:rsid w:val="00545C6D"/>
    <w:pPr>
      <w:ind w:left="240"/>
    </w:pPr>
  </w:style>
  <w:style w:type="character" w:styleId="Hyperlink">
    <w:name w:val="Hyperlink"/>
    <w:basedOn w:val="DefaultParagraphFont"/>
    <w:rsid w:val="00545C6D"/>
    <w:rPr>
      <w:color w:val="0000FF"/>
      <w:u w:val="single"/>
    </w:rPr>
  </w:style>
  <w:style w:type="paragraph" w:styleId="TOC3">
    <w:name w:val="toc 3"/>
    <w:basedOn w:val="Normal"/>
    <w:next w:val="Normal"/>
    <w:semiHidden/>
    <w:rsid w:val="00545C6D"/>
    <w:pPr>
      <w:ind w:left="480"/>
    </w:pPr>
  </w:style>
  <w:style w:type="paragraph" w:styleId="TOC4">
    <w:name w:val="toc 4"/>
    <w:basedOn w:val="Normal"/>
    <w:next w:val="Normal"/>
    <w:semiHidden/>
    <w:rsid w:val="00545C6D"/>
    <w:pPr>
      <w:ind w:left="720"/>
    </w:pPr>
  </w:style>
  <w:style w:type="paragraph" w:styleId="TOC5">
    <w:name w:val="toc 5"/>
    <w:basedOn w:val="Normal"/>
    <w:next w:val="Normal"/>
    <w:semiHidden/>
    <w:rsid w:val="00545C6D"/>
    <w:pPr>
      <w:widowControl/>
      <w:ind w:left="960"/>
    </w:pPr>
    <w:rPr>
      <w:snapToGrid/>
      <w:szCs w:val="24"/>
    </w:rPr>
  </w:style>
  <w:style w:type="paragraph" w:styleId="TOC6">
    <w:name w:val="toc 6"/>
    <w:basedOn w:val="Normal"/>
    <w:next w:val="Normal"/>
    <w:semiHidden/>
    <w:rsid w:val="00545C6D"/>
    <w:pPr>
      <w:widowControl/>
      <w:ind w:left="1200"/>
    </w:pPr>
    <w:rPr>
      <w:snapToGrid/>
      <w:szCs w:val="24"/>
    </w:rPr>
  </w:style>
  <w:style w:type="paragraph" w:styleId="TOC7">
    <w:name w:val="toc 7"/>
    <w:basedOn w:val="Normal"/>
    <w:next w:val="Normal"/>
    <w:semiHidden/>
    <w:rsid w:val="00545C6D"/>
    <w:pPr>
      <w:widowControl/>
      <w:ind w:left="1440"/>
    </w:pPr>
    <w:rPr>
      <w:snapToGrid/>
      <w:szCs w:val="24"/>
    </w:rPr>
  </w:style>
  <w:style w:type="paragraph" w:styleId="TOC8">
    <w:name w:val="toc 8"/>
    <w:basedOn w:val="Normal"/>
    <w:next w:val="Normal"/>
    <w:semiHidden/>
    <w:rsid w:val="00545C6D"/>
    <w:pPr>
      <w:widowControl/>
      <w:ind w:left="1680"/>
    </w:pPr>
    <w:rPr>
      <w:snapToGrid/>
      <w:szCs w:val="24"/>
    </w:rPr>
  </w:style>
  <w:style w:type="paragraph" w:styleId="TOC9">
    <w:name w:val="toc 9"/>
    <w:basedOn w:val="Normal"/>
    <w:next w:val="Normal"/>
    <w:semiHidden/>
    <w:rsid w:val="00545C6D"/>
    <w:pPr>
      <w:widowControl/>
      <w:ind w:left="1920"/>
    </w:pPr>
    <w:rPr>
      <w:snapToGrid/>
      <w:szCs w:val="24"/>
    </w:rPr>
  </w:style>
  <w:style w:type="paragraph" w:customStyle="1" w:styleId="a">
    <w:name w:val="_"/>
    <w:basedOn w:val="Normal"/>
    <w:rsid w:val="00545C6D"/>
    <w:pPr>
      <w:ind w:left="1800" w:hanging="630"/>
    </w:pPr>
  </w:style>
  <w:style w:type="character" w:styleId="CommentReference">
    <w:name w:val="annotation reference"/>
    <w:basedOn w:val="DefaultParagraphFont"/>
    <w:semiHidden/>
    <w:rsid w:val="00545C6D"/>
    <w:rPr>
      <w:sz w:val="16"/>
      <w:szCs w:val="16"/>
    </w:rPr>
  </w:style>
  <w:style w:type="paragraph" w:styleId="CommentText">
    <w:name w:val="annotation text"/>
    <w:basedOn w:val="Normal"/>
    <w:semiHidden/>
    <w:rsid w:val="00545C6D"/>
    <w:rPr>
      <w:sz w:val="20"/>
    </w:rPr>
  </w:style>
  <w:style w:type="paragraph" w:styleId="CommentSubject">
    <w:name w:val="annotation subject"/>
    <w:basedOn w:val="CommentText"/>
    <w:next w:val="CommentText"/>
    <w:semiHidden/>
    <w:rsid w:val="00545C6D"/>
    <w:rPr>
      <w:b/>
      <w:bCs/>
    </w:rPr>
  </w:style>
  <w:style w:type="paragraph" w:styleId="Footer">
    <w:name w:val="footer"/>
    <w:basedOn w:val="Normal"/>
    <w:rsid w:val="00545C6D"/>
    <w:pPr>
      <w:tabs>
        <w:tab w:val="center" w:pos="4320"/>
        <w:tab w:val="right" w:pos="8640"/>
      </w:tabs>
    </w:pPr>
  </w:style>
  <w:style w:type="character" w:styleId="PageNumber">
    <w:name w:val="page number"/>
    <w:basedOn w:val="DefaultParagraphFont"/>
    <w:rsid w:val="00545C6D"/>
  </w:style>
  <w:style w:type="paragraph" w:styleId="BodyTextIndent">
    <w:name w:val="Body Text Indent"/>
    <w:aliases w:val="bi"/>
    <w:basedOn w:val="Normal"/>
    <w:rsid w:val="00545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dc:creator>
  <cp:lastModifiedBy>TMSServices</cp:lastModifiedBy>
  <cp:revision>2</cp:revision>
  <cp:lastPrinted>2014-05-20T21:20:00Z</cp:lastPrinted>
  <dcterms:created xsi:type="dcterms:W3CDTF">2017-03-23T23:18:00Z</dcterms:created>
  <dcterms:modified xsi:type="dcterms:W3CDTF">2017-03-23T23:18:00Z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y fmtid="{D5CDD505-2E9C-101B-9397-08002B2CF9AE}" pid="7" name="_AdHocReviewCycleID">
    <vt:i4>-1277286271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Elimination of Non-Firm Transmission Service Filing</vt:lpwstr>
  </property>
  <property fmtid="{D5CDD505-2E9C-101B-9397-08002B2CF9AE}" pid="11" name="_NewReviewCycle">
    <vt:lpwstr/>
  </property>
  <property fmtid="{D5CDD505-2E9C-101B-9397-08002B2CF9AE}" pid="12" name="_PreviousAdHocReviewCycleID">
    <vt:i4>-432171803</vt:i4>
  </property>
  <property fmtid="{D5CDD505-2E9C-101B-9397-08002B2CF9AE}" pid="13" name="_ReviewingToolsShownOnce">
    <vt:lpwstr/>
  </property>
</Properties>
</file>