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CDD" w:rsidRPr="00805BCB" w:rsidRDefault="00554FE3" w:rsidP="00C65602">
      <w:pPr>
        <w:pStyle w:val="subheadwH2formatting"/>
      </w:pPr>
      <w:bookmarkStart w:id="0" w:name="_Toc260835663"/>
      <w:r>
        <w:t>12.1</w:t>
      </w:r>
      <w:r w:rsidRPr="00805BCB">
        <w:tab/>
        <w:t>Introduction</w:t>
      </w:r>
      <w:bookmarkEnd w:id="0"/>
    </w:p>
    <w:p w:rsidR="00024CDD" w:rsidRDefault="00554FE3" w:rsidP="00805BCB">
      <w:pPr>
        <w:pStyle w:val="Bodypara"/>
      </w:pPr>
      <w:r>
        <w:t>This Code of Conduct shall apply to the ISO’s Directors, Officers, and Employees (collectively, “ISO Employees”) and provides policies, rules and procedures to be followed in carrying out the ISO’s responsibilities.  The provisions relating to covered cont</w:t>
      </w:r>
      <w:r>
        <w:t xml:space="preserve">ractors and consultants are set forth in Section </w:t>
      </w:r>
      <w:r>
        <w:t>12.</w:t>
      </w:r>
      <w:r>
        <w:t xml:space="preserve">13 </w:t>
      </w:r>
      <w:r>
        <w:t>below.</w:t>
      </w:r>
    </w:p>
    <w:p w:rsidR="00024CDD" w:rsidRDefault="00554FE3" w:rsidP="00805BCB">
      <w:pPr>
        <w:pStyle w:val="Bodypara"/>
      </w:pPr>
      <w:r>
        <w:t>The ISO Employees shall take all reasonable actions within their authority under the ISO Tariffs and Agreements</w:t>
      </w:r>
      <w:r>
        <w:rPr>
          <w:rStyle w:val="FootnoteReference"/>
        </w:rPr>
        <w:footnoteReference w:id="1"/>
      </w:r>
      <w:r>
        <w:rPr>
          <w:position w:val="6"/>
        </w:rPr>
        <w:t xml:space="preserve"> </w:t>
      </w:r>
      <w:r>
        <w:t>necessary to:</w:t>
      </w:r>
    </w:p>
    <w:p w:rsidR="00024CDD" w:rsidRDefault="00554FE3" w:rsidP="00DC1B07">
      <w:pPr>
        <w:pStyle w:val="Indent"/>
        <w:ind w:left="1440" w:hanging="720"/>
        <w:jc w:val="left"/>
      </w:pPr>
      <w:r>
        <w:t>(1)</w:t>
      </w:r>
      <w:r>
        <w:tab/>
        <w:t>comply with all laws including, without limitation, the followi</w:t>
      </w:r>
      <w:r>
        <w:t xml:space="preserve">ng: federal and state environmental laws; Federal Power Act, FERC Rules and Regulations, FERC Order Nos. 888 </w:t>
      </w:r>
      <w:r>
        <w:rPr>
          <w:u w:val="single"/>
        </w:rPr>
        <w:t>et.</w:t>
      </w:r>
      <w:r>
        <w:t xml:space="preserve"> </w:t>
      </w:r>
      <w:r>
        <w:rPr>
          <w:u w:val="single"/>
        </w:rPr>
        <w:t>seq.</w:t>
      </w:r>
      <w:r>
        <w:t xml:space="preserve"> and 889 </w:t>
      </w:r>
      <w:r>
        <w:rPr>
          <w:u w:val="single"/>
        </w:rPr>
        <w:t>et</w:t>
      </w:r>
      <w:r>
        <w:t xml:space="preserve"> </w:t>
      </w:r>
      <w:r>
        <w:rPr>
          <w:u w:val="single"/>
        </w:rPr>
        <w:t>seq.</w:t>
      </w:r>
      <w:r>
        <w:t xml:space="preserve">; 18 C.F.R. </w:t>
      </w:r>
      <w:r>
        <w:t>§</w:t>
      </w:r>
      <w:r>
        <w:t xml:space="preserve"> 37.1-37.4; federal securities laws; and copyright, trademark and patent laws;</w:t>
      </w:r>
      <w:r>
        <w:t xml:space="preserve"> </w:t>
      </w:r>
      <w:r>
        <w:t>Attachment F</w:t>
      </w:r>
    </w:p>
    <w:p w:rsidR="00024CDD" w:rsidRDefault="00554FE3">
      <w:pPr>
        <w:pStyle w:val="Indent"/>
        <w:ind w:left="1440" w:hanging="720"/>
        <w:jc w:val="left"/>
      </w:pPr>
      <w:r>
        <w:t>(2)</w:t>
      </w:r>
      <w:r>
        <w:tab/>
        <w:t>provide Transm</w:t>
      </w:r>
      <w:r>
        <w:t>ission Service pursuant to the ISO Open Access Transmission Tariff (“OATT”), acting as the Responsible Party,</w:t>
      </w:r>
      <w:r>
        <w:rPr>
          <w:rStyle w:val="FootnoteReference"/>
        </w:rPr>
        <w:footnoteReference w:id="2"/>
      </w:r>
      <w:r>
        <w:rPr>
          <w:position w:val="6"/>
        </w:rPr>
        <w:t xml:space="preserve"> </w:t>
      </w:r>
      <w:r>
        <w:t xml:space="preserve">as defined in Order Nos. 889 </w:t>
      </w:r>
      <w:r>
        <w:rPr>
          <w:u w:val="single"/>
        </w:rPr>
        <w:t>et.</w:t>
      </w:r>
      <w:r>
        <w:t xml:space="preserve"> </w:t>
      </w:r>
      <w:r>
        <w:rPr>
          <w:u w:val="single"/>
        </w:rPr>
        <w:t>seq.</w:t>
      </w:r>
      <w:r>
        <w:t xml:space="preserve"> for all Transmission Owners that are signatories to the ISO Agreement and operate the OASIS in accordance w</w:t>
      </w:r>
      <w:r>
        <w:t xml:space="preserve">ith Section </w:t>
      </w:r>
      <w:r>
        <w:t>12.</w:t>
      </w:r>
      <w:r>
        <w:t>2, below;</w:t>
      </w:r>
    </w:p>
    <w:p w:rsidR="00024CDD" w:rsidRDefault="00554FE3">
      <w:pPr>
        <w:pStyle w:val="Indent"/>
        <w:ind w:left="1440" w:hanging="720"/>
      </w:pPr>
      <w:r>
        <w:t>(3)</w:t>
      </w:r>
      <w:r>
        <w:tab/>
        <w:t xml:space="preserve">refrain from Energy Transactions in accordance with Section </w:t>
      </w:r>
      <w:r>
        <w:t>12.</w:t>
      </w:r>
      <w:r>
        <w:t>3, below;</w:t>
      </w:r>
    </w:p>
    <w:p w:rsidR="00024CDD" w:rsidRDefault="00554FE3">
      <w:pPr>
        <w:pStyle w:val="Indent"/>
        <w:ind w:left="1440" w:hanging="720"/>
        <w:jc w:val="left"/>
      </w:pPr>
      <w:r>
        <w:t>(4)</w:t>
      </w:r>
      <w:r>
        <w:tab/>
        <w:t xml:space="preserve">treat commercially sensitive, proprietary, or regulated information as Confidential Information in accordance with Section </w:t>
      </w:r>
      <w:r>
        <w:t>12.</w:t>
      </w:r>
      <w:r>
        <w:t>4, below;</w:t>
      </w:r>
    </w:p>
    <w:p w:rsidR="00024CDD" w:rsidRDefault="00554FE3">
      <w:pPr>
        <w:pStyle w:val="Indent"/>
        <w:ind w:left="1440" w:hanging="720"/>
      </w:pPr>
      <w:r>
        <w:lastRenderedPageBreak/>
        <w:t>(5)</w:t>
      </w:r>
      <w:r>
        <w:tab/>
        <w:t>protect th</w:t>
      </w:r>
      <w:r>
        <w:t>e integrity of ISO Records</w:t>
      </w:r>
      <w:r>
        <w:rPr>
          <w:rStyle w:val="FootnoteReference"/>
        </w:rPr>
        <w:footnoteReference w:id="3"/>
      </w:r>
      <w:r>
        <w:rPr>
          <w:position w:val="6"/>
        </w:rPr>
        <w:t xml:space="preserve"> </w:t>
      </w:r>
      <w:r>
        <w:t xml:space="preserve">in accordance with Section </w:t>
      </w:r>
      <w:r>
        <w:t>12.</w:t>
      </w:r>
      <w:r>
        <w:t>7</w:t>
      </w:r>
      <w:r>
        <w:t>, below;</w:t>
      </w:r>
    </w:p>
    <w:p w:rsidR="00024CDD" w:rsidRDefault="00554FE3" w:rsidP="00805BCB">
      <w:pPr>
        <w:pStyle w:val="Indent"/>
        <w:ind w:left="1440" w:hanging="720"/>
      </w:pPr>
      <w:r>
        <w:t>(6)</w:t>
      </w:r>
      <w:r>
        <w:tab/>
        <w:t xml:space="preserve">protect the ISO’s assets including property, facilities, equipment and supplies in accordance with Section </w:t>
      </w:r>
      <w:r>
        <w:t>12.</w:t>
      </w:r>
      <w:r>
        <w:t>12</w:t>
      </w:r>
      <w:r>
        <w:t>, below; and</w:t>
      </w:r>
    </w:p>
    <w:p w:rsidR="00024CDD" w:rsidRDefault="00554FE3">
      <w:pPr>
        <w:pStyle w:val="Indent"/>
        <w:ind w:left="1440" w:hanging="720"/>
      </w:pPr>
      <w:r>
        <w:t>(7)</w:t>
      </w:r>
      <w:r>
        <w:tab/>
        <w:t>avoid contact with Market Participants</w:t>
      </w:r>
      <w:r>
        <w:rPr>
          <w:rStyle w:val="FootnoteReference"/>
        </w:rPr>
        <w:footnoteReference w:id="4"/>
      </w:r>
      <w:r>
        <w:rPr>
          <w:position w:val="6"/>
        </w:rPr>
        <w:t xml:space="preserve"> </w:t>
      </w:r>
      <w:r>
        <w:t>which could cau</w:t>
      </w:r>
      <w:r>
        <w:t xml:space="preserve">se or appear to cause a conflict of interest under Section </w:t>
      </w:r>
      <w:r>
        <w:t>12.</w:t>
      </w:r>
      <w:r>
        <w:t>8</w:t>
      </w:r>
      <w:r>
        <w:t>, below.</w:t>
      </w:r>
    </w:p>
    <w:p w:rsidR="00024CDD" w:rsidRDefault="00554FE3">
      <w:pPr>
        <w:widowControl w:val="0"/>
        <w:jc w:val="both"/>
        <w:rPr>
          <w:sz w:val="24"/>
        </w:rPr>
      </w:pPr>
    </w:p>
    <w:sectPr w:rsidR="00024CDD" w:rsidSect="009D2E6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961" w:rsidRDefault="00514961" w:rsidP="00514961">
      <w:r>
        <w:separator/>
      </w:r>
    </w:p>
  </w:endnote>
  <w:endnote w:type="continuationSeparator" w:id="0">
    <w:p w:rsidR="00514961" w:rsidRDefault="00514961" w:rsidP="005149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961" w:rsidRDefault="00554FE3">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sidR="00514961">
      <w:rPr>
        <w:rFonts w:ascii="Arial" w:eastAsia="Arial" w:hAnsi="Arial" w:cs="Arial"/>
        <w:color w:val="000000"/>
        <w:sz w:val="16"/>
      </w:rPr>
      <w:fldChar w:fldCharType="begin"/>
    </w:r>
    <w:r>
      <w:rPr>
        <w:rFonts w:ascii="Arial" w:eastAsia="Arial" w:hAnsi="Arial" w:cs="Arial"/>
        <w:color w:val="000000"/>
        <w:sz w:val="16"/>
      </w:rPr>
      <w:instrText>PAGE</w:instrText>
    </w:r>
    <w:r w:rsidR="0051496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961" w:rsidRDefault="00554FE3">
    <w:pPr>
      <w:jc w:val="right"/>
      <w:rPr>
        <w:rFonts w:ascii="Arial" w:eastAsia="Arial" w:hAnsi="Arial" w:cs="Arial"/>
        <w:color w:val="000000"/>
        <w:sz w:val="16"/>
      </w:rPr>
    </w:pPr>
    <w:r>
      <w:rPr>
        <w:rFonts w:ascii="Arial" w:eastAsia="Arial" w:hAnsi="Arial" w:cs="Arial"/>
        <w:color w:val="000000"/>
        <w:sz w:val="16"/>
      </w:rPr>
      <w:t>Effective Date: 1/1/2016 - Do</w:t>
    </w:r>
    <w:r>
      <w:rPr>
        <w:rFonts w:ascii="Arial" w:eastAsia="Arial" w:hAnsi="Arial" w:cs="Arial"/>
        <w:color w:val="000000"/>
        <w:sz w:val="16"/>
      </w:rPr>
      <w:t xml:space="preserve">cket #: ER16-398-000 - Page </w:t>
    </w:r>
    <w:r w:rsidR="0051496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1496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961" w:rsidRDefault="00554FE3">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sidR="00514961">
      <w:rPr>
        <w:rFonts w:ascii="Arial" w:eastAsia="Arial" w:hAnsi="Arial" w:cs="Arial"/>
        <w:color w:val="000000"/>
        <w:sz w:val="16"/>
      </w:rPr>
      <w:fldChar w:fldCharType="begin"/>
    </w:r>
    <w:r>
      <w:rPr>
        <w:rFonts w:ascii="Arial" w:eastAsia="Arial" w:hAnsi="Arial" w:cs="Arial"/>
        <w:color w:val="000000"/>
        <w:sz w:val="16"/>
      </w:rPr>
      <w:instrText>PAGE</w:instrText>
    </w:r>
    <w:r w:rsidR="0051496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22F" w:rsidRDefault="00554FE3">
      <w:r>
        <w:separator/>
      </w:r>
    </w:p>
  </w:footnote>
  <w:footnote w:type="continuationSeparator" w:id="0">
    <w:p w:rsidR="0087622F" w:rsidRDefault="00554FE3">
      <w:r>
        <w:separator/>
      </w:r>
    </w:p>
    <w:p w:rsidR="0087622F" w:rsidRDefault="00554FE3">
      <w:pPr>
        <w:pStyle w:val="Footer"/>
      </w:pPr>
    </w:p>
  </w:footnote>
  <w:footnote w:id="1">
    <w:p w:rsidR="0037148D" w:rsidRDefault="00554FE3">
      <w:pPr>
        <w:pStyle w:val="FootnoteText"/>
        <w:jc w:val="left"/>
      </w:pPr>
      <w:r>
        <w:rPr>
          <w:rStyle w:val="FootnoteReference"/>
        </w:rPr>
        <w:footnoteRef/>
      </w:r>
      <w:r>
        <w:t xml:space="preserve"> The “ISO Tariffs and Agreements” consist of the ISO OATT, the ISO Services Tariff, the ISO Agreement, the NYSRC Agreement, the ISO/NYSRC Agreement, and the ISO/TO Agreement. The term “ISO Tariffs” consists of the ISO OATT and the ISO Services Tariff.</w:t>
      </w:r>
    </w:p>
  </w:footnote>
  <w:footnote w:id="2">
    <w:p w:rsidR="0037148D" w:rsidRDefault="00554FE3">
      <w:pPr>
        <w:pStyle w:val="FootnoteText"/>
      </w:pPr>
      <w:r>
        <w:rPr>
          <w:rStyle w:val="FootnoteReference"/>
        </w:rPr>
        <w:footnoteRef/>
      </w:r>
      <w:r>
        <w:t xml:space="preserve"> Th</w:t>
      </w:r>
      <w:r>
        <w:t>e term “Responsible Party” as defined in Order No. 889 means the Transmission Owner or an agent to whom the Transmission Owner has delegated the responsibility of meeting the requirements of 18 C.F.R. §37 concerning the operation of the OASIS.</w:t>
      </w:r>
    </w:p>
  </w:footnote>
  <w:footnote w:id="3">
    <w:p w:rsidR="0037148D" w:rsidRDefault="00554FE3" w:rsidP="006A4F88">
      <w:pPr>
        <w:pStyle w:val="FootnoteText"/>
      </w:pPr>
      <w:r>
        <w:rPr>
          <w:rStyle w:val="FootnoteReference"/>
        </w:rPr>
        <w:footnoteRef/>
      </w:r>
      <w:r>
        <w:rPr>
          <w:sz w:val="24"/>
        </w:rPr>
        <w:t xml:space="preserve"> </w:t>
      </w:r>
      <w:r>
        <w:t>ISO Record</w:t>
      </w:r>
      <w:r>
        <w:t xml:space="preserve">s consist of all documents submitted to, or generated by, the ISO that pertain to ISO business. Examples of ISO Records include, without limitation, requests for Transmission and Ancillary Services, service agreements, system impact studies and facilities </w:t>
      </w:r>
      <w:r>
        <w:t>studies developed by the Transmission Owners and forwarded to the ISO, audit records, and ISO annual reports.</w:t>
      </w:r>
    </w:p>
  </w:footnote>
  <w:footnote w:id="4">
    <w:p w:rsidR="0037148D" w:rsidRDefault="00554FE3" w:rsidP="00720F40">
      <w:pPr>
        <w:pStyle w:val="FootnoteText"/>
      </w:pPr>
      <w:r>
        <w:rPr>
          <w:rStyle w:val="FootnoteReference"/>
        </w:rPr>
        <w:footnoteRef/>
      </w:r>
      <w:r>
        <w:t xml:space="preserve"> Market Participant is any person (natural or legal) transacting with the ISO to buy, sell or schedule electric generating Capacity and/or Energy</w:t>
      </w:r>
      <w:r>
        <w:t>, Ancillary Services or Transmission Services. The term includes, but is not limited to, Power Exchanges, power brokers, power marketers, Buyers, Sellers, Transmission Owners, Non-Utility Generators, Independent Power Producers, load aggregators, Load Serv</w:t>
      </w:r>
      <w:r>
        <w:t>ing Entities, and municipaliti</w:t>
      </w:r>
      <w:r>
        <w:t>es or groups of these entities.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961" w:rsidRDefault="00554FE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12 OATT Attachment F - NYISO Code of Conduct --&gt; 12.1 </w:t>
    </w:r>
    <w:r>
      <w:rPr>
        <w:rFonts w:ascii="Arial" w:eastAsia="Arial" w:hAnsi="Arial" w:cs="Arial"/>
        <w:color w:val="000000"/>
        <w:sz w:val="16"/>
      </w:rPr>
      <w:t>OATT Att F Introduction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961" w:rsidRDefault="00554FE3">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12.1 OATT Att F Introduction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961" w:rsidRDefault="00554FE3">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12.1 OATT Att F Introduction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F2A07AB2">
      <w:start w:val="2"/>
      <w:numFmt w:val="lowerLetter"/>
      <w:lvlText w:val="(%1)"/>
      <w:lvlJc w:val="left"/>
      <w:pPr>
        <w:tabs>
          <w:tab w:val="num" w:pos="1080"/>
        </w:tabs>
        <w:ind w:left="1080" w:hanging="360"/>
      </w:pPr>
    </w:lvl>
    <w:lvl w:ilvl="1" w:tplc="71DA500A">
      <w:start w:val="1"/>
      <w:numFmt w:val="decimal"/>
      <w:lvlText w:val="%2."/>
      <w:lvlJc w:val="left"/>
      <w:pPr>
        <w:tabs>
          <w:tab w:val="num" w:pos="1440"/>
        </w:tabs>
        <w:ind w:left="1440" w:hanging="360"/>
      </w:pPr>
    </w:lvl>
    <w:lvl w:ilvl="2" w:tplc="E118E77C">
      <w:start w:val="1"/>
      <w:numFmt w:val="decimal"/>
      <w:lvlText w:val="%3."/>
      <w:lvlJc w:val="left"/>
      <w:pPr>
        <w:tabs>
          <w:tab w:val="num" w:pos="2160"/>
        </w:tabs>
        <w:ind w:left="2160" w:hanging="360"/>
      </w:pPr>
    </w:lvl>
    <w:lvl w:ilvl="3" w:tplc="1EE0FC66">
      <w:start w:val="1"/>
      <w:numFmt w:val="decimal"/>
      <w:lvlText w:val="%4."/>
      <w:lvlJc w:val="left"/>
      <w:pPr>
        <w:tabs>
          <w:tab w:val="num" w:pos="2880"/>
        </w:tabs>
        <w:ind w:left="2880" w:hanging="360"/>
      </w:pPr>
    </w:lvl>
    <w:lvl w:ilvl="4" w:tplc="9AA64BEE">
      <w:start w:val="1"/>
      <w:numFmt w:val="decimal"/>
      <w:lvlText w:val="%5."/>
      <w:lvlJc w:val="left"/>
      <w:pPr>
        <w:tabs>
          <w:tab w:val="num" w:pos="3600"/>
        </w:tabs>
        <w:ind w:left="3600" w:hanging="360"/>
      </w:pPr>
    </w:lvl>
    <w:lvl w:ilvl="5" w:tplc="61CC6C6A">
      <w:start w:val="1"/>
      <w:numFmt w:val="decimal"/>
      <w:lvlText w:val="%6."/>
      <w:lvlJc w:val="left"/>
      <w:pPr>
        <w:tabs>
          <w:tab w:val="num" w:pos="4320"/>
        </w:tabs>
        <w:ind w:left="4320" w:hanging="360"/>
      </w:pPr>
    </w:lvl>
    <w:lvl w:ilvl="6" w:tplc="9BCA3314">
      <w:start w:val="1"/>
      <w:numFmt w:val="decimal"/>
      <w:lvlText w:val="%7."/>
      <w:lvlJc w:val="left"/>
      <w:pPr>
        <w:tabs>
          <w:tab w:val="num" w:pos="5040"/>
        </w:tabs>
        <w:ind w:left="5040" w:hanging="360"/>
      </w:pPr>
    </w:lvl>
    <w:lvl w:ilvl="7" w:tplc="101C6696">
      <w:start w:val="1"/>
      <w:numFmt w:val="decimal"/>
      <w:lvlText w:val="%8."/>
      <w:lvlJc w:val="left"/>
      <w:pPr>
        <w:tabs>
          <w:tab w:val="num" w:pos="5760"/>
        </w:tabs>
        <w:ind w:left="5760" w:hanging="360"/>
      </w:pPr>
    </w:lvl>
    <w:lvl w:ilvl="8" w:tplc="F84AF406">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B3E4BAE2">
      <w:start w:val="6"/>
      <w:numFmt w:val="decimal"/>
      <w:lvlText w:val="(%1)"/>
      <w:lvlJc w:val="left"/>
      <w:pPr>
        <w:tabs>
          <w:tab w:val="num" w:pos="1080"/>
        </w:tabs>
        <w:ind w:left="1080" w:hanging="360"/>
      </w:pPr>
      <w:rPr>
        <w:rFonts w:hint="default"/>
      </w:rPr>
    </w:lvl>
    <w:lvl w:ilvl="1" w:tplc="17405E2A" w:tentative="1">
      <w:start w:val="1"/>
      <w:numFmt w:val="lowerLetter"/>
      <w:lvlText w:val="%2."/>
      <w:lvlJc w:val="left"/>
      <w:pPr>
        <w:tabs>
          <w:tab w:val="num" w:pos="1800"/>
        </w:tabs>
        <w:ind w:left="1800" w:hanging="360"/>
      </w:pPr>
    </w:lvl>
    <w:lvl w:ilvl="2" w:tplc="FDAAE6C4" w:tentative="1">
      <w:start w:val="1"/>
      <w:numFmt w:val="lowerRoman"/>
      <w:lvlText w:val="%3."/>
      <w:lvlJc w:val="right"/>
      <w:pPr>
        <w:tabs>
          <w:tab w:val="num" w:pos="2520"/>
        </w:tabs>
        <w:ind w:left="2520" w:hanging="180"/>
      </w:pPr>
    </w:lvl>
    <w:lvl w:ilvl="3" w:tplc="8FDA37B8" w:tentative="1">
      <w:start w:val="1"/>
      <w:numFmt w:val="decimal"/>
      <w:lvlText w:val="%4."/>
      <w:lvlJc w:val="left"/>
      <w:pPr>
        <w:tabs>
          <w:tab w:val="num" w:pos="3240"/>
        </w:tabs>
        <w:ind w:left="3240" w:hanging="360"/>
      </w:pPr>
    </w:lvl>
    <w:lvl w:ilvl="4" w:tplc="F5A08F7E" w:tentative="1">
      <w:start w:val="1"/>
      <w:numFmt w:val="lowerLetter"/>
      <w:lvlText w:val="%5."/>
      <w:lvlJc w:val="left"/>
      <w:pPr>
        <w:tabs>
          <w:tab w:val="num" w:pos="3960"/>
        </w:tabs>
        <w:ind w:left="3960" w:hanging="360"/>
      </w:pPr>
    </w:lvl>
    <w:lvl w:ilvl="5" w:tplc="6BC4C6B2" w:tentative="1">
      <w:start w:val="1"/>
      <w:numFmt w:val="lowerRoman"/>
      <w:lvlText w:val="%6."/>
      <w:lvlJc w:val="right"/>
      <w:pPr>
        <w:tabs>
          <w:tab w:val="num" w:pos="4680"/>
        </w:tabs>
        <w:ind w:left="4680" w:hanging="180"/>
      </w:pPr>
    </w:lvl>
    <w:lvl w:ilvl="6" w:tplc="1AD6CB1A" w:tentative="1">
      <w:start w:val="1"/>
      <w:numFmt w:val="decimal"/>
      <w:lvlText w:val="%7."/>
      <w:lvlJc w:val="left"/>
      <w:pPr>
        <w:tabs>
          <w:tab w:val="num" w:pos="5400"/>
        </w:tabs>
        <w:ind w:left="5400" w:hanging="360"/>
      </w:pPr>
    </w:lvl>
    <w:lvl w:ilvl="7" w:tplc="18EA412C" w:tentative="1">
      <w:start w:val="1"/>
      <w:numFmt w:val="lowerLetter"/>
      <w:lvlText w:val="%8."/>
      <w:lvlJc w:val="left"/>
      <w:pPr>
        <w:tabs>
          <w:tab w:val="num" w:pos="6120"/>
        </w:tabs>
        <w:ind w:left="6120" w:hanging="360"/>
      </w:pPr>
    </w:lvl>
    <w:lvl w:ilvl="8" w:tplc="B8448A62"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14961"/>
    <w:rsid w:val="00514961"/>
    <w:rsid w:val="00554FE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4961"/>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rsid w:val="00514961"/>
    <w:pPr>
      <w:keepNext/>
      <w:outlineLvl w:val="4"/>
    </w:pPr>
    <w:rPr>
      <w:sz w:val="24"/>
    </w:rPr>
  </w:style>
  <w:style w:type="paragraph" w:styleId="Heading6">
    <w:name w:val="heading 6"/>
    <w:basedOn w:val="Normal"/>
    <w:next w:val="Normal"/>
    <w:qFormat/>
    <w:rsid w:val="00514961"/>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14961"/>
    <w:pPr>
      <w:tabs>
        <w:tab w:val="center" w:pos="4320"/>
        <w:tab w:val="right" w:pos="8640"/>
      </w:tabs>
    </w:pPr>
  </w:style>
  <w:style w:type="paragraph" w:styleId="Footer">
    <w:name w:val="footer"/>
    <w:basedOn w:val="Normal"/>
    <w:rsid w:val="00514961"/>
    <w:pPr>
      <w:tabs>
        <w:tab w:val="center" w:pos="4320"/>
        <w:tab w:val="right" w:pos="8640"/>
      </w:tabs>
    </w:pPr>
  </w:style>
  <w:style w:type="paragraph" w:customStyle="1" w:styleId="Heading">
    <w:name w:val="Heading"/>
    <w:basedOn w:val="Normal"/>
    <w:rsid w:val="00514961"/>
    <w:pPr>
      <w:keepNext/>
      <w:spacing w:after="240"/>
      <w:ind w:left="720" w:hanging="720"/>
    </w:pPr>
    <w:rPr>
      <w:b/>
      <w:sz w:val="24"/>
    </w:rPr>
  </w:style>
  <w:style w:type="paragraph" w:styleId="BodyText">
    <w:name w:val="Body Text"/>
    <w:aliases w:val="b"/>
    <w:basedOn w:val="Normal"/>
    <w:rsid w:val="00514961"/>
    <w:pPr>
      <w:spacing w:line="480" w:lineRule="auto"/>
      <w:ind w:firstLine="720"/>
      <w:jc w:val="both"/>
    </w:pPr>
    <w:rPr>
      <w:sz w:val="24"/>
    </w:rPr>
  </w:style>
  <w:style w:type="paragraph" w:customStyle="1" w:styleId="Indent">
    <w:name w:val="Indent"/>
    <w:basedOn w:val="Normal"/>
    <w:rsid w:val="00514961"/>
    <w:pPr>
      <w:widowControl w:val="0"/>
      <w:spacing w:line="480" w:lineRule="auto"/>
      <w:ind w:left="1260" w:hanging="540"/>
      <w:jc w:val="both"/>
    </w:pPr>
    <w:rPr>
      <w:sz w:val="24"/>
    </w:rPr>
  </w:style>
  <w:style w:type="paragraph" w:styleId="FootnoteText">
    <w:name w:val="footnote text"/>
    <w:basedOn w:val="Normal"/>
    <w:semiHidden/>
    <w:rsid w:val="00514961"/>
    <w:pPr>
      <w:spacing w:after="240"/>
      <w:ind w:firstLine="720"/>
      <w:jc w:val="both"/>
    </w:pPr>
    <w:rPr>
      <w:sz w:val="22"/>
    </w:rPr>
  </w:style>
  <w:style w:type="character" w:styleId="FootnoteReference">
    <w:name w:val="footnote reference"/>
    <w:basedOn w:val="DefaultParagraphFont"/>
    <w:semiHidden/>
    <w:rsid w:val="00514961"/>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rsid w:val="00514961"/>
  </w:style>
  <w:style w:type="paragraph" w:styleId="BodyText2">
    <w:name w:val="Body Text 2"/>
    <w:basedOn w:val="Normal"/>
    <w:rsid w:val="00514961"/>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
    <w:name w:val="TOC heading"/>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lastModifiedBy/>
  <cp:revision>1</cp:revision>
  <cp:lastPrinted>2007-04-19T20:51:00Z</cp:lastPrinted>
  <dcterms:created xsi:type="dcterms:W3CDTF">2017-03-23T23:24:00Z</dcterms:created>
  <dcterms:modified xsi:type="dcterms:W3CDTF">2017-03-23T23:24:00Z</dcterms:modified>
</cp:coreProperties>
</file>