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2A" w:rsidRDefault="00725BD1">
      <w:pPr>
        <w:pStyle w:val="Heading2"/>
      </w:pPr>
      <w:bookmarkStart w:id="0" w:name="_Toc261444323"/>
      <w:r>
        <w:t>1.1</w:t>
      </w:r>
      <w:r>
        <w:tab/>
        <w:t>Definitions - A</w:t>
      </w:r>
      <w:bookmarkEnd w:id="0"/>
    </w:p>
    <w:p w:rsidR="001F3A2A" w:rsidRDefault="00725BD1">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725BD1">
      <w:pPr>
        <w:pStyle w:val="Definition"/>
        <w:rPr>
          <w:bCs/>
        </w:rPr>
      </w:pPr>
      <w:r>
        <w:rPr>
          <w:b/>
        </w:rPr>
        <w:t>Actual Energy Injections:</w:t>
      </w:r>
      <w:r>
        <w:t xml:space="preserve"> Energy injections that are measured using a revenue-quality real-time meter.</w:t>
      </w:r>
    </w:p>
    <w:p w:rsidR="001F3A2A" w:rsidRDefault="00725BD1">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725BD1">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725BD1">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725BD1">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725BD1">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725BD1">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725BD1">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725BD1">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725BD1">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725BD1">
      <w:pPr>
        <w:pStyle w:val="Definition"/>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725BD1">
      <w:pPr>
        <w:pStyle w:val="Definition"/>
      </w:pPr>
      <w:r w:rsidRPr="00F651C0">
        <w:rPr>
          <w:b/>
        </w:rPr>
        <w:t>Available Operating Capacity:</w:t>
      </w:r>
      <w:r w:rsidRPr="00F651C0">
        <w:t xml:space="preserve"> For purposes of determin</w:t>
      </w:r>
      <w:r w:rsidRPr="00A65C82">
        <w:t xml:space="preserve">ing </w:t>
      </w:r>
      <w:r w:rsidRPr="00A65C82">
        <w:t>a Scarcity Reserve Requirement</w:t>
      </w:r>
      <w:r w:rsidRPr="00A65C82">
        <w:t xml:space="preserve">, the </w:t>
      </w:r>
      <w:r w:rsidRPr="00A65C82">
        <w:t xml:space="preserve">capability </w:t>
      </w:r>
      <w:r w:rsidRPr="00A65C82">
        <w:t xml:space="preserve">of </w:t>
      </w:r>
      <w:r w:rsidRPr="00A65C82">
        <w:t xml:space="preserve">all Suppliers that </w:t>
      </w:r>
      <w:r w:rsidRPr="00A65C82">
        <w:t xml:space="preserve">are eligible to provide Operating Reserves and </w:t>
      </w:r>
      <w:r w:rsidRPr="00A65C82">
        <w:t xml:space="preserve">have </w:t>
      </w:r>
      <w:r w:rsidRPr="00A65C82">
        <w:t>submit</w:t>
      </w:r>
      <w:r w:rsidRPr="00A65C82">
        <w:t>ted</w:t>
      </w:r>
      <w:r w:rsidRPr="00A65C82">
        <w:t xml:space="preserve"> Energy Bids</w:t>
      </w:r>
      <w:r>
        <w:t xml:space="preserve"> in the Real-Time Market representing the capability to provide Energy in greater than 30 minutes but less than or</w:t>
      </w:r>
      <w:r>
        <w:t xml:space="preserve"> equal to 60 minutes</w:t>
      </w:r>
      <w:r w:rsidRPr="00A65C82">
        <w:t>; provided, however, that this value shall not include</w:t>
      </w:r>
      <w:r w:rsidRPr="00A65C82">
        <w:t xml:space="preserve"> </w:t>
      </w:r>
      <w:r w:rsidRPr="00A65C82">
        <w:t xml:space="preserve">any </w:t>
      </w:r>
      <w:r w:rsidRPr="00A65C82">
        <w:t>quantity of Energy and Operating Reserves scheduled to be provided by all such</w:t>
      </w:r>
      <w:r w:rsidRPr="00F651C0">
        <w:t xml:space="preserve"> Suppliers</w:t>
      </w:r>
      <w:r w:rsidRPr="00F651C0">
        <w:t>.  The Available Operating Capacity value (in MW) shall be calculated by the RTD software</w:t>
      </w:r>
      <w:r w:rsidRPr="00F651C0">
        <w:t xml:space="preserve"> </w:t>
      </w:r>
      <w:r w:rsidRPr="00F651C0">
        <w:t xml:space="preserve">for </w:t>
      </w:r>
      <w:r w:rsidRPr="00F651C0">
        <w:t xml:space="preserve">each </w:t>
      </w:r>
      <w:r>
        <w:t xml:space="preserve">normal </w:t>
      </w:r>
      <w:r w:rsidRPr="00F651C0">
        <w:t xml:space="preserve">RTD run.  For purposes of </w:t>
      </w:r>
      <w:r>
        <w:t xml:space="preserve">calculating a </w:t>
      </w:r>
      <w:r w:rsidRPr="00F651C0">
        <w:t xml:space="preserve">Scarcity Reserve Requirement in accordance with Section 15.4.6.2 of Rate Schedule 4 of the NYISO Services Tariff, </w:t>
      </w:r>
      <w:r>
        <w:t xml:space="preserve">each RTD run shall utilize the </w:t>
      </w:r>
      <w:r w:rsidRPr="00F651C0">
        <w:t xml:space="preserve">value of Available Operating Capacity calculated during the immediately preceding </w:t>
      </w:r>
      <w:r>
        <w:t xml:space="preserve">normal </w:t>
      </w:r>
      <w:r w:rsidRPr="00F651C0">
        <w:t xml:space="preserve">RTD run and each RTC </w:t>
      </w:r>
      <w:r>
        <w:t xml:space="preserve">run shall utilize the </w:t>
      </w:r>
      <w:r w:rsidRPr="00F651C0">
        <w:t>value of Available Operating Capacity calculated during the most recent</w:t>
      </w:r>
      <w:r w:rsidRPr="00F651C0">
        <w:t xml:space="preserve">ly-completed </w:t>
      </w:r>
      <w:r>
        <w:t xml:space="preserve">normal </w:t>
      </w:r>
      <w:r w:rsidRPr="00F651C0">
        <w:t xml:space="preserve">RTD run </w:t>
      </w:r>
      <w:r w:rsidRPr="00F651C0">
        <w:t>prior to the RTC run</w:t>
      </w:r>
      <w:r w:rsidRPr="00F651C0">
        <w:t>.</w:t>
      </w:r>
    </w:p>
    <w:p w:rsidR="001F3A2A" w:rsidRDefault="00725BD1">
      <w:pPr>
        <w:pStyle w:val="Definition"/>
      </w:pPr>
      <w:r>
        <w:rPr>
          <w:b/>
        </w:rPr>
        <w:t>Ava</w:t>
      </w:r>
      <w:r>
        <w:rPr>
          <w:b/>
        </w:rPr>
        <w:t xml:space="preserve">ilable Transfer Capability (“ATC”): </w:t>
      </w:r>
      <w:r>
        <w:t>A measure of the Transfer Capability remaining in the physical transmission network for further commercial activity, over and above already committed uses, calculated using the methodology described in Attachment C in th</w:t>
      </w:r>
      <w:r>
        <w:t>e OATT.</w:t>
      </w:r>
    </w:p>
    <w:p w:rsidR="006F26F0" w:rsidRDefault="00725BD1">
      <w:pPr>
        <w:pStyle w:val="Heading2"/>
      </w:pPr>
    </w:p>
    <w:sectPr w:rsidR="006F26F0" w:rsidSect="001F3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45D" w:rsidRDefault="0056545D" w:rsidP="0056545D">
      <w:r>
        <w:separator/>
      </w:r>
    </w:p>
  </w:endnote>
  <w:endnote w:type="continuationSeparator" w:id="0">
    <w:p w:rsidR="0056545D" w:rsidRDefault="0056545D" w:rsidP="00565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5D" w:rsidRDefault="00725BD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545D">
      <w:rPr>
        <w:rFonts w:ascii="Arial" w:eastAsia="Arial" w:hAnsi="Arial" w:cs="Arial"/>
        <w:color w:val="000000"/>
        <w:sz w:val="16"/>
      </w:rPr>
      <w:fldChar w:fldCharType="begin"/>
    </w:r>
    <w:r>
      <w:rPr>
        <w:rFonts w:ascii="Arial" w:eastAsia="Arial" w:hAnsi="Arial" w:cs="Arial"/>
        <w:color w:val="000000"/>
        <w:sz w:val="16"/>
      </w:rPr>
      <w:instrText>PAGE</w:instrText>
    </w:r>
    <w:r w:rsidR="005654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5D" w:rsidRDefault="00725BD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54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54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5D" w:rsidRDefault="00725BD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545D">
      <w:rPr>
        <w:rFonts w:ascii="Arial" w:eastAsia="Arial" w:hAnsi="Arial" w:cs="Arial"/>
        <w:color w:val="000000"/>
        <w:sz w:val="16"/>
      </w:rPr>
      <w:fldChar w:fldCharType="begin"/>
    </w:r>
    <w:r>
      <w:rPr>
        <w:rFonts w:ascii="Arial" w:eastAsia="Arial" w:hAnsi="Arial" w:cs="Arial"/>
        <w:color w:val="000000"/>
        <w:sz w:val="16"/>
      </w:rPr>
      <w:instrText>PAGE</w:instrText>
    </w:r>
    <w:r w:rsidR="005654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45D" w:rsidRDefault="0056545D" w:rsidP="0056545D">
      <w:r>
        <w:separator/>
      </w:r>
    </w:p>
  </w:footnote>
  <w:footnote w:type="continuationSeparator" w:id="0">
    <w:p w:rsidR="0056545D" w:rsidRDefault="0056545D" w:rsidP="00565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5D" w:rsidRDefault="00725BD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5D" w:rsidRDefault="00725BD1">
    <w:pPr>
      <w:rPr>
        <w:rFonts w:ascii="Arial" w:eastAsia="Arial" w:hAnsi="Arial" w:cs="Arial"/>
        <w:color w:val="000000"/>
        <w:sz w:val="16"/>
      </w:rPr>
    </w:pPr>
    <w:r>
      <w:rPr>
        <w:rFonts w:ascii="Arial" w:eastAsia="Arial" w:hAnsi="Arial" w:cs="Arial"/>
        <w:color w:val="000000"/>
        <w:sz w:val="16"/>
      </w:rPr>
      <w:t>NYISO Tariffs --&gt; Open Access Transmission Tariff (OATT) --&gt; 1 OATT Defi</w:t>
    </w:r>
    <w:r>
      <w:rPr>
        <w:rFonts w:ascii="Arial" w:eastAsia="Arial" w:hAnsi="Arial" w:cs="Arial"/>
        <w:color w:val="000000"/>
        <w:sz w:val="16"/>
      </w:rPr>
      <w:t>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5D" w:rsidRDefault="00725BD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w:t>
    </w:r>
    <w:r>
      <w:rPr>
        <w:rFonts w:ascii="Arial" w:eastAsia="Arial" w:hAnsi="Arial" w:cs="Arial"/>
        <w:color w:val="000000"/>
        <w:sz w:val="16"/>
      </w:rPr>
      <w:t>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BE8A090">
      <w:start w:val="1"/>
      <w:numFmt w:val="bullet"/>
      <w:pStyle w:val="Bulletpara"/>
      <w:lvlText w:val=""/>
      <w:lvlJc w:val="left"/>
      <w:pPr>
        <w:tabs>
          <w:tab w:val="num" w:pos="720"/>
        </w:tabs>
        <w:ind w:left="720" w:hanging="360"/>
      </w:pPr>
      <w:rPr>
        <w:rFonts w:ascii="Symbol" w:hAnsi="Symbol" w:hint="default"/>
      </w:rPr>
    </w:lvl>
    <w:lvl w:ilvl="1" w:tplc="42F87082" w:tentative="1">
      <w:start w:val="1"/>
      <w:numFmt w:val="bullet"/>
      <w:lvlText w:val="o"/>
      <w:lvlJc w:val="left"/>
      <w:pPr>
        <w:tabs>
          <w:tab w:val="num" w:pos="1440"/>
        </w:tabs>
        <w:ind w:left="1440" w:hanging="360"/>
      </w:pPr>
      <w:rPr>
        <w:rFonts w:ascii="Courier New" w:hAnsi="Courier New" w:cs="Courier New" w:hint="default"/>
      </w:rPr>
    </w:lvl>
    <w:lvl w:ilvl="2" w:tplc="84264FE4" w:tentative="1">
      <w:start w:val="1"/>
      <w:numFmt w:val="bullet"/>
      <w:lvlText w:val=""/>
      <w:lvlJc w:val="left"/>
      <w:pPr>
        <w:tabs>
          <w:tab w:val="num" w:pos="2160"/>
        </w:tabs>
        <w:ind w:left="2160" w:hanging="360"/>
      </w:pPr>
      <w:rPr>
        <w:rFonts w:ascii="Wingdings" w:hAnsi="Wingdings" w:hint="default"/>
      </w:rPr>
    </w:lvl>
    <w:lvl w:ilvl="3" w:tplc="39B8A52A" w:tentative="1">
      <w:start w:val="1"/>
      <w:numFmt w:val="bullet"/>
      <w:lvlText w:val=""/>
      <w:lvlJc w:val="left"/>
      <w:pPr>
        <w:tabs>
          <w:tab w:val="num" w:pos="2880"/>
        </w:tabs>
        <w:ind w:left="2880" w:hanging="360"/>
      </w:pPr>
      <w:rPr>
        <w:rFonts w:ascii="Symbol" w:hAnsi="Symbol" w:hint="default"/>
      </w:rPr>
    </w:lvl>
    <w:lvl w:ilvl="4" w:tplc="C612187A" w:tentative="1">
      <w:start w:val="1"/>
      <w:numFmt w:val="bullet"/>
      <w:lvlText w:val="o"/>
      <w:lvlJc w:val="left"/>
      <w:pPr>
        <w:tabs>
          <w:tab w:val="num" w:pos="3600"/>
        </w:tabs>
        <w:ind w:left="3600" w:hanging="360"/>
      </w:pPr>
      <w:rPr>
        <w:rFonts w:ascii="Courier New" w:hAnsi="Courier New" w:cs="Courier New" w:hint="default"/>
      </w:rPr>
    </w:lvl>
    <w:lvl w:ilvl="5" w:tplc="77043674" w:tentative="1">
      <w:start w:val="1"/>
      <w:numFmt w:val="bullet"/>
      <w:lvlText w:val=""/>
      <w:lvlJc w:val="left"/>
      <w:pPr>
        <w:tabs>
          <w:tab w:val="num" w:pos="4320"/>
        </w:tabs>
        <w:ind w:left="4320" w:hanging="360"/>
      </w:pPr>
      <w:rPr>
        <w:rFonts w:ascii="Wingdings" w:hAnsi="Wingdings" w:hint="default"/>
      </w:rPr>
    </w:lvl>
    <w:lvl w:ilvl="6" w:tplc="63F67164" w:tentative="1">
      <w:start w:val="1"/>
      <w:numFmt w:val="bullet"/>
      <w:lvlText w:val=""/>
      <w:lvlJc w:val="left"/>
      <w:pPr>
        <w:tabs>
          <w:tab w:val="num" w:pos="5040"/>
        </w:tabs>
        <w:ind w:left="5040" w:hanging="360"/>
      </w:pPr>
      <w:rPr>
        <w:rFonts w:ascii="Symbol" w:hAnsi="Symbol" w:hint="default"/>
      </w:rPr>
    </w:lvl>
    <w:lvl w:ilvl="7" w:tplc="8DE656AE" w:tentative="1">
      <w:start w:val="1"/>
      <w:numFmt w:val="bullet"/>
      <w:lvlText w:val="o"/>
      <w:lvlJc w:val="left"/>
      <w:pPr>
        <w:tabs>
          <w:tab w:val="num" w:pos="5760"/>
        </w:tabs>
        <w:ind w:left="5760" w:hanging="360"/>
      </w:pPr>
      <w:rPr>
        <w:rFonts w:ascii="Courier New" w:hAnsi="Courier New" w:cs="Courier New" w:hint="default"/>
      </w:rPr>
    </w:lvl>
    <w:lvl w:ilvl="8" w:tplc="E30CCFF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142B406">
      <w:start w:val="1"/>
      <w:numFmt w:val="bullet"/>
      <w:lvlText w:val="­"/>
      <w:lvlJc w:val="left"/>
      <w:pPr>
        <w:tabs>
          <w:tab w:val="num" w:pos="720"/>
        </w:tabs>
        <w:ind w:left="720" w:hanging="360"/>
      </w:pPr>
      <w:rPr>
        <w:rFonts w:ascii="Courier New" w:hAnsi="Courier New" w:hint="default"/>
      </w:rPr>
    </w:lvl>
    <w:lvl w:ilvl="1" w:tplc="D9AC168E" w:tentative="1">
      <w:start w:val="1"/>
      <w:numFmt w:val="bullet"/>
      <w:lvlText w:val="o"/>
      <w:lvlJc w:val="left"/>
      <w:pPr>
        <w:tabs>
          <w:tab w:val="num" w:pos="1440"/>
        </w:tabs>
        <w:ind w:left="1440" w:hanging="360"/>
      </w:pPr>
      <w:rPr>
        <w:rFonts w:ascii="Courier New" w:hAnsi="Courier New" w:cs="Courier New" w:hint="default"/>
      </w:rPr>
    </w:lvl>
    <w:lvl w:ilvl="2" w:tplc="C652CBA6" w:tentative="1">
      <w:start w:val="1"/>
      <w:numFmt w:val="bullet"/>
      <w:lvlText w:val=""/>
      <w:lvlJc w:val="left"/>
      <w:pPr>
        <w:tabs>
          <w:tab w:val="num" w:pos="2160"/>
        </w:tabs>
        <w:ind w:left="2160" w:hanging="360"/>
      </w:pPr>
      <w:rPr>
        <w:rFonts w:ascii="Wingdings" w:hAnsi="Wingdings" w:hint="default"/>
      </w:rPr>
    </w:lvl>
    <w:lvl w:ilvl="3" w:tplc="4DE228A8" w:tentative="1">
      <w:start w:val="1"/>
      <w:numFmt w:val="bullet"/>
      <w:lvlText w:val=""/>
      <w:lvlJc w:val="left"/>
      <w:pPr>
        <w:tabs>
          <w:tab w:val="num" w:pos="2880"/>
        </w:tabs>
        <w:ind w:left="2880" w:hanging="360"/>
      </w:pPr>
      <w:rPr>
        <w:rFonts w:ascii="Symbol" w:hAnsi="Symbol" w:hint="default"/>
      </w:rPr>
    </w:lvl>
    <w:lvl w:ilvl="4" w:tplc="1EA60A54" w:tentative="1">
      <w:start w:val="1"/>
      <w:numFmt w:val="bullet"/>
      <w:lvlText w:val="o"/>
      <w:lvlJc w:val="left"/>
      <w:pPr>
        <w:tabs>
          <w:tab w:val="num" w:pos="3600"/>
        </w:tabs>
        <w:ind w:left="3600" w:hanging="360"/>
      </w:pPr>
      <w:rPr>
        <w:rFonts w:ascii="Courier New" w:hAnsi="Courier New" w:cs="Courier New" w:hint="default"/>
      </w:rPr>
    </w:lvl>
    <w:lvl w:ilvl="5" w:tplc="7540B70E" w:tentative="1">
      <w:start w:val="1"/>
      <w:numFmt w:val="bullet"/>
      <w:lvlText w:val=""/>
      <w:lvlJc w:val="left"/>
      <w:pPr>
        <w:tabs>
          <w:tab w:val="num" w:pos="4320"/>
        </w:tabs>
        <w:ind w:left="4320" w:hanging="360"/>
      </w:pPr>
      <w:rPr>
        <w:rFonts w:ascii="Wingdings" w:hAnsi="Wingdings" w:hint="default"/>
      </w:rPr>
    </w:lvl>
    <w:lvl w:ilvl="6" w:tplc="47CEFC88" w:tentative="1">
      <w:start w:val="1"/>
      <w:numFmt w:val="bullet"/>
      <w:lvlText w:val=""/>
      <w:lvlJc w:val="left"/>
      <w:pPr>
        <w:tabs>
          <w:tab w:val="num" w:pos="5040"/>
        </w:tabs>
        <w:ind w:left="5040" w:hanging="360"/>
      </w:pPr>
      <w:rPr>
        <w:rFonts w:ascii="Symbol" w:hAnsi="Symbol" w:hint="default"/>
      </w:rPr>
    </w:lvl>
    <w:lvl w:ilvl="7" w:tplc="7EDE6A28" w:tentative="1">
      <w:start w:val="1"/>
      <w:numFmt w:val="bullet"/>
      <w:lvlText w:val="o"/>
      <w:lvlJc w:val="left"/>
      <w:pPr>
        <w:tabs>
          <w:tab w:val="num" w:pos="5760"/>
        </w:tabs>
        <w:ind w:left="5760" w:hanging="360"/>
      </w:pPr>
      <w:rPr>
        <w:rFonts w:ascii="Courier New" w:hAnsi="Courier New" w:cs="Courier New" w:hint="default"/>
      </w:rPr>
    </w:lvl>
    <w:lvl w:ilvl="8" w:tplc="0E46F8C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AB49518">
      <w:start w:val="1"/>
      <w:numFmt w:val="lowerRoman"/>
      <w:lvlText w:val="(%1)"/>
      <w:lvlJc w:val="left"/>
      <w:pPr>
        <w:tabs>
          <w:tab w:val="num" w:pos="2448"/>
        </w:tabs>
        <w:ind w:left="2448" w:hanging="648"/>
      </w:pPr>
      <w:rPr>
        <w:rFonts w:hint="default"/>
        <w:b w:val="0"/>
        <w:i w:val="0"/>
        <w:u w:val="none"/>
      </w:rPr>
    </w:lvl>
    <w:lvl w:ilvl="1" w:tplc="5B08AF62" w:tentative="1">
      <w:start w:val="1"/>
      <w:numFmt w:val="lowerLetter"/>
      <w:lvlText w:val="%2."/>
      <w:lvlJc w:val="left"/>
      <w:pPr>
        <w:tabs>
          <w:tab w:val="num" w:pos="1440"/>
        </w:tabs>
        <w:ind w:left="1440" w:hanging="360"/>
      </w:pPr>
    </w:lvl>
    <w:lvl w:ilvl="2" w:tplc="B4CC8E7E" w:tentative="1">
      <w:start w:val="1"/>
      <w:numFmt w:val="lowerRoman"/>
      <w:lvlText w:val="%3."/>
      <w:lvlJc w:val="right"/>
      <w:pPr>
        <w:tabs>
          <w:tab w:val="num" w:pos="2160"/>
        </w:tabs>
        <w:ind w:left="2160" w:hanging="180"/>
      </w:pPr>
    </w:lvl>
    <w:lvl w:ilvl="3" w:tplc="FE1C1A94" w:tentative="1">
      <w:start w:val="1"/>
      <w:numFmt w:val="decimal"/>
      <w:lvlText w:val="%4."/>
      <w:lvlJc w:val="left"/>
      <w:pPr>
        <w:tabs>
          <w:tab w:val="num" w:pos="2880"/>
        </w:tabs>
        <w:ind w:left="2880" w:hanging="360"/>
      </w:pPr>
    </w:lvl>
    <w:lvl w:ilvl="4" w:tplc="1F18545E" w:tentative="1">
      <w:start w:val="1"/>
      <w:numFmt w:val="lowerLetter"/>
      <w:lvlText w:val="%5."/>
      <w:lvlJc w:val="left"/>
      <w:pPr>
        <w:tabs>
          <w:tab w:val="num" w:pos="3600"/>
        </w:tabs>
        <w:ind w:left="3600" w:hanging="360"/>
      </w:pPr>
    </w:lvl>
    <w:lvl w:ilvl="5" w:tplc="125C9A98" w:tentative="1">
      <w:start w:val="1"/>
      <w:numFmt w:val="lowerRoman"/>
      <w:lvlText w:val="%6."/>
      <w:lvlJc w:val="right"/>
      <w:pPr>
        <w:tabs>
          <w:tab w:val="num" w:pos="4320"/>
        </w:tabs>
        <w:ind w:left="4320" w:hanging="180"/>
      </w:pPr>
    </w:lvl>
    <w:lvl w:ilvl="6" w:tplc="4434CA5C" w:tentative="1">
      <w:start w:val="1"/>
      <w:numFmt w:val="decimal"/>
      <w:lvlText w:val="%7."/>
      <w:lvlJc w:val="left"/>
      <w:pPr>
        <w:tabs>
          <w:tab w:val="num" w:pos="5040"/>
        </w:tabs>
        <w:ind w:left="5040" w:hanging="360"/>
      </w:pPr>
    </w:lvl>
    <w:lvl w:ilvl="7" w:tplc="BD0AD816" w:tentative="1">
      <w:start w:val="1"/>
      <w:numFmt w:val="lowerLetter"/>
      <w:lvlText w:val="%8."/>
      <w:lvlJc w:val="left"/>
      <w:pPr>
        <w:tabs>
          <w:tab w:val="num" w:pos="5760"/>
        </w:tabs>
        <w:ind w:left="5760" w:hanging="360"/>
      </w:pPr>
    </w:lvl>
    <w:lvl w:ilvl="8" w:tplc="5FA6D82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5DE59B0">
      <w:start w:val="1"/>
      <w:numFmt w:val="bullet"/>
      <w:lvlText w:val=""/>
      <w:lvlJc w:val="left"/>
      <w:pPr>
        <w:tabs>
          <w:tab w:val="num" w:pos="5760"/>
        </w:tabs>
        <w:ind w:left="5760" w:hanging="360"/>
      </w:pPr>
      <w:rPr>
        <w:rFonts w:ascii="Symbol" w:hAnsi="Symbol" w:hint="default"/>
        <w:color w:val="auto"/>
        <w:u w:val="none"/>
      </w:rPr>
    </w:lvl>
    <w:lvl w:ilvl="1" w:tplc="43F2E974" w:tentative="1">
      <w:start w:val="1"/>
      <w:numFmt w:val="bullet"/>
      <w:lvlText w:val="o"/>
      <w:lvlJc w:val="left"/>
      <w:pPr>
        <w:tabs>
          <w:tab w:val="num" w:pos="3600"/>
        </w:tabs>
        <w:ind w:left="3600" w:hanging="360"/>
      </w:pPr>
      <w:rPr>
        <w:rFonts w:ascii="Courier New" w:hAnsi="Courier New" w:hint="default"/>
      </w:rPr>
    </w:lvl>
    <w:lvl w:ilvl="2" w:tplc="AF44473E" w:tentative="1">
      <w:start w:val="1"/>
      <w:numFmt w:val="bullet"/>
      <w:lvlText w:val=""/>
      <w:lvlJc w:val="left"/>
      <w:pPr>
        <w:tabs>
          <w:tab w:val="num" w:pos="4320"/>
        </w:tabs>
        <w:ind w:left="4320" w:hanging="360"/>
      </w:pPr>
      <w:rPr>
        <w:rFonts w:ascii="Wingdings" w:hAnsi="Wingdings" w:hint="default"/>
      </w:rPr>
    </w:lvl>
    <w:lvl w:ilvl="3" w:tplc="95FED0CC">
      <w:start w:val="1"/>
      <w:numFmt w:val="bullet"/>
      <w:lvlText w:val=""/>
      <w:lvlJc w:val="left"/>
      <w:pPr>
        <w:tabs>
          <w:tab w:val="num" w:pos="5040"/>
        </w:tabs>
        <w:ind w:left="5040" w:hanging="360"/>
      </w:pPr>
      <w:rPr>
        <w:rFonts w:ascii="Symbol" w:hAnsi="Symbol" w:hint="default"/>
      </w:rPr>
    </w:lvl>
    <w:lvl w:ilvl="4" w:tplc="D43EF712" w:tentative="1">
      <w:start w:val="1"/>
      <w:numFmt w:val="bullet"/>
      <w:lvlText w:val="o"/>
      <w:lvlJc w:val="left"/>
      <w:pPr>
        <w:tabs>
          <w:tab w:val="num" w:pos="5760"/>
        </w:tabs>
        <w:ind w:left="5760" w:hanging="360"/>
      </w:pPr>
      <w:rPr>
        <w:rFonts w:ascii="Courier New" w:hAnsi="Courier New" w:hint="default"/>
      </w:rPr>
    </w:lvl>
    <w:lvl w:ilvl="5" w:tplc="F13E94C6" w:tentative="1">
      <w:start w:val="1"/>
      <w:numFmt w:val="bullet"/>
      <w:lvlText w:val=""/>
      <w:lvlJc w:val="left"/>
      <w:pPr>
        <w:tabs>
          <w:tab w:val="num" w:pos="6480"/>
        </w:tabs>
        <w:ind w:left="6480" w:hanging="360"/>
      </w:pPr>
      <w:rPr>
        <w:rFonts w:ascii="Wingdings" w:hAnsi="Wingdings" w:hint="default"/>
      </w:rPr>
    </w:lvl>
    <w:lvl w:ilvl="6" w:tplc="EA0C7E70" w:tentative="1">
      <w:start w:val="1"/>
      <w:numFmt w:val="bullet"/>
      <w:lvlText w:val=""/>
      <w:lvlJc w:val="left"/>
      <w:pPr>
        <w:tabs>
          <w:tab w:val="num" w:pos="7200"/>
        </w:tabs>
        <w:ind w:left="7200" w:hanging="360"/>
      </w:pPr>
      <w:rPr>
        <w:rFonts w:ascii="Symbol" w:hAnsi="Symbol" w:hint="default"/>
      </w:rPr>
    </w:lvl>
    <w:lvl w:ilvl="7" w:tplc="2CA2C0DE" w:tentative="1">
      <w:start w:val="1"/>
      <w:numFmt w:val="bullet"/>
      <w:lvlText w:val="o"/>
      <w:lvlJc w:val="left"/>
      <w:pPr>
        <w:tabs>
          <w:tab w:val="num" w:pos="7920"/>
        </w:tabs>
        <w:ind w:left="7920" w:hanging="360"/>
      </w:pPr>
      <w:rPr>
        <w:rFonts w:ascii="Courier New" w:hAnsi="Courier New" w:hint="default"/>
      </w:rPr>
    </w:lvl>
    <w:lvl w:ilvl="8" w:tplc="B2D404F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6545D"/>
    <w:rsid w:val="0056545D"/>
    <w:rsid w:val="00725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
    <w:name w:val="TOC heading"/>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2015-08-14T17:30:00Z</cp:lastPrinted>
  <dcterms:created xsi:type="dcterms:W3CDTF">2017-03-23T23:12:00Z</dcterms:created>
  <dcterms:modified xsi:type="dcterms:W3CDTF">2017-03-23T23:12:00Z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