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6" w:rsidRDefault="00E12D57" w:rsidP="00425F36">
      <w:pPr>
        <w:pStyle w:val="Heading2"/>
      </w:pPr>
      <w:bookmarkStart w:id="0" w:name="_Toc261446197"/>
      <w:r>
        <w:t xml:space="preserve">7.1 </w:t>
      </w:r>
      <w:r>
        <w:tab/>
        <w:t>ISO as Counterparty; Right to Net or Set Off; ISO Clearing Account</w:t>
      </w:r>
      <w:bookmarkEnd w:id="0"/>
    </w:p>
    <w:p w:rsidR="00425F36" w:rsidRDefault="00E12D57" w:rsidP="00425F36">
      <w:pPr>
        <w:pStyle w:val="Heading4"/>
      </w:pPr>
      <w:r>
        <w:t>7.1.1</w:t>
      </w:r>
      <w:r>
        <w:tab/>
        <w:t>ISO as Counterparty</w:t>
      </w:r>
    </w:p>
    <w:p w:rsidR="00425F36" w:rsidRDefault="00E12D57" w:rsidP="00425F36">
      <w:pPr>
        <w:pStyle w:val="Bodypara"/>
      </w:pPr>
      <w:r>
        <w:t xml:space="preserve">The ISO shall be for all purposes the contracting counterparty, in its own name and right, to each Customer for any purchase or sale of any product or </w:t>
      </w:r>
      <w:r>
        <w:t xml:space="preserve">service, or for any other transaction, that is financially settled by the ISO under the ISO Tariffs. </w:t>
      </w:r>
    </w:p>
    <w:p w:rsidR="00425F36" w:rsidRDefault="00E12D57" w:rsidP="00425F36">
      <w:pPr>
        <w:pStyle w:val="Heading4"/>
      </w:pPr>
      <w:r>
        <w:t>7.1.2</w:t>
      </w:r>
      <w:r>
        <w:tab/>
        <w:t xml:space="preserve">Right to Net or Set Off Obligations Owed </w:t>
      </w:r>
    </w:p>
    <w:p w:rsidR="00425F36" w:rsidRPr="009E556F" w:rsidRDefault="00E12D57" w:rsidP="00425F36">
      <w:pPr>
        <w:pStyle w:val="Bodypara"/>
      </w:pPr>
      <w:r>
        <w:t xml:space="preserve">Unless otherwise specifically set forth in this ISO Services Tariff, if for any settlement period </w:t>
      </w:r>
      <w:r w:rsidRPr="009E556F">
        <w:t xml:space="preserve">the </w:t>
      </w:r>
      <w:r>
        <w:t xml:space="preserve">ISO </w:t>
      </w:r>
      <w:r>
        <w:t>is</w:t>
      </w:r>
      <w:r w:rsidRPr="009E556F">
        <w:t xml:space="preserve"> required to pay an</w:t>
      </w:r>
      <w:r>
        <w:t>y</w:t>
      </w:r>
      <w:r w:rsidRPr="009E556F">
        <w:t xml:space="preserve"> amount to the </w:t>
      </w:r>
      <w:r>
        <w:t>Customer and the Customer is required to pay any amount to the ISO</w:t>
      </w:r>
      <w:r w:rsidRPr="009E556F">
        <w:t xml:space="preserve"> under </w:t>
      </w:r>
      <w:r>
        <w:t>this ISO Services Tariff or the ISO OATT</w:t>
      </w:r>
      <w:r w:rsidRPr="009E556F">
        <w:t xml:space="preserve">, such amounts shall be netted, and the </w:t>
      </w:r>
      <w:r>
        <w:t>p</w:t>
      </w:r>
      <w:r w:rsidRPr="009E556F">
        <w:t xml:space="preserve">arty owing the greater aggregate amount shall pay to the other </w:t>
      </w:r>
      <w:r>
        <w:t>p</w:t>
      </w:r>
      <w:r w:rsidRPr="009E556F">
        <w:t>a</w:t>
      </w:r>
      <w:r w:rsidRPr="009E556F">
        <w:t xml:space="preserve">rty </w:t>
      </w:r>
      <w:r>
        <w:t>the</w:t>
      </w:r>
      <w:r w:rsidRPr="009E556F">
        <w:t xml:space="preserve"> difference between the amounts owed.  Additionally, all outstanding </w:t>
      </w:r>
      <w:r>
        <w:t xml:space="preserve">payment </w:t>
      </w:r>
      <w:r w:rsidRPr="009E556F">
        <w:t xml:space="preserve">obligations under this </w:t>
      </w:r>
      <w:r>
        <w:t>ISO Services Tariff</w:t>
      </w:r>
      <w:r w:rsidRPr="009E556F">
        <w:t xml:space="preserve"> </w:t>
      </w:r>
      <w:r>
        <w:t xml:space="preserve">and the ISO OATT </w:t>
      </w:r>
      <w:r w:rsidRPr="009E556F">
        <w:t xml:space="preserve">between the </w:t>
      </w:r>
      <w:r>
        <w:t>ISO and the Customer</w:t>
      </w:r>
      <w:r w:rsidRPr="009E556F">
        <w:t xml:space="preserve"> may be netted, offset, set off, or recouped, and payment shall be owed as set f</w:t>
      </w:r>
      <w:r w:rsidRPr="009E556F">
        <w:t>orth above.</w:t>
      </w:r>
    </w:p>
    <w:p w:rsidR="00425F36" w:rsidRDefault="00E12D57" w:rsidP="00425F36">
      <w:pPr>
        <w:pStyle w:val="Heading4"/>
      </w:pPr>
      <w:r>
        <w:t>7.1.3</w:t>
      </w:r>
      <w:r>
        <w:tab/>
        <w:t>ISO Clearing Account</w:t>
      </w:r>
    </w:p>
    <w:p w:rsidR="00425F36" w:rsidRPr="00BD6272" w:rsidRDefault="00E12D57" w:rsidP="00425F36">
      <w:pPr>
        <w:pStyle w:val="Bodypara"/>
      </w:pPr>
      <w:r>
        <w:t>The ISO will establish one or more accounts (the “ISO Clearing Account”) at a bank or other financial institution, and Customers shall make payments to the ISO or receive payments from the ISO through the ISO Clearing</w:t>
      </w:r>
      <w:r>
        <w:t xml:space="preserve"> Account in accordance with their settlement information provided by the ISO as described in Section 7.2 of this ISO Services Tariff.</w:t>
      </w:r>
    </w:p>
    <w:p w:rsidR="00425F36" w:rsidRDefault="00E12D57" w:rsidP="00425F36">
      <w:pPr>
        <w:pStyle w:val="Bodypara"/>
      </w:pPr>
      <w:r>
        <w:t xml:space="preserve"> The funds held  by the ISO in the ISO Clearing</w:t>
      </w:r>
      <w:r w:rsidRPr="00BD6272">
        <w:t xml:space="preserve"> </w:t>
      </w:r>
      <w:r>
        <w:t>A</w:t>
      </w:r>
      <w:r w:rsidRPr="00BD6272">
        <w:t xml:space="preserve">ccount shall not be commingled with </w:t>
      </w:r>
      <w:r>
        <w:t xml:space="preserve">funds held by the ISO in </w:t>
      </w:r>
      <w:r w:rsidRPr="00BD6272">
        <w:t>any other IS</w:t>
      </w:r>
      <w:r w:rsidRPr="00BD6272">
        <w:t>O accounts.</w:t>
      </w:r>
    </w:p>
    <w:p w:rsidR="00425F36" w:rsidRDefault="00E12D57" w:rsidP="00425F36">
      <w:pPr>
        <w:pStyle w:val="Heading4"/>
      </w:pPr>
      <w:r>
        <w:t>7.1.4</w:t>
      </w:r>
      <w:r>
        <w:tab/>
        <w:t>ISO Liability for Payment</w:t>
      </w:r>
    </w:p>
    <w:p w:rsidR="00425F36" w:rsidRDefault="00E12D57" w:rsidP="00425F36">
      <w:pPr>
        <w:pStyle w:val="Bodypara"/>
      </w:pPr>
      <w:r>
        <w:t xml:space="preserve">The obligation of the ISO to pay Customers for monies owed for a given settlement </w:t>
      </w:r>
      <w:r>
        <w:lastRenderedPageBreak/>
        <w:t xml:space="preserve">period shall be limited so that the aggregate liability of the ISO for such payments does not exceed the sum of (i) the aggregate </w:t>
      </w:r>
      <w:r>
        <w:t>amount paid to or recovered by the ISO from Customers (including by applying a defaulting Customer’s financial security) for that settlement period, and (ii) the amount of funds held by the ISO in the Working Capital Fund.  The process for declaring and re</w:t>
      </w:r>
      <w:r>
        <w:t>covering bad debt losses is set forth in Attachment U to the ISO OATT.</w:t>
      </w:r>
    </w:p>
    <w:p w:rsidR="00425F36" w:rsidRDefault="00E12D57" w:rsidP="00425F36">
      <w:pPr>
        <w:pStyle w:val="Bodypara"/>
      </w:pPr>
    </w:p>
    <w:sectPr w:rsidR="00425F36" w:rsidSect="00425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4F" w:rsidRDefault="00333D4F" w:rsidP="00333D4F">
      <w:r>
        <w:separator/>
      </w:r>
    </w:p>
  </w:endnote>
  <w:endnote w:type="continuationSeparator" w:id="0">
    <w:p w:rsidR="00333D4F" w:rsidRDefault="00333D4F" w:rsidP="0033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F" w:rsidRDefault="00E12D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7/1/2012 -</w:t>
    </w:r>
    <w:r>
      <w:rPr>
        <w:rFonts w:ascii="Arial" w:eastAsia="Arial" w:hAnsi="Arial" w:cs="Arial"/>
        <w:color w:val="000000"/>
        <w:sz w:val="16"/>
      </w:rPr>
      <w:t xml:space="preserve"> Docket #: ER11-3949-005 - Page </w:t>
    </w:r>
    <w:r w:rsidR="00333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33D4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F" w:rsidRDefault="00E12D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Page </w:t>
    </w:r>
    <w:r w:rsidR="00333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33D4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F" w:rsidRDefault="00E12D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Page </w:t>
    </w:r>
    <w:r w:rsidR="00333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33D4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4F" w:rsidRDefault="00333D4F" w:rsidP="00333D4F">
      <w:r>
        <w:separator/>
      </w:r>
    </w:p>
  </w:footnote>
  <w:footnote w:type="continuationSeparator" w:id="0">
    <w:p w:rsidR="00333D4F" w:rsidRDefault="00333D4F" w:rsidP="00333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F" w:rsidRDefault="00E12D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</w:t>
    </w:r>
    <w:r>
      <w:rPr>
        <w:rFonts w:ascii="Arial" w:eastAsia="Arial" w:hAnsi="Arial" w:cs="Arial"/>
        <w:color w:val="000000"/>
        <w:sz w:val="16"/>
      </w:rPr>
      <w:t>ST ISO as Counterparty; Right to Net or Set Off; ISO Cl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F" w:rsidRDefault="00E12D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as Counterparty; Right to Net or Set Off; ISO Cl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F" w:rsidRDefault="00E12D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as Counterparty; Right to N</w:t>
    </w:r>
    <w:r>
      <w:rPr>
        <w:rFonts w:ascii="Arial" w:eastAsia="Arial" w:hAnsi="Arial" w:cs="Arial"/>
        <w:color w:val="000000"/>
        <w:sz w:val="16"/>
      </w:rPr>
      <w:t>et or Set Off; ISO Cl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712F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C4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48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27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E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0CA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27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E8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43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42E42D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4477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A4CD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F2F4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0BF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D88A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FC1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5462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7821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9AA8C8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6073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B42B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6A69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7074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D8BE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CD8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282D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1C1C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49A4A9F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2F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AE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A1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C2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A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88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0C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EE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28036A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F9EEA75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85067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9A80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46AD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A405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D65C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9E24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5825B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64E8850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884D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7AD1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E4CC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69622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44C43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A84B4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1C52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0A9A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1096BA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D666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6A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8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CE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06E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03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CE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A8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FE048FA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920F1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C8E0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CA6E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C4BA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9632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F4B6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845E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802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758A939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7F04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68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C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A8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A6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87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0D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F07A267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2A98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D0C87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38052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4447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C817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B03E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544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000B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8ABCD0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5781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85E9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D3CD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D4AB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461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3D08E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B4CD4D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630A4B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0D085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E6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664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5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6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2ED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87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8F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47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D1D427D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5F2A4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381D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90EA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8CB9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5638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8263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D87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108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D4F"/>
    <w:rsid w:val="00333D4F"/>
    <w:rsid w:val="00E1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7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A4D7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A4D7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FA4D7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A4D7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4D7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A4D7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A4D7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A4D7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A4D7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FA4D7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333D4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FA4D7E"/>
    <w:rPr>
      <w:sz w:val="16"/>
      <w:szCs w:val="16"/>
    </w:rPr>
  </w:style>
  <w:style w:type="paragraph" w:styleId="CommentText">
    <w:name w:val="annotation text"/>
    <w:basedOn w:val="Normal"/>
    <w:semiHidden/>
    <w:rsid w:val="00FA4D7E"/>
    <w:rPr>
      <w:sz w:val="20"/>
    </w:rPr>
  </w:style>
  <w:style w:type="paragraph" w:styleId="Header">
    <w:name w:val="header"/>
    <w:basedOn w:val="Normal"/>
    <w:rsid w:val="00FA4D7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333D4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FA4D7E"/>
  </w:style>
  <w:style w:type="paragraph" w:styleId="BalloonText">
    <w:name w:val="Balloon Text"/>
    <w:basedOn w:val="Normal"/>
    <w:semiHidden/>
    <w:rsid w:val="00FA4D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A4D7E"/>
  </w:style>
  <w:style w:type="paragraph" w:customStyle="1" w:styleId="Definition">
    <w:name w:val="Definition"/>
    <w:basedOn w:val="Normal"/>
    <w:rsid w:val="00FA4D7E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FA4D7E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FA4D7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A4D7E"/>
    <w:pPr>
      <w:ind w:left="1440" w:hanging="720"/>
    </w:pPr>
  </w:style>
  <w:style w:type="paragraph" w:styleId="Date">
    <w:name w:val="Date"/>
    <w:basedOn w:val="Normal"/>
    <w:next w:val="Normal"/>
    <w:rsid w:val="00FA4D7E"/>
    <w:pPr>
      <w:widowControl/>
    </w:pPr>
  </w:style>
  <w:style w:type="paragraph" w:customStyle="1" w:styleId="TOCheading">
    <w:name w:val="TOC heading"/>
    <w:basedOn w:val="Normal"/>
    <w:rsid w:val="00FA4D7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A4D7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A4D7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A4D7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A4D7E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A4D7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A4D7E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A4D7E"/>
  </w:style>
  <w:style w:type="paragraph" w:customStyle="1" w:styleId="Tarifftitle">
    <w:name w:val="Tariff title"/>
    <w:basedOn w:val="Normal"/>
    <w:rsid w:val="00FA4D7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A4D7E"/>
    <w:pPr>
      <w:ind w:left="240"/>
    </w:pPr>
  </w:style>
  <w:style w:type="character" w:styleId="Hyperlink">
    <w:name w:val="Hyperlink"/>
    <w:basedOn w:val="DefaultParagraphFont"/>
    <w:rsid w:val="00FA4D7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A4D7E"/>
    <w:pPr>
      <w:ind w:left="480"/>
    </w:pPr>
  </w:style>
  <w:style w:type="paragraph" w:styleId="TOC4">
    <w:name w:val="toc 4"/>
    <w:basedOn w:val="Normal"/>
    <w:next w:val="Normal"/>
    <w:semiHidden/>
    <w:rsid w:val="00FA4D7E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FA4D7E"/>
    <w:rPr>
      <w:b/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FA4D7E"/>
    <w:rPr>
      <w:snapToGrid w:val="0"/>
      <w:sz w:val="24"/>
    </w:rPr>
  </w:style>
  <w:style w:type="paragraph" w:styleId="CommentSubject">
    <w:name w:val="annotation subject"/>
    <w:basedOn w:val="CommentText"/>
    <w:next w:val="CommentText"/>
    <w:semiHidden/>
    <w:rsid w:val="00FA4D7E"/>
    <w:rPr>
      <w:b/>
      <w:bCs/>
    </w:rPr>
  </w:style>
  <w:style w:type="paragraph" w:styleId="Footer">
    <w:name w:val="footer"/>
    <w:basedOn w:val="Normal"/>
    <w:rsid w:val="00FA4D7E"/>
    <w:pPr>
      <w:tabs>
        <w:tab w:val="center" w:pos="4320"/>
        <w:tab w:val="right" w:pos="8640"/>
      </w:tabs>
    </w:pPr>
  </w:style>
  <w:style w:type="character" w:customStyle="1" w:styleId="Heading3Char1">
    <w:name w:val="Heading 3 Char1"/>
    <w:basedOn w:val="DefaultParagraphFont"/>
    <w:link w:val="Heading3"/>
    <w:rsid w:val="00FA4D7E"/>
    <w:rPr>
      <w:b/>
      <w:snapToGrid w:val="0"/>
      <w:sz w:val="24"/>
    </w:rPr>
  </w:style>
  <w:style w:type="paragraph" w:styleId="TOC5">
    <w:name w:val="toc 5"/>
    <w:basedOn w:val="Normal"/>
    <w:next w:val="Normal"/>
    <w:rsid w:val="00FA4D7E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FA4D7E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FA4D7E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FA4D7E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FA4D7E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FA4D7E"/>
    <w:pPr>
      <w:ind w:left="1800" w:hanging="630"/>
    </w:pPr>
  </w:style>
  <w:style w:type="paragraph" w:styleId="BodyTextIndent">
    <w:name w:val="Body Text Indent"/>
    <w:aliases w:val="bi"/>
    <w:basedOn w:val="Normal"/>
    <w:link w:val="BodyTextIndentChar"/>
    <w:rsid w:val="00FA4D7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FA4D7E"/>
    <w:rPr>
      <w:snapToGrid w:val="0"/>
      <w:sz w:val="24"/>
    </w:rPr>
  </w:style>
  <w:style w:type="table" w:styleId="TableGrid">
    <w:name w:val="Table Grid"/>
    <w:basedOn w:val="TableNormal"/>
    <w:rsid w:val="00FA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2012-02-22T14:47:00Z</cp:lastPrinted>
  <dcterms:created xsi:type="dcterms:W3CDTF">2017-03-23T23:49:00Z</dcterms:created>
  <dcterms:modified xsi:type="dcterms:W3CDTF">2017-03-23T23:49:00Z</dcterms:modified>
</cp:coreProperties>
</file>