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7525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[include if docket no. exists]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4076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National Grid and Fortistar North Tonawanda Inc. SA No. 2220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971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Service Agreement No. 2220 </w:t>
      </w:r>
    </w:p>
    <w:p>
      <w:pPr>
        <w:autoSpaceDE w:val="0"/>
        <w:autoSpaceDN w:val="0"/>
        <w:adjustRightInd w:val="0"/>
        <w:spacing w:before="21" w:line="220" w:lineRule="exact"/>
        <w:ind w:left="1440" w:right="2335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NiMo and Fortistar North Tonawanda Inc. Interconnection Agreement 2220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175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8077000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2015-06-01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Change Type:  New</w:t>
      </w:r>
    </w:p>
    <w:p>
      <w:pPr>
        <w:autoSpaceDE w:val="0"/>
        <w:autoSpaceDN w:val="0"/>
        <w:adjustRightInd w:val="0"/>
        <w:spacing w:before="1" w:line="224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Content Type:  2</w:t>
      </w:r>
    </w:p>
    <w:p>
      <w:pPr>
        <w:tabs>
          <w:tab w:val="left" w:pos="3939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Associated Filing Identifier: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[Source - if applicable]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552" w:lineRule="exact"/>
        <w:ind w:left="414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2" w:lineRule="exact"/>
        <w:ind w:left="414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552" w:lineRule="exact"/>
        <w:ind w:left="4145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48"/>
          <w:szCs w:val="24"/>
          <w:u w:val="none"/>
          <w:vertAlign w:val="baseline"/>
        </w:rPr>
        <w:t xml:space="preserve">ATTACHMENT A </w:t>
      </w:r>
    </w:p>
    <w:p>
      <w:pPr>
        <w:autoSpaceDE w:val="0"/>
        <w:autoSpaceDN w:val="0"/>
        <w:adjustRightInd w:val="0"/>
        <w:spacing w:before="0" w:line="320" w:lineRule="exact"/>
        <w:ind w:left="1697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1697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1697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8"/>
          <w:u w:val="none"/>
          <w:vertAlign w:val="baseline"/>
        </w:rPr>
      </w:pPr>
    </w:p>
    <w:p>
      <w:pPr>
        <w:tabs>
          <w:tab w:val="left" w:pos="3138"/>
        </w:tabs>
        <w:autoSpaceDE w:val="0"/>
        <w:autoSpaceDN w:val="0"/>
        <w:adjustRightInd w:val="0"/>
        <w:spacing w:before="80" w:line="320" w:lineRule="exact"/>
        <w:ind w:left="1697" w:right="1401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8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8"/>
          <w:szCs w:val="24"/>
          <w:u w:val="none"/>
          <w:vertAlign w:val="baseline"/>
        </w:rPr>
        <w:t xml:space="preserve">THE FORTISTAR LGIA (SERVICE AGREEMENT NO. 2220 UNDER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8"/>
          <w:szCs w:val="24"/>
          <w:u w:val="none"/>
          <w:vertAlign w:val="baseline"/>
        </w:rPr>
        <w:t xml:space="preserve">NYISO OATT), PROVIDED IN CLEAN FORMAT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sz w:val="28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42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2220 </w:t>
      </w:r>
    </w:p>
    <w:p>
      <w:pPr>
        <w:autoSpaceDE w:val="0"/>
        <w:autoSpaceDN w:val="0"/>
        <w:adjustRightInd w:val="0"/>
        <w:spacing w:before="0" w:line="276" w:lineRule="exact"/>
        <w:ind w:left="2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2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INTERCONNECTION AGREEMENT </w:t>
      </w:r>
    </w:p>
    <w:p>
      <w:pPr>
        <w:autoSpaceDE w:val="0"/>
        <w:autoSpaceDN w:val="0"/>
        <w:adjustRightInd w:val="0"/>
        <w:spacing w:before="0" w:line="276" w:lineRule="exact"/>
        <w:ind w:left="55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542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276" w:lineRule="exact"/>
        <w:ind w:left="2177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58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8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38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8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FORTISTAR NORTH TONAWANDA INC. </w:t>
      </w:r>
    </w:p>
    <w:p>
      <w:pPr>
        <w:autoSpaceDE w:val="0"/>
        <w:autoSpaceDN w:val="0"/>
        <w:adjustRightInd w:val="0"/>
        <w:spacing w:before="0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045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EXECUTION COPY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8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2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44pt;height:704pt;margin-top:0;margin-left:0;mso-position-horizontal-relative:page;mso-position-vertical-relative:page;position:absolute;z-index:-251658240" o:allowincell="f">
            <v:imagedata r:id="rId46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7" w:name="Pg9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9" w:line="27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245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10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 (1) Rest of State (i.e.,  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H,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deliver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from the Large Generating Facility, pursuant to the terms of the NYISO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the System Deliverability Upgrades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generation and merchant transmission project included in the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to interconnect to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Distribution System in compliance with the NYISO Deliverability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1"/>
      <w:bookmarkEnd w:id="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any modifications, additions or upgrades to such facilities and equipment.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are sole use facilities and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 or System Upgrade Facilities. </w:t>
      </w:r>
    </w:p>
    <w:p>
      <w:pPr>
        <w:autoSpaceDE w:val="0"/>
        <w:autoSpaceDN w:val="0"/>
        <w:adjustRightInd w:val="0"/>
        <w:spacing w:before="205" w:line="276" w:lineRule="exact"/>
        <w:ind w:left="144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standard that must be met by any </w:t>
      </w:r>
    </w:p>
    <w:p>
      <w:pPr>
        <w:autoSpaceDE w:val="0"/>
        <w:autoSpaceDN w:val="0"/>
        <w:adjustRightInd w:val="0"/>
        <w:spacing w:before="4" w:line="276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proposing to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 and become a qualified Installed Capacity Supplier. To meet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Deliverability Interconnection Standard, the Developer of the proposed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must, in accordance with the rules in Attachment S to the NYISO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fund or commit to fund the System Deliverability Upgrades identified for its project in the Class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 Deliverability Study. </w:t>
      </w:r>
    </w:p>
    <w:p>
      <w:pPr>
        <w:autoSpaceDE w:val="0"/>
        <w:autoSpaceDN w:val="0"/>
        <w:adjustRightInd w:val="0"/>
        <w:spacing w:before="249" w:line="27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2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LFIP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SGIP under FERC Order Nos. 2003 and/or 2006.  The term Distribution System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LIPA’s distribution facilities. </w:t>
      </w:r>
    </w:p>
    <w:p>
      <w:pPr>
        <w:autoSpaceDE w:val="0"/>
        <w:autoSpaceDN w:val="0"/>
        <w:adjustRightInd w:val="0"/>
        <w:spacing w:before="226" w:line="274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0" w:line="280" w:lineRule="exact"/>
        <w:ind w:left="1440" w:righ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21" w:line="28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3"/>
      <w:bookmarkEnd w:id="1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7" w:line="273" w:lineRule="exact"/>
        <w:ind w:left="144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18" w:line="260" w:lineRule="exact"/>
        <w:ind w:left="1440" w:right="14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4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New York State.  Each interface shall be evaluated to determine additional “in </w:t>
      </w:r>
    </w:p>
    <w:p>
      <w:pPr>
        <w:autoSpaceDE w:val="0"/>
        <w:autoSpaceDN w:val="0"/>
        <w:adjustRightInd w:val="0"/>
        <w:spacing w:before="5" w:line="275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series” 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which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 the interface.  In determining “in series” facilities for Dysinger East and West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interfaces, the 115 kV and 230 kV tie lines between NYCA and PJM located in LBMP Zones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shall not participate in the transfer.  Highway transmission facilities are listed in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6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2" w:line="280" w:lineRule="exact"/>
        <w:ind w:left="1440" w:righ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44" w:line="276" w:lineRule="exact"/>
        <w:ind w:left="1440" w:right="14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5"/>
      <w:bookmarkEnd w:id="1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" w:line="280" w:lineRule="exact"/>
        <w:ind w:left="1440" w:righ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58" w:line="26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4" w:line="280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met by </w:t>
      </w:r>
    </w:p>
    <w:p>
      <w:pPr>
        <w:autoSpaceDE w:val="0"/>
        <w:autoSpaceDN w:val="0"/>
        <w:adjustRightInd w:val="0"/>
        <w:spacing w:before="1" w:line="280" w:lineRule="exact"/>
        <w:ind w:left="144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System.  The Standard is designed to ensure reliable access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project to the New York State Transmission System.  The Standard does not impose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deliverability test or deliverability requirement on 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6"/>
      <w:bookmarkEnd w:id="1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" w:line="520" w:lineRule="exact"/>
        <w:ind w:left="1440" w:right="18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199" w:line="280" w:lineRule="exact"/>
        <w:ind w:left="1440" w:right="20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246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 Capacity Regions:  Lower Hudson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Rest of State (Load Zones A-F) to Lower Hudson Valley (Load Zones G-I);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Lower Hudson Valley (Load Zones G-I)] to New York City (Load Zone J)];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Lower Hudson Valley (Load Zones G-I) to Long Island (Load Zone K)],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following Interfaces between the NYCA and adjacent Control Areas:  PJM to NYISO, ISO-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 to NYISO, Hydro-Quebec to NYISO, and Norwalk Harbor (Connecticut) to Northport (Long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Island) Cable. </w:t>
      </w:r>
    </w:p>
    <w:p>
      <w:pPr>
        <w:autoSpaceDE w:val="0"/>
        <w:autoSpaceDN w:val="0"/>
        <w:adjustRightInd w:val="0"/>
        <w:spacing w:before="258" w:line="26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Connecting Transmission Owner or Developer or any combination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2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7"/>
      <w:bookmarkEnd w:id="1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24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Connecting Transmission Owner and the Developer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as to what constitutes Stand Alone System Upgrade Facilities and identify them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</w:p>
    <w:p>
      <w:pPr>
        <w:autoSpaceDE w:val="0"/>
        <w:autoSpaceDN w:val="0"/>
        <w:adjustRightInd w:val="0"/>
        <w:spacing w:before="1" w:line="280" w:lineRule="exact"/>
        <w:ind w:left="1440" w:right="19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6" w:line="274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8"/>
      <w:bookmarkEnd w:id="1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0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7" w:line="273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June 1, 2015 (the “Effective Date”), subject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file this Agreement with FERC upon execution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provisions of Article 2.3, this Agreement shall remain in effect for a period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ten (10) years from the Effective Date and shall be automatically renewed for each successive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one-year period thereafter.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5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6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ninety (90) Calendar Days advance written notice, or by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notifying FERC after the Large Generating Facility permanently ceases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53" w:line="280" w:lineRule="exact"/>
        <w:ind w:left="1440" w:right="13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9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Party’s receipt of such notice of termination, that is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both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9" w:line="275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8" w:line="276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20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22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file this Agreement (and any amendment hereto)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NYISO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Connecting Transmission Owner with respect to such filing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any information reasonably requested by Connecting Transmission Owner needed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19" w:line="280" w:lineRule="exact"/>
        <w:ind w:left="1440" w:right="13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Product.</w:t>
      </w:r>
    </w:p>
    <w:p>
      <w:pPr>
        <w:autoSpaceDE w:val="0"/>
        <w:autoSpaceDN w:val="0"/>
        <w:adjustRightInd w:val="0"/>
        <w:spacing w:before="255" w:line="280" w:lineRule="exact"/>
        <w:ind w:left="1440" w:right="154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 Capacity Resource Interconnection Service and Energy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right="1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output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matches the scheduled delivery from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OATT and any applicable FERC-approved market structure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80" w:lineRule="exact"/>
        <w:ind w:left="1440" w:right="15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1"/>
      <w:bookmarkEnd w:id="1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2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Option.</w:t>
      </w:r>
    </w:p>
    <w:p>
      <w:pPr>
        <w:autoSpaceDE w:val="0"/>
        <w:autoSpaceDN w:val="0"/>
        <w:adjustRightInd w:val="0"/>
        <w:spacing w:before="254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Option.</w:t>
      </w:r>
    </w:p>
    <w:p>
      <w:pPr>
        <w:autoSpaceDE w:val="0"/>
        <w:autoSpaceDN w:val="0"/>
        <w:adjustRightInd w:val="0"/>
        <w:spacing w:before="258" w:line="276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2"/>
      <w:bookmarkEnd w:id="20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to Build.</w:t>
      </w:r>
    </w:p>
    <w:p>
      <w:pPr>
        <w:autoSpaceDE w:val="0"/>
        <w:autoSpaceDN w:val="0"/>
        <w:adjustRightInd w:val="0"/>
        <w:spacing w:before="262" w:line="276" w:lineRule="exact"/>
        <w:ind w:left="1440" w:right="13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Connecting Transmission Owner and Developer must agree as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 constitutes Stand Alone System Upgrade Facilities and identify such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in Appendix A hereto.  Except for Stand Alone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no right to construct System Upgrade Facilities under this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Negotiated Option.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within thirty (30) Calendar Days,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in good faith attempt to negotiate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the provision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incentives or the procurement and construction of a portion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by Developer)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which Connecting Transmission Owner is responsible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Upgrades.  If the two Parties are unable to 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such terms and conditions, Connecting Transmission Owner shall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19" w:line="280" w:lineRule="exact"/>
        <w:ind w:left="1440" w:right="14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3"/>
      <w:bookmarkEnd w:id="21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engineer, procure equipment, and construct the Connecting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</w:p>
    <w:p>
      <w:pPr>
        <w:autoSpaceDE w:val="0"/>
        <w:autoSpaceDN w:val="0"/>
        <w:adjustRightInd w:val="0"/>
        <w:spacing w:before="4" w:line="280" w:lineRule="exact"/>
        <w:ind w:left="1440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19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3" w:lineRule="exact"/>
        <w:ind w:left="1440" w:right="15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for claims arising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Developer’s construction of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under procedures applicable to Article 18.1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1440" w:right="185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4"/>
      <w:bookmarkEnd w:id="2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16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0" w:line="277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48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5"/>
      <w:bookmarkEnd w:id="23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Large Generator Interconnection Agreement with the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or inaction by any other Party, or any other cause beyond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control or reasonable ability to cure; (3) the Developer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or (4)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have otherwise agreed.  In no event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have any liability whatever to Developer for liquidated damages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 or construction of Attachment Facilities or System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2" w:line="277" w:lineRule="exact"/>
        <w:ind w:left="1440" w:right="15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Connecting Transmission Owner reserve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establish minimum acceptable settings for any installed Power System Stabilizers,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design and operating limitations of the Large Generating Facility.  If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Power System Stabilizers are removed from service or not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The requirements of this paragraph shall not apply to wind 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16" w:line="276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51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6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7" w:line="273" w:lineRule="exact"/>
        <w:ind w:left="1440" w:right="16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51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16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1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7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shall permit Developer to operate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Developer’s Attachment Facilities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5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Specifications.</w:t>
      </w:r>
    </w:p>
    <w:p>
      <w:pPr>
        <w:autoSpaceDE w:val="0"/>
        <w:autoSpaceDN w:val="0"/>
        <w:adjustRightInd w:val="0"/>
        <w:spacing w:before="265" w:line="275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252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Construction.</w:t>
      </w:r>
    </w:p>
    <w:p>
      <w:pPr>
        <w:autoSpaceDE w:val="0"/>
        <w:autoSpaceDN w:val="0"/>
        <w:adjustRightInd w:val="0"/>
        <w:spacing w:before="252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8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</w:r>
    </w:p>
    <w:p>
      <w:pPr>
        <w:autoSpaceDE w:val="0"/>
        <w:autoSpaceDN w:val="0"/>
        <w:adjustRightInd w:val="0"/>
        <w:spacing w:before="1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7" w:line="273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18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9"/>
      <w:bookmarkEnd w:id="2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18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shall cooperate with each other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in compliance with Applicable Laws and Regulations.  With respect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paragraph, Connecting Transmission Owner shall provide permitting assistance to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to that provided to the Connecting Transmission Owner’s own, or an Affiliate’s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5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30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Payments Not Taxable.</w:t>
      </w:r>
    </w:p>
    <w:p>
      <w:pPr>
        <w:autoSpaceDE w:val="0"/>
        <w:autoSpaceDN w:val="0"/>
        <w:adjustRightInd w:val="0"/>
        <w:spacing w:before="254" w:line="276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25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Indemnification for the Cost Consequences of Current Tax Liability Imposed</w:t>
      </w:r>
    </w:p>
    <w:p>
      <w:pPr>
        <w:autoSpaceDE w:val="0"/>
        <w:autoSpaceDN w:val="0"/>
        <w:adjustRightInd w:val="0"/>
        <w:spacing w:before="1" w:line="273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Upon the Connecting Transmission Owner.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1"/>
      <w:bookmarkEnd w:id="29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4" w:line="276" w:lineRule="exact"/>
        <w:ind w:left="1440" w:right="12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Gross-Up Amount.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2"/>
      <w:bookmarkEnd w:id="3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6" w:line="273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 Depreciation))/(1 -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66" w:line="276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8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3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contest.  At any time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Connecting Transmission Owner may agree to a settlement either with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after obtaining written advice from nationally-recognized tax counsel, selected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Owner for the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issue in the contest.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252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1440" w:right="21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5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4"/>
      <w:bookmarkEnd w:id="3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respect to any such taxes paid by Connecting Transmission Owner, any</w:t>
      </w:r>
    </w:p>
    <w:p>
      <w:pPr>
        <w:autoSpaceDE w:val="0"/>
        <w:autoSpaceDN w:val="0"/>
        <w:adjustRightInd w:val="0"/>
        <w:spacing w:before="0" w:line="275" w:lineRule="exact"/>
        <w:ind w:left="1440" w:right="15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3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 Other Than Income Taxes.</w:t>
      </w:r>
    </w:p>
    <w:p>
      <w:pPr>
        <w:autoSpaceDE w:val="0"/>
        <w:autoSpaceDN w:val="0"/>
        <w:adjustRightInd w:val="0"/>
        <w:spacing w:before="25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60" w:line="277" w:lineRule="exact"/>
        <w:ind w:left="1440" w:right="133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the other Party’s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or the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Connecting Transmission Owner with respect to the issuance of bonds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Local Furnishing Bonds.  Notwithstanding any other provisions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NYPA and Consolidated Edison Company of New York, Inc. shall not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provisions of this Agreement that would result in the loss of tax-exempt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their Tax-Exempt Bonds or impair their ability to issue future tax-exempt obligations.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provision, Tax-Exempt Bonds shall include the obligations of the Long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5"/>
      <w:bookmarkEnd w:id="3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9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which is not included in gross income under the 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Non-Jurisdictional Entities.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LIPA and NYPA do not waive their exemptions, pu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suant to Section 201(f) of the FPA,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from Commission jurisdiction with respect to the Commission’s exercise of the FPA’s general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ratemaking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2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1" w:line="280" w:lineRule="exact"/>
        <w:ind w:left="1440" w:right="14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Connecting Transmission Owner shall provide, within sixty </w:t>
      </w:r>
    </w:p>
    <w:p>
      <w:pPr>
        <w:autoSpaceDE w:val="0"/>
        <w:autoSpaceDN w:val="0"/>
        <w:adjustRightInd w:val="0"/>
        <w:spacing w:before="4" w:line="276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(60) Calendar Days (or such other time as the Parties may agree), an estimate of any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necessitated by such Developer modification and a good faith estimate of the costs thereof.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such additional modifications,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studying the impact of the Developer modification.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69" w:line="270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6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Developer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Developer Attachment Facilities that may be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or upgrade such Developer Attachment Facilities consistent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16" w:line="277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testing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after initial operation.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modifications.  Developer shall generate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at the Large Generating Facility only if it has arranged for the injection of such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16" w:line="277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Practice and Applicable Reli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9" w:line="27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0" w:line="276" w:lineRule="exact"/>
        <w:ind w:left="1440" w:right="14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7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2" w:line="276" w:lineRule="exact"/>
        <w:ind w:left="1440" w:right="13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0" w:line="277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15" w:line="280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8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7" w:line="273" w:lineRule="exact"/>
        <w:ind w:left="1440" w:right="142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9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5" w:line="275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through use of a dedicated point-to-point data circuit(s)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indicated in Article 8.1.  The communication protocol for the data circuit(s) shall be specified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Instantaneous bi-directional analog real power and reactive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flow information must be telemetered directly to the location(s) specified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9" w:line="273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9" w:line="27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Party and the NYISO all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reasonably be required by the other Party and the NYISO to comply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 and Regulations and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 in a safe and reliable manner and in accordance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40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Developer shall operate the Large Generating Facility and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such requirements are set forth or referenced in Appendix C hereto.  Appendix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will be modified to reflect changes to the requirements as they may change from time to time.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request that the other Party provide copies of the requirements set forth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1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Facility to maintain an effective power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demonstrated maximum net capability at the Point of Interconnection at a power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within the range established by the Connecting Transmission Owner on a comparable </w:t>
      </w:r>
    </w:p>
    <w:p>
      <w:pPr>
        <w:autoSpaceDE w:val="0"/>
        <w:autoSpaceDN w:val="0"/>
        <w:adjustRightInd w:val="0"/>
        <w:spacing w:before="1" w:line="280" w:lineRule="exact"/>
        <w:ind w:left="1440" w:right="1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until NYISO has established different requirements that apply to all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60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73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unreasonably restrict or condition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production or absorption of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Schedules.</w:t>
      </w:r>
    </w:p>
    <w:p>
      <w:pPr>
        <w:autoSpaceDE w:val="0"/>
        <w:autoSpaceDN w:val="0"/>
        <w:adjustRightInd w:val="0"/>
        <w:spacing w:before="254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1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 for Reactive Power.</w:t>
      </w:r>
    </w:p>
    <w:p>
      <w:pPr>
        <w:autoSpaceDE w:val="0"/>
        <w:autoSpaceDN w:val="0"/>
        <w:adjustRightInd w:val="0"/>
        <w:spacing w:before="261" w:line="280" w:lineRule="exact"/>
        <w:ind w:left="1440" w:right="132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Governors and Regulators.</w:t>
      </w:r>
    </w:p>
    <w:p>
      <w:pPr>
        <w:autoSpaceDE w:val="0"/>
        <w:autoSpaceDN w:val="0"/>
        <w:adjustRightInd w:val="0"/>
        <w:spacing w:before="268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0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Outage Authority and Coordination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each, in accordance with NYISO procedures and Good Utility Practice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coordination with the other Party, remove from service any of its respective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and System Deliverability Upgrades that may impact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facilities as necessary to perform maintenance or testing or to install or replace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Absent an Emergency State, the Party scheduling a removal of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will use Reasonable Efforts to schedule such removal on a date and time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both the Developer and the Connecting Transmission Owner.  In all circumstances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planning to remove such facility(ies) from service shall use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minimize the effect on the other Party of such removal. </w:t>
      </w:r>
    </w:p>
    <w:p>
      <w:pPr>
        <w:autoSpaceDE w:val="0"/>
        <w:autoSpaceDN w:val="0"/>
        <w:adjustRightInd w:val="0"/>
        <w:spacing w:before="263" w:line="277" w:lineRule="exact"/>
        <w:ind w:left="1440" w:right="12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Schedules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post scheduled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of its transmission facilities on the NYISO OASIS.  Developer shall submit its planned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schedules for the Large Generating Facility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a minimum of a rolling thirty-six month period.  Developer shall update its planned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schedules as necessary.  NYISO may direct, or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request, Developer to reschedule its maintenance as necessary to maintain the reliability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Compensation to Developer for any additional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that the Developer incurs as a result of rescheduling maintenance, including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overtime, breaking of maintenance contracts or other costs above and beyond the cost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incurred absent the request to reschedule maintenance, shall be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2"/>
      <w:bookmarkEnd w:id="40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NYISO OATT.  Developer will not be eligible to receive compensation,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twelve (12) months prior to the date of the scheduled maintenance, the Developer had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its schedule of maintenance activities other than at the direction of the NYISO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of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Restoration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of the Connecting Transmission Owner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adversely affects the other Party’s operations or facilities, the Party that owns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out of service shall use Reasonable Efforts to promptly restore such facility(ies)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normal operating condition consistent with the nature of the outage.  The Party that owns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out of service shall provide the other Party and NYISO, to the extent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information on the nature of the Emergency State, an estimated time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5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interruption or reduction shall continue only for so long as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such interruption or reduction shall be made on an equitable, non-</w:t>
      </w:r>
    </w:p>
    <w:p>
      <w:pPr>
        <w:autoSpaceDE w:val="0"/>
        <w:autoSpaceDN w:val="0"/>
        <w:adjustRightInd w:val="0"/>
        <w:spacing w:before="1" w:line="280" w:lineRule="exact"/>
        <w:ind w:left="1440" w:right="1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When the interruption or reduction must be made under circumstances which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allow for advance notice, NYISO or Connecting Transmission Owner shall notify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telephone as soon as practicable of the reasons for the curtailment, interruption, or reduction,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known, its expected duration.  Telephone notification shall be followed by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Except during the existence of an Emergency State, when the interruption or </w:t>
      </w:r>
    </w:p>
    <w:p>
      <w:pPr>
        <w:autoSpaceDE w:val="0"/>
        <w:autoSpaceDN w:val="0"/>
        <w:adjustRightInd w:val="0"/>
        <w:spacing w:before="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can be scheduled without advance notice,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Developer in advance regarding the timing of such scheduling and further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the expected duration.  NYISO or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cooperate and coordinate with each other to the extent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3"/>
      <w:bookmarkEnd w:id="4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System Protection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System Protection Facilities as a part of the Large Generating Facility or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Connecting Transmission Owner shall install at Developer’s expense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 Attachment 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60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protection facilities of both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be designed and coordinated with other systems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and Connecting Transmission Owner shall each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protection of its respective facilities consistent with Good Utility Practice and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protective relay design of the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incorporate the necessary test switches to perform the tests required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 of this Agreement.  The required test switches will be placed such that they allow </w:t>
      </w:r>
    </w:p>
    <w:p>
      <w:pPr>
        <w:autoSpaceDE w:val="0"/>
        <w:autoSpaceDN w:val="0"/>
        <w:adjustRightInd w:val="0"/>
        <w:spacing w:before="18" w:line="260" w:lineRule="exact"/>
        <w:ind w:left="144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lockout relays while preventing breaker failure schemes from operating and causing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unnecessary breaker operations and/or the tripping of the Developer’s Large Generating Facility.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and Connecting Transmission Owner will each test, operate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System Protection Facilities in accordance with Good Utility Practice and NPCC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criteria. </w:t>
      </w:r>
    </w:p>
    <w:p>
      <w:pPr>
        <w:autoSpaceDE w:val="0"/>
        <w:autoSpaceDN w:val="0"/>
        <w:adjustRightInd w:val="0"/>
        <w:spacing w:before="220" w:line="280" w:lineRule="exact"/>
        <w:ind w:left="1440" w:right="1313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the In-Service Date, and again prior to the Commercial Operation Date,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perform, or their agents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4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perform, a complete calibration test and functional trip test of the System Protection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intervals suggested by Good Utility Practice and following any apparent malfunction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Facilities, the Developer and Connecting Transmission Owner shall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both calibration and functional trip tests of its System Protection Facilities.  These tests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 not require the tripping of any in-service generation unit.  These tests do, however, require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25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68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1" w:line="275" w:lineRule="exact"/>
        <w:ind w:left="1440" w:right="13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5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Users.</w:t>
      </w:r>
    </w:p>
    <w:p>
      <w:pPr>
        <w:autoSpaceDE w:val="0"/>
        <w:autoSpaceDN w:val="0"/>
        <w:adjustRightInd w:val="0"/>
        <w:spacing w:before="256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7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2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6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5" w:line="275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5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5" w:line="275" w:lineRule="exact"/>
        <w:ind w:left="1440" w:right="14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Facilities.</w:t>
      </w:r>
    </w:p>
    <w:p>
      <w:pPr>
        <w:autoSpaceDE w:val="0"/>
        <w:autoSpaceDN w:val="0"/>
        <w:adjustRightInd w:val="0"/>
        <w:spacing w:before="219" w:line="280" w:lineRule="exact"/>
        <w:ind w:left="1440" w:right="17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7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5" w:line="280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NYISO OATT.  The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6" w:line="274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11.5.1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5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11.5.2   The letter of credit must be issued by a financial institution reasonably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221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11.5.3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8"/>
      <w:bookmarkEnd w:id="4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11.5.4   Attachment S to the NYISO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37" w:line="270" w:lineRule="exact"/>
        <w:ind w:left="1440" w:right="12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4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1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0" w:line="28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9"/>
      <w:bookmarkEnd w:id="4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3" w:line="275" w:lineRule="exact"/>
        <w:ind w:left="1440" w:right="12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26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50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0" w:line="276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Disconnection.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Capacity Resource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or Energy Resource Interconnection Service or disconnect the Large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 Attachment Facilities, when such reduction or </w:t>
      </w:r>
    </w:p>
    <w:p>
      <w:pPr>
        <w:autoSpaceDE w:val="0"/>
        <w:autoSpaceDN w:val="0"/>
        <w:adjustRightInd w:val="0"/>
        <w:spacing w:before="8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NYISO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1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 </w:t>
      </w:r>
    </w:p>
    <w:p>
      <w:pPr>
        <w:autoSpaceDE w:val="0"/>
        <w:autoSpaceDN w:val="0"/>
        <w:adjustRightInd w:val="0"/>
        <w:spacing w:before="7" w:line="273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1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6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78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2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Party and any instrument required or permitted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tendered or delivered by a Party in writing to the other Party shall be effective when delivered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may be so given, tendered or delivered, by recognized national courier, or by depositing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with the United States Postal Service with postage prepaid, for delivery by certified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registered mail, addressed to the Party, or personally delivered to the Party, at the address set 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17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6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Party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80" w:lineRule="exact"/>
        <w:ind w:left="1440" w:right="12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3"/>
      <w:bookmarkEnd w:id="5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Party.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Party shall thereafter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declare a Default and terminate this Agreement by written notice at any time until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occurs, and be relieved of any further obligation hereunder and, whether or not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Agreement, to recover from the defaulting Party all amounts due hereunder, plus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damages and remedies to which they are entitled at law or in equity.  The provisions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5" w:line="275" w:lineRule="exact"/>
        <w:ind w:left="144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Party’s (the “Indemnified Party”) from, any and all damages,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person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to property, the alleged violation of any Environmental Law, or the release or threatened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Substance, demand, suits, recoveries, costs and expenses, court costs,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parties, arising out of or resulting from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Party’s 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where the Indemnifying Party can demonstrate that the 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was caused by the gross negligence or intentional wrongdoing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or (ii) the violation by the Indemnifying Party of any Environmental Law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4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5" w:line="275" w:lineRule="exact"/>
        <w:ind w:left="1440" w:right="14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53" w:line="280" w:lineRule="exact"/>
        <w:ind w:left="1440" w:right="126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the other Indemnified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the Indemnified Party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and if the Indemnified Party reasonably concludes that there may be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defenses available to it and/or the other Indemnified Party which are different from or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available to the Indemnifying Party, the Indemnified Party shall have the right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counsel to assert such legal defenses and to otherwise participate in the defense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on its own behalf.  In such instances, the Indemnifying Party shall only be required to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fees and expenses of one additional attorney to represent an Indemnified Party having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5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7" w:line="273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Party’s,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68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 premises and operations, </w:t>
      </w:r>
    </w:p>
    <w:p>
      <w:pPr>
        <w:autoSpaceDE w:val="0"/>
        <w:autoSpaceDN w:val="0"/>
        <w:adjustRightInd w:val="0"/>
        <w:spacing w:before="4" w:line="276" w:lineRule="exact"/>
        <w:ind w:left="144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broad form property damage, broad form blanket contractual liability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coverage for the contractual indemnification) products and completed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explosion, collapse and underground hazards, independent contractors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pollution to the extent normally available and punitive damages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normally available and a cross liability endorsement, with minimum limits of One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($1,000,000) per occurrence/One Million Dollars ($1,000,000)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3" w:firstLine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0" w:line="28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5" w:line="280" w:lineRule="exact"/>
        <w:ind w:left="1440" w:right="1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6"/>
      <w:bookmarkEnd w:id="5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76" w:lineRule="exact"/>
        <w:ind w:left="144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0" w:line="280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267" w:line="273" w:lineRule="exact"/>
        <w:ind w:left="1440" w:right="1476" w:firstLine="8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the Developer and Connecting Transmission Owner are not intended to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in any manner, limit or qualify the liabilities and obligations assumed by those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as </w:t>
      </w:r>
    </w:p>
    <w:p>
      <w:pPr>
        <w:autoSpaceDE w:val="0"/>
        <w:autoSpaceDN w:val="0"/>
        <w:adjustRightInd w:val="0"/>
        <w:spacing w:before="0" w:line="280" w:lineRule="exact"/>
        <w:ind w:left="144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certification of all insurance required in this Agreement, executed by each insurer or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authorized 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7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Party; provided that a Party may assign this Agreement without the consent of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in connection with the sale, merger, restructuring, or transfer of a substantial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all of its assets, including the Attachment Facilities it owns, so long as the assignee in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23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8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5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9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57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11" w:line="277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9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66" w:line="274" w:lineRule="exact"/>
        <w:ind w:left="1440" w:right="13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Party of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not be deemed a waiver by any Party or any other person or entity of the right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protect the Confidential Information from public disclosure. </w:t>
      </w:r>
    </w:p>
    <w:p>
      <w:pPr>
        <w:tabs>
          <w:tab w:val="left" w:pos="2520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57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68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Party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Party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60"/>
      <w:bookmarkEnd w:id="5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59" w:line="275" w:lineRule="exact"/>
        <w:ind w:left="1440" w:right="150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Party,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Party) or return to the other Party, without retaining copies thereof, any and all written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Confidential Information received from the other Party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22.1.10</w:t>
      </w:r>
      <w:r>
        <w:rPr>
          <w:rFonts w:ascii="Arial Bold" w:hAnsi="Arial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Remedies.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Party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Disclosure to FERC, its Staff, or a State.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Party to this Agreement prior to the release of the Confidential Information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Commission or its staff.  The Party shall notify the other Party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1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Notice.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3" w:line="270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25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2"/>
      <w:bookmarkEnd w:id="6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0" w:line="277" w:lineRule="exact"/>
        <w:ind w:left="1440" w:right="13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Large Facility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6" w:line="274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3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18" w:line="277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Party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5" w:line="273" w:lineRule="exact"/>
        <w:ind w:left="1440" w:right="12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4"/>
      <w:bookmarkEnd w:id="6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records that relate to the Party’s performance and satisfaction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0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Audit Rights Period for Construction-Related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37" w:line="27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18" w:line="276" w:lineRule="exact"/>
        <w:ind w:left="1440" w:right="12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fully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responsible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5"/>
      <w:bookmarkEnd w:id="6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46" w:line="26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8" w:line="276" w:lineRule="exact"/>
        <w:ind w:left="1440" w:right="13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Party.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Party’s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3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4" w:line="276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then the arbitration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by a three-member arbitration panel.  For purposes of the three arbitrator panel,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shall be selected by Connecting Transmission Owner and one arbitrator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Developer, in each case within 20 Calendar Days of the submission of the Dispute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arbitration.  A third arbitrator shall be selected by the first two within 10 Calendar Days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latter of: (a) the date Connecting Transmission Owner selected an arbitrator; and (b)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selected an arbitrator.  If either Connecting Transmission Owner or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 selection of an arbitrator, then the arbitrator selected shall select the remaining two.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arbitrators selected by Connecting Transmission Owner and Developer have not agreed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the third arbitrator within such 10 Calendar Day period, the third arbitrator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expeditiously selected in accordance with the rules of the American Arbitration Association.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each case, the arbitrator(s) shall be knowledgeable in electric utility matters,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transmission and bulk power issues, and shall not have any current or past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or financial relationships with any party to the arbitration (except prior arbitration).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 shall provide each of the Parties an opportunity to be heard and, except as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herein, shall conduct the arbitration in accordance with the Commercial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of the American Arbitration Association (“Arbitration Rules”) and any applicable FERC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9"/>
          <w:headerReference w:type="default" r:id="rId390"/>
          <w:footerReference w:type="even" r:id="rId391"/>
          <w:footerReference w:type="default" r:id="rId392"/>
          <w:headerReference w:type="first" r:id="rId393"/>
          <w:footerReference w:type="first" r:id="rId3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6"/>
      <w:bookmarkEnd w:id="6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RTO rules; provided, however, in the event of a conflict between the Arbitration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the terms of this Article 27, 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0" w:line="277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as applicable: (1) one-half of the cost of the single arbitrator jointly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chosen by the Parties, if a single arbitrator is appointed by the Parties;  or (2) the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chosen by the Party to sit on the three-member panel or chosen by another arbitrator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 on the panel on behalf of the Party if the Party fails to make its own selection of an arbitrator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27.2, if a three-member arbitration panel is selected by the Parties; and 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half the cost of the third arbitrator jointly chosen by the two arbitrators selected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chosen by the arbitrator selected by a Party after the other Party’s failure to select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arbitrator, or chosen under the rules of the American Arbitration Association.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5" w:lineRule="exact"/>
        <w:ind w:left="1440" w:right="13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5"/>
          <w:headerReference w:type="default" r:id="rId396"/>
          <w:footerReference w:type="even" r:id="rId397"/>
          <w:footerReference w:type="default" r:id="rId398"/>
          <w:headerReference w:type="first" r:id="rId399"/>
          <w:footerReference w:type="first" r:id="rId4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7"/>
      <w:bookmarkEnd w:id="6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0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5" w:line="280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5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13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3" w:line="273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1"/>
          <w:headerReference w:type="default" r:id="rId402"/>
          <w:footerReference w:type="even" r:id="rId403"/>
          <w:footerReference w:type="default" r:id="rId404"/>
          <w:headerReference w:type="first" r:id="rId405"/>
          <w:footerReference w:type="first" r:id="rId4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8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4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promptly so that the Parties can discuss the amendment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3" w:line="280" w:lineRule="exact"/>
        <w:ind w:left="1440" w:right="13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16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9" w:line="273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7"/>
          <w:headerReference w:type="default" r:id="rId408"/>
          <w:footerReference w:type="even" r:id="rId409"/>
          <w:footerReference w:type="default" r:id="rId410"/>
          <w:headerReference w:type="first" r:id="rId411"/>
          <w:footerReference w:type="first" r:id="rId4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9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NYISO OATT.  Any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5" w:line="27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3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3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5" w:line="27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the right to make unilateral filings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</w:r>
    </w:p>
    <w:p>
      <w:pPr>
        <w:autoSpaceDE w:val="0"/>
        <w:autoSpaceDN w:val="0"/>
        <w:adjustRightInd w:val="0"/>
        <w:spacing w:before="5" w:line="275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Developer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 unilateral filing with FERC to modify this Agreement pursuant to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 thereunder,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that the Parties otherwise mutually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70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8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544pt;height:704pt;margin-top:0;margin-left:0;mso-position-horizontal-relative:page;mso-position-vertical-relative:page;position:absolute;z-index:-251657216" o:allowincell="f">
            <v:imagedata r:id="rId425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2"/>
      <w:bookmarkEnd w:id="69"/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I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3"/>
      <w:bookmarkEnd w:id="70"/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24" w:line="276" w:lineRule="exact"/>
        <w:ind w:left="34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9" w:line="280" w:lineRule="exact"/>
        <w:ind w:left="2880" w:right="186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Facilities-Includes all facilities from the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up to and including switch 401.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0" w:line="280" w:lineRule="exact"/>
        <w:ind w:left="2880" w:right="2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metering and RTU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80" w:lineRule="exact"/>
        <w:ind w:left="3600" w:right="140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jaw side of switch 401 up to and including the 115kV three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substation connected to transmission Line 129 and Line 133.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 N/A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475.4pt;height:628.55pt;margin-top:71.75pt;margin-left:71.95pt;mso-position-horizontal-relative:page;mso-position-vertical-relative:page;position:absolute;z-index:-251656192" o:allowincell="f">
            <v:imagedata r:id="rId444" o:title=""/>
          </v:shape>
        </w:pict>
      </w:r>
      <w:bookmarkStart w:id="71" w:name="Pg74"/>
      <w:bookmarkEnd w:id="71"/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2" w:name="Pg75"/>
      <w:bookmarkEnd w:id="72"/>
    </w:p>
    <w:p>
      <w:pPr>
        <w:autoSpaceDE w:val="0"/>
        <w:autoSpaceDN w:val="0"/>
        <w:adjustRightInd w:val="0"/>
        <w:spacing w:before="0" w:line="500" w:lineRule="exact"/>
        <w:ind w:left="53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53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500" w:lineRule="exact"/>
        <w:ind w:left="5390" w:right="51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59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9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N/A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6"/>
      <w:bookmarkEnd w:id="73"/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24" w:line="276" w:lineRule="exact"/>
        <w:ind w:left="49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5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Owner: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Fortistar North Tonawanda Inc. </w:t>
      </w:r>
    </w:p>
    <w:p>
      <w:pPr>
        <w:autoSpaceDE w:val="0"/>
        <w:autoSpaceDN w:val="0"/>
        <w:adjustRightInd w:val="0"/>
        <w:spacing w:before="0" w:line="24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8" w:line="240" w:lineRule="exact"/>
        <w:ind w:left="1800" w:right="144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2.   Project: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The Fortistar North Tonawanda, Inc. facility is a 68.5 MW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combined cycle natural gas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fueled power plant located in Oxbow, New York. </w:t>
      </w: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3.   Point of Interconnection: 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refer to one-line diagram attached in Appendix A)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2" w:line="260" w:lineRule="exact"/>
        <w:ind w:left="180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4.   Electrical Equipment Requirements: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installation of electrical equipment and operation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facility must meet or exceed the requirements of Niagara Mohawk’s Electric System Bulletin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No. ESB 756. </w:t>
      </w: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0" w:line="253" w:lineRule="exact"/>
        <w:ind w:left="1800" w:right="123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5.   Metering Requirements: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Electricity transferred to the transmission system shall be measured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electric watt-hour meters of a type approved by the Public Service Commission of the State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The meter and installation costs shall be borne by Indeck Energy Services of Corinth,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Inc. The meters shall be maintained with the rules set forth in 16 NYCRR Part 92.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7"/>
          <w:headerReference w:type="default" r:id="rId458"/>
          <w:footerReference w:type="even" r:id="rId459"/>
          <w:footerReference w:type="default" r:id="rId460"/>
          <w:headerReference w:type="first" r:id="rId461"/>
          <w:footerReference w:type="first" r:id="rId4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7"/>
      <w:bookmarkEnd w:id="74"/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24" w:line="276" w:lineRule="exact"/>
        <w:ind w:left="45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8"/>
      <w:bookmarkEnd w:id="75"/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38" w:line="276" w:lineRule="exact"/>
        <w:ind w:left="1440" w:firstLine="32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__. 2015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Fortistar North Tonawanda Inc., (formerly known as Oxbow Power North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Tonawanda, New York Inc.)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Sir/Madam: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letter confirms that Fortistar North Tonawanda Inc. (formerly Oxbow Power North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Tonawanda, New York, Inc. commenced Commercial Operation of the Oxbow unit at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Facility, effective as of September 7, 1993.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791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Thomas J. Gesicki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Managing Director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Fortistar North Tonawanda Inc.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9"/>
      <w:bookmarkEnd w:id="76"/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38" w:line="276" w:lineRule="exact"/>
        <w:ind w:left="1440" w:firstLine="233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9" w:line="270" w:lineRule="exact"/>
        <w:ind w:left="1440" w:right="8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18" w:line="260" w:lineRule="exact"/>
        <w:ind w:left="1440" w:right="690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826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 Bold" w:hAnsi="Times New Roman Bold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bill.malee@nationalgrid.com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Manager </w:t>
      </w:r>
    </w:p>
    <w:p>
      <w:pPr>
        <w:autoSpaceDE w:val="0"/>
        <w:autoSpaceDN w:val="0"/>
        <w:adjustRightInd w:val="0"/>
        <w:spacing w:before="18" w:line="260" w:lineRule="exact"/>
        <w:ind w:left="1440" w:right="728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Fortistar North Tonawanda Inc.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1070 Erie Avenue </w:t>
      </w:r>
    </w:p>
    <w:p>
      <w:pPr>
        <w:autoSpaceDE w:val="0"/>
        <w:autoSpaceDN w:val="0"/>
        <w:adjustRightInd w:val="0"/>
        <w:spacing w:before="4" w:line="280" w:lineRule="exact"/>
        <w:ind w:left="1440" w:right="75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 Tonawanda, NY 14120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(716) 694-9874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(716) 694-8363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tgesicki@fortistar.com 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75"/>
          <w:headerReference w:type="default" r:id="rId476"/>
          <w:footerReference w:type="even" r:id="rId477"/>
          <w:footerReference w:type="default" r:id="rId478"/>
          <w:headerReference w:type="first" r:id="rId479"/>
          <w:footerReference w:type="first" r:id="rId4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7" w:name="Pg80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18" w:line="260" w:lineRule="exact"/>
        <w:ind w:left="1440" w:right="690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826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 Bold" w:hAnsi="Times New Roman Bold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bill.malee@nationalgrid.com </w:t>
      </w:r>
    </w:p>
    <w:p>
      <w:pPr>
        <w:autoSpaceDE w:val="0"/>
        <w:autoSpaceDN w:val="0"/>
        <w:adjustRightInd w:val="0"/>
        <w:spacing w:before="264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9" w:line="270" w:lineRule="exact"/>
        <w:ind w:left="1531" w:right="8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Manager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Daniel Rotunno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1070 Erie Avenue </w:t>
      </w:r>
    </w:p>
    <w:p>
      <w:pPr>
        <w:autoSpaceDE w:val="0"/>
        <w:autoSpaceDN w:val="0"/>
        <w:adjustRightInd w:val="0"/>
        <w:spacing w:before="2" w:line="280" w:lineRule="exact"/>
        <w:ind w:left="1531" w:right="75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 Tonawanda, NY 14120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(716) 694-9874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(716) 694-8363 </w:t>
      </w:r>
    </w:p>
    <w:p>
      <w:pPr>
        <w:autoSpaceDE w:val="0"/>
        <w:autoSpaceDN w:val="0"/>
        <w:adjustRightInd w:val="0"/>
        <w:spacing w:before="4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drotunno@naesfnt.com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81"/>
          <w:headerReference w:type="default" r:id="rId482"/>
          <w:footerReference w:type="even" r:id="rId483"/>
          <w:footerReference w:type="default" r:id="rId484"/>
          <w:headerReference w:type="first" r:id="rId485"/>
          <w:footerReference w:type="first" r:id="rId4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8" w:name="Pg81"/>
      <w:bookmarkEnd w:id="7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0" w:line="280" w:lineRule="exact"/>
        <w:ind w:left="1440" w:right="690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80" w:lineRule="exact"/>
        <w:ind w:left="1440" w:right="826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 Bold" w:hAnsi="Times New Roman Bold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bill.malee@nationalgrid.com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Manager </w:t>
      </w:r>
    </w:p>
    <w:p>
      <w:pPr>
        <w:autoSpaceDE w:val="0"/>
        <w:autoSpaceDN w:val="0"/>
        <w:adjustRightInd w:val="0"/>
        <w:spacing w:before="0" w:line="280" w:lineRule="exact"/>
        <w:ind w:left="1440" w:right="728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Fortistar North Tonawanda Inc.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1070 Erie Avenue </w:t>
      </w:r>
    </w:p>
    <w:p>
      <w:pPr>
        <w:autoSpaceDE w:val="0"/>
        <w:autoSpaceDN w:val="0"/>
        <w:adjustRightInd w:val="0"/>
        <w:spacing w:before="0" w:line="280" w:lineRule="exact"/>
        <w:ind w:left="1440" w:right="75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 Tonawanda, NY 14120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(716) 694-9874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(716) 694-8363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 Bold" w:hAnsi="Times New Roman Bold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tgesicki@fortistar.com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1" w:right="8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Manager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Daniel Rotunno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1070 Erie Avenue </w:t>
      </w:r>
    </w:p>
    <w:p>
      <w:pPr>
        <w:autoSpaceDE w:val="0"/>
        <w:autoSpaceDN w:val="0"/>
        <w:adjustRightInd w:val="0"/>
        <w:spacing w:before="2" w:line="280" w:lineRule="exact"/>
        <w:ind w:left="1531" w:right="75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 Tonawanda, NY 14120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(716) 694-9874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(716) 694-8363 </w:t>
      </w:r>
    </w:p>
    <w:p>
      <w:pPr>
        <w:autoSpaceDE w:val="0"/>
        <w:autoSpaceDN w:val="0"/>
        <w:adjustRightInd w:val="0"/>
        <w:spacing w:before="4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drotunno@naesfnt.com 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87"/>
          <w:headerReference w:type="default" r:id="rId488"/>
          <w:footerReference w:type="even" r:id="rId489"/>
          <w:footerReference w:type="default" r:id="rId490"/>
          <w:headerReference w:type="first" r:id="rId491"/>
          <w:footerReference w:type="first" r:id="rId4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9" w:name="Pg82"/>
      <w:bookmarkEnd w:id="79"/>
    </w:p>
    <w:p>
      <w:pPr>
        <w:autoSpaceDE w:val="0"/>
        <w:autoSpaceDN w:val="0"/>
        <w:adjustRightInd w:val="0"/>
        <w:spacing w:before="0" w:line="276" w:lineRule="exact"/>
        <w:ind w:left="53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224" w:line="276" w:lineRule="exact"/>
        <w:ind w:left="29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G sets forth requirements and provisions specific to a wind generating plant.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requirements of this LGIA continue to apply to wind generating plant interconnections.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251" w:line="280" w:lineRule="exact"/>
        <w:ind w:left="1440" w:right="14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2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" w:line="275" w:lineRule="exact"/>
        <w:ind w:left="21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p.u., as measured at the high side of the wind generating plant step-up transformer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8" w:line="260" w:lineRule="exact"/>
        <w:ind w:left="2160" w:right="15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3"/>
          <w:headerReference w:type="default" r:id="rId494"/>
          <w:footerReference w:type="even" r:id="rId495"/>
          <w:footerReference w:type="default" r:id="rId496"/>
          <w:headerReference w:type="first" r:id="rId497"/>
          <w:footerReference w:type="first" r:id="rId4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3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meet the LVRT requirements of this standard by the</w:t>
      </w:r>
    </w:p>
    <w:p>
      <w:pPr>
        <w:autoSpaceDE w:val="0"/>
        <w:autoSpaceDN w:val="0"/>
        <w:adjustRightInd w:val="0"/>
        <w:spacing w:before="0" w:line="280" w:lineRule="exact"/>
        <w:ind w:left="2160" w:right="1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41" w:line="280" w:lineRule="exact"/>
        <w:ind w:left="1440" w:right="17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99"/>
          <w:headerReference w:type="default" r:id="rId500"/>
          <w:footerReference w:type="even" r:id="rId501"/>
          <w:footerReference w:type="default" r:id="rId502"/>
          <w:headerReference w:type="first" r:id="rId503"/>
          <w:footerReference w:type="first" r:id="rId5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1" w:name="Pg84"/>
      <w:bookmarkEnd w:id="81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0" w:line="280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maintain a power factor within the range of 0.95 leading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lagging, measured at the Point of Interconnection as defined in this LGIA, if the ISO’s </w:t>
      </w:r>
    </w:p>
    <w:p>
      <w:pPr>
        <w:autoSpaceDE w:val="0"/>
        <w:autoSpaceDN w:val="0"/>
        <w:adjustRightInd w:val="0"/>
        <w:spacing w:before="18" w:line="260" w:lineRule="exact"/>
        <w:ind w:left="1440" w:right="1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Study shows that such a requirement is necessary to ensure safety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to which the wind generating plant will be interconnected, or a </w:t>
      </w:r>
    </w:p>
    <w:p>
      <w:pPr>
        <w:autoSpaceDE w:val="0"/>
        <w:autoSpaceDN w:val="0"/>
        <w:adjustRightInd w:val="0"/>
        <w:spacing w:before="5" w:line="275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combination of the two.  The Developer shall not disable power factor equipment while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is in operation.  Wind plants shall also be able to provide sufficient dynamic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in lieu of the power system stabilizer and automatic voltage regulation at the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excitation system if the System Reliability Impact Study shows this to be required for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safety or reliability.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6" w:line="274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05"/>
          <w:headerReference w:type="default" r:id="rId506"/>
          <w:footerReference w:type="even" r:id="rId507"/>
          <w:footerReference w:type="default" r:id="rId508"/>
          <w:headerReference w:type="first" r:id="rId509"/>
          <w:footerReference w:type="first" r:id="rId5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2" w:name="Pg85"/>
      <w:bookmarkEnd w:id="82"/>
    </w:p>
    <w:p>
      <w:pPr>
        <w:autoSpaceDE w:val="0"/>
        <w:autoSpaceDN w:val="0"/>
        <w:adjustRightInd w:val="0"/>
        <w:spacing w:before="0" w:line="276" w:lineRule="exact"/>
        <w:ind w:left="53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223" w:line="253" w:lineRule="exact"/>
        <w:ind w:left="476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Developer shall be responsible for all </w:t>
      </w:r>
    </w:p>
    <w:p>
      <w:pPr>
        <w:autoSpaceDE w:val="0"/>
        <w:autoSpaceDN w:val="0"/>
        <w:adjustRightInd w:val="0"/>
        <w:spacing w:before="9" w:line="270" w:lineRule="exact"/>
        <w:ind w:left="144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(“O&amp;M Expenses”)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Connecting Transmission Owner’s Attachment Facilities, as such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Appendix A.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60" w:lineRule="exact"/>
        <w:ind w:left="1440" w:right="2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pay such O&amp;M Expenses either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Option 1 or in Option 2 below.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invoice and Developer shall pay an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equal to the product of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associated with the Connecting Transmission Owner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Annual Transmission Ongoing Charge Factor, for the term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receiving an invoice from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Attachment Facilities </w:t>
      </w:r>
    </w:p>
    <w:p>
      <w:pPr>
        <w:autoSpaceDE w:val="0"/>
        <w:autoSpaceDN w:val="0"/>
        <w:adjustRightInd w:val="0"/>
        <w:spacing w:before="18" w:line="260" w:lineRule="exact"/>
        <w:ind w:left="288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cost shall be established in writing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no later than 90 days following the effective date of the agreement.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On-Going Charge Factor shall be calculated annually each July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Connecting Transmission Owner’s most recently filed FERC Form 1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equal the sum of the Revenue Requirement Components as identified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Attachment 1 divided by the Total Gross Plant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 and 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pay for all actual O&amp;M Expenses incurred by Connecting </w:t>
      </w:r>
    </w:p>
    <w:p>
      <w:pPr>
        <w:autoSpaceDE w:val="0"/>
        <w:autoSpaceDN w:val="0"/>
        <w:adjustRightInd w:val="0"/>
        <w:spacing w:before="1" w:line="280" w:lineRule="exact"/>
        <w:ind w:left="288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expenses shall be billed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quarterly as accumulated during the calendar quarter for which they were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4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receiving an invoice from Connecting Transmission Owner, which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issued after the end of each calendar quarter 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11"/>
          <w:headerReference w:type="default" r:id="rId512"/>
          <w:footerReference w:type="even" r:id="rId513"/>
          <w:footerReference w:type="default" r:id="rId514"/>
          <w:headerReference w:type="first" r:id="rId515"/>
          <w:footerReference w:type="first" r:id="rId5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3" w:name="Pg86"/>
      <w:bookmarkEnd w:id="83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O&amp;M Expenses by providing </w:t>
      </w:r>
    </w:p>
    <w:p>
      <w:pPr>
        <w:autoSpaceDE w:val="0"/>
        <w:autoSpaceDN w:val="0"/>
        <w:adjustRightInd w:val="0"/>
        <w:spacing w:before="4" w:line="276" w:lineRule="exact"/>
        <w:ind w:left="288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Connecting Transmission Owner within thirty (30) days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receiving from the Connecting Transmission Owner the Gross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Plant Investment cost and the most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recent Annual Transmission Ongoing Charge Factor.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timely notice to Connecting Transmission Owner of the option selected,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17"/>
          <w:headerReference w:type="default" r:id="rId518"/>
          <w:footerReference w:type="even" r:id="rId519"/>
          <w:footerReference w:type="default" r:id="rId520"/>
          <w:headerReference w:type="first" r:id="rId521"/>
          <w:footerReference w:type="first" r:id="rId5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4" w:name="Pg87"/>
      <w:bookmarkEnd w:id="84"/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O&amp;M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63" w:line="520" w:lineRule="exact"/>
        <w:ind w:left="2160" w:right="2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Factors </w:t>
      </w:r>
    </w:p>
    <w:p>
      <w:pPr>
        <w:tabs>
          <w:tab w:val="left" w:pos="2160"/>
        </w:tabs>
        <w:autoSpaceDE w:val="0"/>
        <w:autoSpaceDN w:val="0"/>
        <w:adjustRightInd w:val="0"/>
        <w:spacing w:before="18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</w:p>
    <w:p>
      <w:pPr>
        <w:autoSpaceDE w:val="0"/>
        <w:autoSpaceDN w:val="0"/>
        <w:adjustRightInd w:val="0"/>
        <w:spacing w:before="1" w:line="280" w:lineRule="exact"/>
        <w:ind w:left="216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</w:t>
      </w:r>
    </w:p>
    <w:p>
      <w:pPr>
        <w:autoSpaceDE w:val="0"/>
        <w:autoSpaceDN w:val="0"/>
        <w:adjustRightInd w:val="0"/>
        <w:spacing w:before="0" w:line="280" w:lineRule="exact"/>
        <w:ind w:left="216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plus the total Distribution Plant in Service, excluding Intangible Plant,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and Common 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4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Transmission-related direct electric wages and salaries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direct wages or salaries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to Connecting Transmission Owner’s total electric direct wages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salaries including any wages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excluding any electric administrative and general wages and salaries.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408.110,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 No.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165.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23"/>
          <w:headerReference w:type="default" r:id="rId524"/>
          <w:footerReference w:type="even" r:id="rId525"/>
          <w:footerReference w:type="default" r:id="rId526"/>
          <w:headerReference w:type="first" r:id="rId527"/>
          <w:footerReference w:type="first" r:id="rId5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5" w:name="Pg88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</w:r>
    </w:p>
    <w:p>
      <w:pPr>
        <w:autoSpaceDE w:val="0"/>
        <w:autoSpaceDN w:val="0"/>
        <w:adjustRightInd w:val="0"/>
        <w:spacing w:before="1" w:line="280" w:lineRule="exact"/>
        <w:ind w:left="216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 The cost shall be determined by multiplying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number of wholesale meters in FERC Account No. 370.3 by the average cost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meters plus the average costs of installation. </w:t>
      </w:r>
    </w:p>
    <w:p>
      <w:pPr>
        <w:autoSpaceDE w:val="0"/>
        <w:autoSpaceDN w:val="0"/>
        <w:adjustRightInd w:val="0"/>
        <w:spacing w:before="220" w:line="280" w:lineRule="exact"/>
        <w:ind w:left="1440" w:right="18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4" w:line="276" w:lineRule="exact"/>
        <w:ind w:left="1440" w:right="13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209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Return and Associated Income Taxes shall equal the product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Regulatory Assets plus Transmission Related </w:t>
      </w:r>
    </w:p>
    <w:p>
      <w:pPr>
        <w:autoSpaceDE w:val="0"/>
        <w:autoSpaceDN w:val="0"/>
        <w:adjustRightInd w:val="0"/>
        <w:spacing w:before="5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plus Transmission Related Materials and Supplies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Cash Working Capital.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investment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Transmission Plant plus Wholesale Metering Cost. 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29"/>
          <w:headerReference w:type="default" r:id="rId530"/>
          <w:footerReference w:type="even" r:id="rId531"/>
          <w:footerReference w:type="default" r:id="rId532"/>
          <w:headerReference w:type="first" r:id="rId533"/>
          <w:footerReference w:type="first" r:id="rId5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6" w:name="Pg89"/>
      <w:bookmarkEnd w:id="86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General Plant shall equal the balance of investment</w:t>
      </w:r>
    </w:p>
    <w:p>
      <w:pPr>
        <w:autoSpaceDE w:val="0"/>
        <w:autoSpaceDN w:val="0"/>
        <w:adjustRightInd w:val="0"/>
        <w:spacing w:before="0" w:line="280" w:lineRule="exact"/>
        <w:ind w:left="360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General Plant multiplied by the Transmission Wages and Salaries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</w:t>
      </w: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Transmission Wages and Salaries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182.3 and 254 for state and federal regulatory assets and </w:t>
      </w:r>
    </w:p>
    <w:p>
      <w:pPr>
        <w:autoSpaceDE w:val="0"/>
        <w:autoSpaceDN w:val="0"/>
        <w:adjustRightInd w:val="0"/>
        <w:spacing w:before="18" w:line="260" w:lineRule="exact"/>
        <w:ind w:left="360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related to FAS109, and excess AFUDC multiplied by the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 </w:t>
      </w:r>
    </w:p>
    <w:p>
      <w:pPr>
        <w:tabs>
          <w:tab w:val="left" w:pos="3600"/>
        </w:tabs>
        <w:autoSpaceDE w:val="0"/>
        <w:autoSpaceDN w:val="0"/>
        <w:adjustRightInd w:val="0"/>
        <w:spacing w:before="26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1" w:line="273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3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360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Supplies assigned to Transmission added to the remainder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 and Supplies not directly assigned to either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multiplied by the Gross Transmission Plant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(45 days/360 days) of the Transmission Operation and Maintenance </w:t>
      </w:r>
    </w:p>
    <w:p>
      <w:pPr>
        <w:autoSpaceDE w:val="0"/>
        <w:autoSpaceDN w:val="0"/>
        <w:adjustRightInd w:val="0"/>
        <w:spacing w:before="0" w:line="280" w:lineRule="exact"/>
        <w:ind w:left="360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(less FERC Account 565:  Transmission of Electricity by Others)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Transmission-Related Administrative and 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3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32" w:line="280" w:lineRule="exact"/>
        <w:ind w:left="288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Taxes and State Income Taxes.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</w:t>
      </w:r>
    </w:p>
    <w:p>
      <w:pPr>
        <w:autoSpaceDE w:val="0"/>
        <w:autoSpaceDN w:val="0"/>
        <w:adjustRightInd w:val="0"/>
        <w:spacing w:before="1" w:line="280" w:lineRule="exact"/>
        <w:ind w:left="360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Base using Connecting Transmission Owner’s actual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and will equal the sum of (i), (ii), and (iii) below: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</w:t>
      </w:r>
    </w:p>
    <w:p>
      <w:pPr>
        <w:autoSpaceDE w:val="0"/>
        <w:autoSpaceDN w:val="0"/>
        <w:adjustRightInd w:val="0"/>
        <w:spacing w:before="9" w:line="27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long-term debt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long-term debt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</w:t>
      </w:r>
    </w:p>
    <w:p>
      <w:pPr>
        <w:autoSpaceDE w:val="0"/>
        <w:autoSpaceDN w:val="0"/>
        <w:adjustRightInd w:val="0"/>
        <w:spacing w:before="9" w:line="27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preferred stock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preferred stock capitalization ratio;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of 11.9% plus a 50 basis point adder (per FERC Order 697 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35"/>
          <w:headerReference w:type="default" r:id="rId536"/>
          <w:footerReference w:type="even" r:id="rId537"/>
          <w:footerReference w:type="default" r:id="rId538"/>
          <w:headerReference w:type="first" r:id="rId539"/>
          <w:footerReference w:type="first" r:id="rId5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7" w:name="Pg90"/>
      <w:bookmarkEnd w:id="87"/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432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697A) and Connecting Transmission Owner’s actual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capitalization ratio.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51" w:line="260" w:lineRule="exact"/>
        <w:ind w:left="2880" w:right="61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6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component, each as determined in Sections 2.(a)(ii) and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set forth in 2.(a)(iii) above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4320"/>
        </w:tabs>
        <w:autoSpaceDE w:val="0"/>
        <w:autoSpaceDN w:val="0"/>
        <w:adjustRightInd w:val="0"/>
        <w:spacing w:before="218" w:line="280" w:lineRule="exact"/>
        <w:ind w:left="3600" w:right="3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0" w:line="28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Real Estate Tax Expense shall equal the Real Estate Tax Expenses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Plant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electric </w:t>
      </w:r>
    </w:p>
    <w:p>
      <w:pPr>
        <w:autoSpaceDE w:val="0"/>
        <w:autoSpaceDN w:val="0"/>
        <w:adjustRightInd w:val="0"/>
        <w:spacing w:before="1" w:line="280" w:lineRule="exact"/>
        <w:ind w:left="2160" w:right="18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of the </w:t>
      </w:r>
    </w:p>
    <w:p>
      <w:pPr>
        <w:autoSpaceDE w:val="0"/>
        <w:autoSpaceDN w:val="0"/>
        <w:adjustRightInd w:val="0"/>
        <w:spacing w:before="0" w:line="280" w:lineRule="exact"/>
        <w:ind w:left="216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41"/>
          <w:headerReference w:type="default" r:id="rId542"/>
          <w:footerReference w:type="even" r:id="rId543"/>
          <w:footerReference w:type="default" r:id="rId544"/>
          <w:headerReference w:type="first" r:id="rId545"/>
          <w:footerReference w:type="first" r:id="rId5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8" w:name="Pg91"/>
      <w:bookmarkEnd w:id="88"/>
    </w:p>
    <w:p>
      <w:pPr>
        <w:autoSpaceDE w:val="0"/>
        <w:autoSpaceDN w:val="0"/>
        <w:adjustRightInd w:val="0"/>
        <w:spacing w:before="0" w:line="276" w:lineRule="exact"/>
        <w:ind w:left="554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5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I </w:t>
      </w:r>
    </w:p>
    <w:p>
      <w:pPr>
        <w:autoSpaceDE w:val="0"/>
        <w:autoSpaceDN w:val="0"/>
        <w:adjustRightInd w:val="0"/>
        <w:spacing w:before="264" w:line="276" w:lineRule="exact"/>
        <w:ind w:left="34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are already interconnected, pursuant to a pre-existing </w:t>
      </w:r>
    </w:p>
    <w:p>
      <w:pPr>
        <w:autoSpaceDE w:val="0"/>
        <w:autoSpaceDN w:val="0"/>
        <w:adjustRightInd w:val="0"/>
        <w:spacing w:before="4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Therefore, certain terms of the pro-forma New York ISO LGIA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applicable to this LGIA, because they relate solely to new interconnections.  The parties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LGIA have nevertheless agreed to use the pro-forma New York ISO LGIA with almost no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 accordance with FERC policy promoting the use of pro-forma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wherever possible.  The parties, however, believe that the following provisions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pro-forma New York ISO LGIA are not applicable to the current LGIA: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 (Options), including all subsections thereof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5.2 (General Conditions Applicable to Option to Build),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5.3 (Liquidated Damages)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5.5 (Equipment Procurement), including all subsections thereof </w:t>
      </w:r>
    </w:p>
    <w:p>
      <w:pPr>
        <w:autoSpaceDE w:val="0"/>
        <w:autoSpaceDN w:val="0"/>
        <w:adjustRightInd w:val="0"/>
        <w:spacing w:before="18" w:line="260" w:lineRule="exact"/>
        <w:ind w:left="1440" w:right="32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5.6 (Construction Commencement),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5.7 (Work Progress) </w:t>
      </w:r>
    </w:p>
    <w:p>
      <w:pPr>
        <w:autoSpaceDE w:val="0"/>
        <w:autoSpaceDN w:val="0"/>
        <w:adjustRightInd w:val="0"/>
        <w:spacing w:before="4" w:line="280" w:lineRule="exact"/>
        <w:ind w:left="1440" w:right="7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5.8 (Information Exchange)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5.9 (Limited Operation)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5.10 (Developer Attachment Facilities), including all subsections thereof </w:t>
      </w:r>
    </w:p>
    <w:p>
      <w:pPr>
        <w:autoSpaceDE w:val="0"/>
        <w:autoSpaceDN w:val="0"/>
        <w:adjustRightInd w:val="0"/>
        <w:spacing w:before="18" w:line="26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5.11 (Connecting Transmission Owner’s Attachment Facilities Construction),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subsections thereof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5.14 (Permits)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5.15 (Early Construction of Base Case Facilities)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6.1 (Pre Commercial Operation Date Testing and Modification)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11.4 (Special Provisions for Affected Systems)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11.5 (Provision of Security), including all subsections thereof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12.2 (Final Invoice)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24.1 (Information Acquisition) </w:t>
      </w:r>
    </w:p>
    <w:p>
      <w:pPr>
        <w:autoSpaceDE w:val="0"/>
        <w:autoSpaceDN w:val="0"/>
        <w:adjustRightInd w:val="0"/>
        <w:spacing w:before="1" w:line="280" w:lineRule="exact"/>
        <w:ind w:left="1440" w:right="44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24.2 (Information Submission by Transmission Owner)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24.3 (Updated Information Submission by Developer)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24.4 (Information Supplementation)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25.4.1 (Audit Rights Period for Construction Related Accounts)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(Milestones)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(Interconnection Requirements for a Wind Generating Plant)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47"/>
      <w:headerReference w:type="default" r:id="rId548"/>
      <w:footerReference w:type="even" r:id="rId549"/>
      <w:footerReference w:type="default" r:id="rId550"/>
      <w:headerReference w:type="first" r:id="rId551"/>
      <w:footerReference w:type="first" r:id="rId552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ambria Math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6/1/2015 - Docket #: ER15-1835-000 -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(SA 2220) between NMPC and Fortistar North Tonawanda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header" Target="header61.xml" /><Relationship Id="rId126" Type="http://schemas.openxmlformats.org/officeDocument/2006/relationships/header" Target="header62.xml" /><Relationship Id="rId127" Type="http://schemas.openxmlformats.org/officeDocument/2006/relationships/footer" Target="footer61.xml" /><Relationship Id="rId128" Type="http://schemas.openxmlformats.org/officeDocument/2006/relationships/footer" Target="footer62.xml" /><Relationship Id="rId129" Type="http://schemas.openxmlformats.org/officeDocument/2006/relationships/header" Target="header63.xml" /><Relationship Id="rId13" Type="http://schemas.openxmlformats.org/officeDocument/2006/relationships/footer" Target="footer5.xml" /><Relationship Id="rId130" Type="http://schemas.openxmlformats.org/officeDocument/2006/relationships/footer" Target="footer63.xml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header" Target="header70.xml" /><Relationship Id="rId144" Type="http://schemas.openxmlformats.org/officeDocument/2006/relationships/header" Target="header71.xml" /><Relationship Id="rId145" Type="http://schemas.openxmlformats.org/officeDocument/2006/relationships/footer" Target="footer70.xml" /><Relationship Id="rId146" Type="http://schemas.openxmlformats.org/officeDocument/2006/relationships/footer" Target="footer71.xml" /><Relationship Id="rId147" Type="http://schemas.openxmlformats.org/officeDocument/2006/relationships/header" Target="header72.xml" /><Relationship Id="rId148" Type="http://schemas.openxmlformats.org/officeDocument/2006/relationships/footer" Target="footer72.xml" /><Relationship Id="rId149" Type="http://schemas.openxmlformats.org/officeDocument/2006/relationships/header" Target="header73.xml" /><Relationship Id="rId15" Type="http://schemas.openxmlformats.org/officeDocument/2006/relationships/footer" Target="footer6.xml" /><Relationship Id="rId150" Type="http://schemas.openxmlformats.org/officeDocument/2006/relationships/header" Target="header74.xml" /><Relationship Id="rId151" Type="http://schemas.openxmlformats.org/officeDocument/2006/relationships/footer" Target="footer73.xml" /><Relationship Id="rId152" Type="http://schemas.openxmlformats.org/officeDocument/2006/relationships/footer" Target="footer74.xml" /><Relationship Id="rId153" Type="http://schemas.openxmlformats.org/officeDocument/2006/relationships/header" Target="header75.xml" /><Relationship Id="rId154" Type="http://schemas.openxmlformats.org/officeDocument/2006/relationships/footer" Target="footer75.xml" /><Relationship Id="rId155" Type="http://schemas.openxmlformats.org/officeDocument/2006/relationships/header" Target="header76.xml" /><Relationship Id="rId156" Type="http://schemas.openxmlformats.org/officeDocument/2006/relationships/header" Target="header77.xml" /><Relationship Id="rId157" Type="http://schemas.openxmlformats.org/officeDocument/2006/relationships/footer" Target="footer76.xml" /><Relationship Id="rId158" Type="http://schemas.openxmlformats.org/officeDocument/2006/relationships/footer" Target="footer77.xml" /><Relationship Id="rId159" Type="http://schemas.openxmlformats.org/officeDocument/2006/relationships/header" Target="header78.xml" /><Relationship Id="rId16" Type="http://schemas.openxmlformats.org/officeDocument/2006/relationships/header" Target="header7.xml" /><Relationship Id="rId160" Type="http://schemas.openxmlformats.org/officeDocument/2006/relationships/footer" Target="footer78.xm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header" Target="header193.xml" /><Relationship Id="rId39" Type="http://schemas.openxmlformats.org/officeDocument/2006/relationships/footer" Target="footer18.xml" /><Relationship Id="rId390" Type="http://schemas.openxmlformats.org/officeDocument/2006/relationships/header" Target="header194.xml" /><Relationship Id="rId391" Type="http://schemas.openxmlformats.org/officeDocument/2006/relationships/footer" Target="footer193.xml" /><Relationship Id="rId392" Type="http://schemas.openxmlformats.org/officeDocument/2006/relationships/footer" Target="footer194.xml" /><Relationship Id="rId393" Type="http://schemas.openxmlformats.org/officeDocument/2006/relationships/header" Target="header195.xml" /><Relationship Id="rId394" Type="http://schemas.openxmlformats.org/officeDocument/2006/relationships/footer" Target="footer195.xml" /><Relationship Id="rId395" Type="http://schemas.openxmlformats.org/officeDocument/2006/relationships/header" Target="header196.xml" /><Relationship Id="rId396" Type="http://schemas.openxmlformats.org/officeDocument/2006/relationships/header" Target="header197.xml" /><Relationship Id="rId397" Type="http://schemas.openxmlformats.org/officeDocument/2006/relationships/footer" Target="footer196.xml" /><Relationship Id="rId398" Type="http://schemas.openxmlformats.org/officeDocument/2006/relationships/footer" Target="footer197.xml" /><Relationship Id="rId399" Type="http://schemas.openxmlformats.org/officeDocument/2006/relationships/header" Target="head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8.xml" /><Relationship Id="rId401" Type="http://schemas.openxmlformats.org/officeDocument/2006/relationships/header" Target="header199.xml" /><Relationship Id="rId402" Type="http://schemas.openxmlformats.org/officeDocument/2006/relationships/header" Target="header200.xml" /><Relationship Id="rId403" Type="http://schemas.openxmlformats.org/officeDocument/2006/relationships/footer" Target="footer199.xml" /><Relationship Id="rId404" Type="http://schemas.openxmlformats.org/officeDocument/2006/relationships/footer" Target="footer200.xml" /><Relationship Id="rId405" Type="http://schemas.openxmlformats.org/officeDocument/2006/relationships/header" Target="header201.xml" /><Relationship Id="rId406" Type="http://schemas.openxmlformats.org/officeDocument/2006/relationships/footer" Target="footer201.xml" /><Relationship Id="rId407" Type="http://schemas.openxmlformats.org/officeDocument/2006/relationships/header" Target="header202.xml" /><Relationship Id="rId408" Type="http://schemas.openxmlformats.org/officeDocument/2006/relationships/header" Target="header203.xml" /><Relationship Id="rId409" Type="http://schemas.openxmlformats.org/officeDocument/2006/relationships/footer" Target="footer202.xml" /><Relationship Id="rId41" Type="http://schemas.openxmlformats.org/officeDocument/2006/relationships/header" Target="header20.xml" /><Relationship Id="rId410" Type="http://schemas.openxmlformats.org/officeDocument/2006/relationships/footer" Target="footer203.xml" /><Relationship Id="rId411" Type="http://schemas.openxmlformats.org/officeDocument/2006/relationships/header" Target="header204.xml" /><Relationship Id="rId412" Type="http://schemas.openxmlformats.org/officeDocument/2006/relationships/footer" Target="footer204.xml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image" Target="media/image2.jpeg" /><Relationship Id="rId426" Type="http://schemas.openxmlformats.org/officeDocument/2006/relationships/header" Target="header211.xml" /><Relationship Id="rId427" Type="http://schemas.openxmlformats.org/officeDocument/2006/relationships/header" Target="header212.xml" /><Relationship Id="rId428" Type="http://schemas.openxmlformats.org/officeDocument/2006/relationships/footer" Target="footer211.xml" /><Relationship Id="rId429" Type="http://schemas.openxmlformats.org/officeDocument/2006/relationships/footer" Target="footer212.xml" /><Relationship Id="rId43" Type="http://schemas.openxmlformats.org/officeDocument/2006/relationships/footer" Target="footer20.xml" /><Relationship Id="rId430" Type="http://schemas.openxmlformats.org/officeDocument/2006/relationships/header" Target="header213.xml" /><Relationship Id="rId431" Type="http://schemas.openxmlformats.org/officeDocument/2006/relationships/footer" Target="footer213.xml" /><Relationship Id="rId432" Type="http://schemas.openxmlformats.org/officeDocument/2006/relationships/header" Target="header214.xml" /><Relationship Id="rId433" Type="http://schemas.openxmlformats.org/officeDocument/2006/relationships/header" Target="header215.xml" /><Relationship Id="rId434" Type="http://schemas.openxmlformats.org/officeDocument/2006/relationships/footer" Target="footer214.xml" /><Relationship Id="rId435" Type="http://schemas.openxmlformats.org/officeDocument/2006/relationships/footer" Target="footer215.xml" /><Relationship Id="rId436" Type="http://schemas.openxmlformats.org/officeDocument/2006/relationships/header" Target="header216.xml" /><Relationship Id="rId437" Type="http://schemas.openxmlformats.org/officeDocument/2006/relationships/footer" Target="footer216.xml" /><Relationship Id="rId438" Type="http://schemas.openxmlformats.org/officeDocument/2006/relationships/header" Target="header217.xml" /><Relationship Id="rId439" Type="http://schemas.openxmlformats.org/officeDocument/2006/relationships/header" Target="header218.xml" /><Relationship Id="rId44" Type="http://schemas.openxmlformats.org/officeDocument/2006/relationships/header" Target="header21.xml" /><Relationship Id="rId440" Type="http://schemas.openxmlformats.org/officeDocument/2006/relationships/footer" Target="footer217.xml" /><Relationship Id="rId441" Type="http://schemas.openxmlformats.org/officeDocument/2006/relationships/footer" Target="footer218.xml" /><Relationship Id="rId442" Type="http://schemas.openxmlformats.org/officeDocument/2006/relationships/header" Target="header219.xml" /><Relationship Id="rId443" Type="http://schemas.openxmlformats.org/officeDocument/2006/relationships/footer" Target="footer219.xml" /><Relationship Id="rId444" Type="http://schemas.openxmlformats.org/officeDocument/2006/relationships/image" Target="media/image3.jpeg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image" Target="media/image1.jpeg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2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header" Target="header23.xml" /><Relationship Id="rId480" Type="http://schemas.openxmlformats.org/officeDocument/2006/relationships/footer" Target="footer237.xml" /><Relationship Id="rId481" Type="http://schemas.openxmlformats.org/officeDocument/2006/relationships/header" Target="header238.xml" /><Relationship Id="rId482" Type="http://schemas.openxmlformats.org/officeDocument/2006/relationships/header" Target="header239.xml" /><Relationship Id="rId483" Type="http://schemas.openxmlformats.org/officeDocument/2006/relationships/footer" Target="footer238.xml" /><Relationship Id="rId484" Type="http://schemas.openxmlformats.org/officeDocument/2006/relationships/footer" Target="footer239.xml" /><Relationship Id="rId485" Type="http://schemas.openxmlformats.org/officeDocument/2006/relationships/header" Target="header240.xml" /><Relationship Id="rId486" Type="http://schemas.openxmlformats.org/officeDocument/2006/relationships/footer" Target="footer240.xml" /><Relationship Id="rId487" Type="http://schemas.openxmlformats.org/officeDocument/2006/relationships/header" Target="header241.xml" /><Relationship Id="rId488" Type="http://schemas.openxmlformats.org/officeDocument/2006/relationships/header" Target="header242.xml" /><Relationship Id="rId489" Type="http://schemas.openxmlformats.org/officeDocument/2006/relationships/footer" Target="footer241.xml" /><Relationship Id="rId49" Type="http://schemas.openxmlformats.org/officeDocument/2006/relationships/footer" Target="footer22.xml" /><Relationship Id="rId490" Type="http://schemas.openxmlformats.org/officeDocument/2006/relationships/footer" Target="footer242.xml" /><Relationship Id="rId491" Type="http://schemas.openxmlformats.org/officeDocument/2006/relationships/header" Target="header243.xml" /><Relationship Id="rId492" Type="http://schemas.openxmlformats.org/officeDocument/2006/relationships/footer" Target="footer243.xml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header" Target="header247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00" Type="http://schemas.openxmlformats.org/officeDocument/2006/relationships/header" Target="header248.xml" /><Relationship Id="rId501" Type="http://schemas.openxmlformats.org/officeDocument/2006/relationships/footer" Target="footer247.xml" /><Relationship Id="rId502" Type="http://schemas.openxmlformats.org/officeDocument/2006/relationships/footer" Target="footer248.xml" /><Relationship Id="rId503" Type="http://schemas.openxmlformats.org/officeDocument/2006/relationships/header" Target="header249.xml" /><Relationship Id="rId504" Type="http://schemas.openxmlformats.org/officeDocument/2006/relationships/footer" Target="footer249.xml" /><Relationship Id="rId505" Type="http://schemas.openxmlformats.org/officeDocument/2006/relationships/header" Target="header250.xml" /><Relationship Id="rId506" Type="http://schemas.openxmlformats.org/officeDocument/2006/relationships/header" Target="header251.xml" /><Relationship Id="rId507" Type="http://schemas.openxmlformats.org/officeDocument/2006/relationships/footer" Target="footer250.xml" /><Relationship Id="rId508" Type="http://schemas.openxmlformats.org/officeDocument/2006/relationships/footer" Target="footer251.xml" /><Relationship Id="rId509" Type="http://schemas.openxmlformats.org/officeDocument/2006/relationships/header" Target="header252.xml" /><Relationship Id="rId51" Type="http://schemas.openxmlformats.org/officeDocument/2006/relationships/header" Target="header24.xml" /><Relationship Id="rId510" Type="http://schemas.openxmlformats.org/officeDocument/2006/relationships/footer" Target="footer252.xml" /><Relationship Id="rId511" Type="http://schemas.openxmlformats.org/officeDocument/2006/relationships/header" Target="header253.xml" /><Relationship Id="rId512" Type="http://schemas.openxmlformats.org/officeDocument/2006/relationships/header" Target="header254.xml" /><Relationship Id="rId513" Type="http://schemas.openxmlformats.org/officeDocument/2006/relationships/footer" Target="footer253.xml" /><Relationship Id="rId514" Type="http://schemas.openxmlformats.org/officeDocument/2006/relationships/footer" Target="footer254.xml" /><Relationship Id="rId515" Type="http://schemas.openxmlformats.org/officeDocument/2006/relationships/header" Target="header255.xml" /><Relationship Id="rId516" Type="http://schemas.openxmlformats.org/officeDocument/2006/relationships/footer" Target="footer255.xml" /><Relationship Id="rId517" Type="http://schemas.openxmlformats.org/officeDocument/2006/relationships/header" Target="header256.xml" /><Relationship Id="rId518" Type="http://schemas.openxmlformats.org/officeDocument/2006/relationships/header" Target="header257.xml" /><Relationship Id="rId519" Type="http://schemas.openxmlformats.org/officeDocument/2006/relationships/footer" Target="footer256.xml" /><Relationship Id="rId52" Type="http://schemas.openxmlformats.org/officeDocument/2006/relationships/footer" Target="footer24.xml" /><Relationship Id="rId520" Type="http://schemas.openxmlformats.org/officeDocument/2006/relationships/footer" Target="footer257.xml" /><Relationship Id="rId521" Type="http://schemas.openxmlformats.org/officeDocument/2006/relationships/header" Target="header258.xml" /><Relationship Id="rId522" Type="http://schemas.openxmlformats.org/officeDocument/2006/relationships/footer" Target="footer258.xml" /><Relationship Id="rId523" Type="http://schemas.openxmlformats.org/officeDocument/2006/relationships/header" Target="header259.xml" /><Relationship Id="rId524" Type="http://schemas.openxmlformats.org/officeDocument/2006/relationships/header" Target="header260.xml" /><Relationship Id="rId525" Type="http://schemas.openxmlformats.org/officeDocument/2006/relationships/footer" Target="footer259.xml" /><Relationship Id="rId526" Type="http://schemas.openxmlformats.org/officeDocument/2006/relationships/footer" Target="footer260.xml" /><Relationship Id="rId527" Type="http://schemas.openxmlformats.org/officeDocument/2006/relationships/header" Target="header261.xml" /><Relationship Id="rId528" Type="http://schemas.openxmlformats.org/officeDocument/2006/relationships/footer" Target="footer261.xml" /><Relationship Id="rId529" Type="http://schemas.openxmlformats.org/officeDocument/2006/relationships/header" Target="header262.xml" /><Relationship Id="rId53" Type="http://schemas.openxmlformats.org/officeDocument/2006/relationships/header" Target="header25.xml" /><Relationship Id="rId530" Type="http://schemas.openxmlformats.org/officeDocument/2006/relationships/header" Target="header263.xml" /><Relationship Id="rId531" Type="http://schemas.openxmlformats.org/officeDocument/2006/relationships/footer" Target="footer262.xml" /><Relationship Id="rId532" Type="http://schemas.openxmlformats.org/officeDocument/2006/relationships/footer" Target="footer263.xml" /><Relationship Id="rId533" Type="http://schemas.openxmlformats.org/officeDocument/2006/relationships/header" Target="header264.xml" /><Relationship Id="rId534" Type="http://schemas.openxmlformats.org/officeDocument/2006/relationships/footer" Target="footer264.xml" /><Relationship Id="rId535" Type="http://schemas.openxmlformats.org/officeDocument/2006/relationships/header" Target="header265.xml" /><Relationship Id="rId536" Type="http://schemas.openxmlformats.org/officeDocument/2006/relationships/header" Target="header266.xml" /><Relationship Id="rId537" Type="http://schemas.openxmlformats.org/officeDocument/2006/relationships/footer" Target="footer265.xml" /><Relationship Id="rId538" Type="http://schemas.openxmlformats.org/officeDocument/2006/relationships/footer" Target="footer266.xml" /><Relationship Id="rId539" Type="http://schemas.openxmlformats.org/officeDocument/2006/relationships/header" Target="header267.xml" /><Relationship Id="rId54" Type="http://schemas.openxmlformats.org/officeDocument/2006/relationships/header" Target="header26.xml" /><Relationship Id="rId540" Type="http://schemas.openxmlformats.org/officeDocument/2006/relationships/footer" Target="footer267.xml" /><Relationship Id="rId541" Type="http://schemas.openxmlformats.org/officeDocument/2006/relationships/header" Target="header268.xml" /><Relationship Id="rId542" Type="http://schemas.openxmlformats.org/officeDocument/2006/relationships/header" Target="header269.xml" /><Relationship Id="rId543" Type="http://schemas.openxmlformats.org/officeDocument/2006/relationships/footer" Target="footer268.xml" /><Relationship Id="rId544" Type="http://schemas.openxmlformats.org/officeDocument/2006/relationships/footer" Target="footer269.xml" /><Relationship Id="rId545" Type="http://schemas.openxmlformats.org/officeDocument/2006/relationships/header" Target="header270.xml" /><Relationship Id="rId546" Type="http://schemas.openxmlformats.org/officeDocument/2006/relationships/footer" Target="footer270.xml" /><Relationship Id="rId547" Type="http://schemas.openxmlformats.org/officeDocument/2006/relationships/header" Target="header271.xml" /><Relationship Id="rId548" Type="http://schemas.openxmlformats.org/officeDocument/2006/relationships/header" Target="header272.xml" /><Relationship Id="rId549" Type="http://schemas.openxmlformats.org/officeDocument/2006/relationships/footer" Target="footer271.xml" /><Relationship Id="rId55" Type="http://schemas.openxmlformats.org/officeDocument/2006/relationships/footer" Target="footer25.xml" /><Relationship Id="rId550" Type="http://schemas.openxmlformats.org/officeDocument/2006/relationships/footer" Target="footer272.xml" /><Relationship Id="rId551" Type="http://schemas.openxmlformats.org/officeDocument/2006/relationships/header" Target="header273.xml" /><Relationship Id="rId552" Type="http://schemas.openxmlformats.org/officeDocument/2006/relationships/footer" Target="footer273.xml" /><Relationship Id="rId553" Type="http://schemas.openxmlformats.org/officeDocument/2006/relationships/theme" Target="theme/theme1.xml" /><Relationship Id="rId554" Type="http://schemas.openxmlformats.org/officeDocument/2006/relationships/styles" Target="styles.xml" /><Relationship Id="rId56" Type="http://schemas.openxmlformats.org/officeDocument/2006/relationships/footer" Target="footer26.xml" /><Relationship Id="rId57" Type="http://schemas.openxmlformats.org/officeDocument/2006/relationships/header" Target="header27.xml" /><Relationship Id="rId58" Type="http://schemas.openxmlformats.org/officeDocument/2006/relationships/footer" Target="footer27.xml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