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33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0" w:line="280" w:lineRule="exact"/>
        <w:ind w:left="43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42"/>
        </w:tabs>
        <w:autoSpaceDE w:val="0"/>
        <w:autoSpaceDN w:val="0"/>
        <w:adjustRightInd w:val="0"/>
        <w:spacing w:before="261" w:line="280" w:lineRule="exact"/>
        <w:ind w:left="4369" w:right="413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UNITED STATES OF AMERICA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BEFORE THE </w:t>
      </w:r>
    </w:p>
    <w:p>
      <w:pPr>
        <w:autoSpaceDE w:val="0"/>
        <w:autoSpaceDN w:val="0"/>
        <w:adjustRightInd w:val="0"/>
        <w:spacing w:before="1" w:line="255" w:lineRule="exact"/>
        <w:ind w:left="328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FEDERAL ENERGY REGULATORY COMMISSION </w:t>
      </w:r>
    </w:p>
    <w:p>
      <w:pPr>
        <w:autoSpaceDE w:val="0"/>
        <w:autoSpaceDN w:val="0"/>
        <w:adjustRightInd w:val="0"/>
        <w:spacing w:before="0" w:line="276" w:lineRule="exact"/>
        <w:ind w:left="719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71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</w:t>
      </w:r>
    </w:p>
    <w:p>
      <w:pPr>
        <w:tabs>
          <w:tab w:val="left" w:pos="7200"/>
          <w:tab w:val="left" w:pos="7920"/>
        </w:tabs>
        <w:autoSpaceDE w:val="0"/>
        <w:autoSpaceDN w:val="0"/>
        <w:adjustRightInd w:val="0"/>
        <w:spacing w:before="1" w:line="276" w:lineRule="exact"/>
        <w:ind w:left="1441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New York Independent System Operator, Inc.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Docket No. ER24 -</w:t>
      </w:r>
    </w:p>
    <w:p>
      <w:pPr>
        <w:autoSpaceDE w:val="0"/>
        <w:autoSpaceDN w:val="0"/>
        <w:adjustRightInd w:val="0"/>
        <w:spacing w:before="1" w:line="260" w:lineRule="exact"/>
        <w:ind w:left="71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</w:t>
      </w:r>
    </w:p>
    <w:p>
      <w:pPr>
        <w:autoSpaceDE w:val="0"/>
        <w:autoSpaceDN w:val="0"/>
        <w:adjustRightInd w:val="0"/>
        <w:spacing w:before="0" w:line="280" w:lineRule="exact"/>
        <w:ind w:left="49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41"/>
        </w:tabs>
        <w:autoSpaceDE w:val="0"/>
        <w:autoSpaceDN w:val="0"/>
        <w:adjustRightInd w:val="0"/>
        <w:spacing w:before="244" w:line="280" w:lineRule="exact"/>
        <w:ind w:left="4973" w:right="4764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autoSpaceDE w:val="0"/>
        <w:autoSpaceDN w:val="0"/>
        <w:adjustRightInd w:val="0"/>
        <w:spacing w:before="0" w:line="276" w:lineRule="exact"/>
        <w:ind w:left="227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7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2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Section 205 of the Federal Power Act (“FPA”), 16 U.S.C. § 824d, and Part </w:t>
      </w:r>
    </w:p>
    <w:p>
      <w:pPr>
        <w:autoSpaceDE w:val="0"/>
        <w:autoSpaceDN w:val="0"/>
        <w:adjustRightInd w:val="0"/>
        <w:spacing w:before="56" w:line="552" w:lineRule="exact"/>
        <w:ind w:left="1558" w:right="13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35 of the Federal Energy Regulatory Commission’s (“Commission”) regulations, 18 C.F.R. §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35,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et seq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.[], and Section 4.1.9.3 of the New York Independent System Operator Inc. (“NYISO”)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Market Administration and Control Area Services Tariff (“Services Tariff”), Ravenswood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LLC f/k/a Helix Ravenswood, LLC (“Ravenswood”) and the NYISO (individually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“Party” and collectively the “Parties”) hereby submit this Implementation Agreement fully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resolving issues related to the compensation and the agreed upon terms and conditions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Ravenswood will generate electric energy using 0.15% sulfur No. 4 Fuel Oil (“Fuel Oil”)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lieu of natural gas in furtherance of New York State Reliability Council’s Local Reliability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 G.2 (Loss of Generator Gas Supply - New York City) (“Rule G.2”) (“Fuel Oil Burn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G.2”) during a one-year period beginning May 1, 2023 and ending April 30, 2024.  It also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confirms the agreed upon cost sharing mechanism whereby Ravenswood and the NYISO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share the prudently incurred capital costs associated with converting the onsite storage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infrastructure to #4 and/or #2 fuel oil as well as associated revisions to electric generating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Units 10, 20, and 30. Payments made by the NYISO for commodity, emissions and fuel oil taxes,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6.05pt;height:1pt;margin-top:157.2pt;margin-left:487.8pt;mso-position-horizontal-relative:page;mso-position-vertical-relative:page;position:absolute;z-index:-251657216" coordsize="321,20" o:allowincell="f" path="m,20hhl321,20hhl32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558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as applicable, shall be in accordance with its Services Tariff.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138" w:line="550" w:lineRule="exact"/>
        <w:ind w:left="1560" w:right="13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As this Implementation Agreement is fair and reasonable, in the public interest,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previously approved settlement agreements among the Parties and other market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participants and, to the best of the Parties’ knowledge, unopposed, the Parties urge prompt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approval  by  the  Commission  of  this  Implementation  Agreement  without  condition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to be effective as of January 1, 2024. </w:t>
      </w:r>
    </w:p>
    <w:p>
      <w:pPr>
        <w:autoSpaceDE w:val="0"/>
        <w:autoSpaceDN w:val="0"/>
        <w:adjustRightInd w:val="0"/>
        <w:spacing w:before="237" w:line="276" w:lineRule="exact"/>
        <w:ind w:left="5408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ONE </w:t>
      </w:r>
    </w:p>
    <w:p>
      <w:pPr>
        <w:autoSpaceDE w:val="0"/>
        <w:autoSpaceDN w:val="0"/>
        <w:adjustRightInd w:val="0"/>
        <w:spacing w:before="224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FUEL OIL BURN FOR G.2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48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term of this Implementation Agreement, in return for the payments described </w:t>
      </w:r>
    </w:p>
    <w:p>
      <w:pPr>
        <w:autoSpaceDE w:val="0"/>
        <w:autoSpaceDN w:val="0"/>
        <w:adjustRightInd w:val="0"/>
        <w:spacing w:before="58" w:line="550" w:lineRule="exact"/>
        <w:ind w:left="2279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Section 2, in response to requests from NYISO and/or Con Edison as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designated by Rule G.2, Ravenswood will burn Fuel Oil for G.2 needs, unless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cause electric generating Units 10, 20, or 30 (collectively “Units” or individually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“Unit”) to violate the emissions limitations contained in their current permits. In the event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Ravenswood forecasts in any notice required by Section 1.2 hereof that one or more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Units is likely to violate the emissions limitations contained in their current permits,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Ravenswood will make a good faith effort to obtain a waiver from EPA from these limits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applicable unit(s). However, this Implementation Agreement does not require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Ravenswood to invest in any improvements, changes or upgrades to its Units to reduce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emissions further than current air permit limits, and Ravenswood is not seeking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compensation  under   this  Implementation   Agreement   in  order  to   make  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improvements, changes or upgrades. Ravenswood reserves all rights it may have to seek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30" w:lineRule="exact"/>
        <w:ind w:left="1440" w:right="171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Con Edison Steam is also sharing in the costs associated with the provision of comingled Fuel Oil supply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burning, however those agreements are not subject to the Commission’s jurisdiction. Nevertheless, the filing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includes information related to how costs are divided among the three uses.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pict>
          <v:shape id="_x0000_s1026" style="width:2in;height:1pt;margin-top:680.3pt;margin-left:1in;mso-position-horizontal-relative:page;mso-position-vertical-relative:page;position:absolute;z-index:-251653120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69" w:line="513" w:lineRule="exact"/>
        <w:ind w:left="2279" w:right="1315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recovery of such costs in a new proceeding if and when any Unit is required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reduce its emissions, provided, however, that nothing in this Implementation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limit or abridge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any Party’s or non-party’s right to protest the recovery of such costs.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event that Ravenswood receives a request to provide Fuel Oil Burn for G.2 and Ravenswood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is forecasting that such burn is likely to cause one or more of its Units to violate the emissions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limitations contained in the applicable air permit(s), Ravenswood will notify the NYISO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Con Edison System Operation, as the Transmission Owner designated by Rule G.2, that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continued operation of the Unit(s) will be limited to burning natural gas unless and until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applicable waiver request is granted that fully relieves Ravenswood from its emission limitations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the applicable Unit(s) or Ravenswood no longer is forecasting that additional use of Fuel Oil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will result in the Unit(s) violating the emissions limitations contained in the applicable air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permit(s). Ravenswood will notify the NYISO, Con Edison System Operation, and the City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New York when it submits its waiver request to the EPA and/or, if applicable,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Department of Environmental Conservation and will provide a copy of such waiver request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NYISO, Con Edison System Operation, and the City of New York on a confidential basis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subject to limited distribution as described in Section 1.2 below.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27" w:line="276" w:lineRule="exact"/>
        <w:ind w:left="15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Ravenswood shall provide the NYISO and Con Edison System Operation, as the </w:t>
      </w:r>
    </w:p>
    <w:p>
      <w:pPr>
        <w:autoSpaceDE w:val="0"/>
        <w:autoSpaceDN w:val="0"/>
        <w:adjustRightInd w:val="0"/>
        <w:spacing w:before="36" w:line="553" w:lineRule="exact"/>
        <w:ind w:left="2280" w:right="134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 designated by Rule G.2, on a confidential basis, the following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notifications and communications related to its actual and forecast Fuel Oil burn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violate the emissions limitations contained in the current permits. Ravenswood’s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confidential  notifications  and  communications  will  remind  Con  Edison,  as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designated by Rule G.2, of its obligation not to disclose any of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information   Ravenswood   provides   in   such   confidential   notifications  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communications to any “marketing function employee” as that term is defined in 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63" w:line="520" w:lineRule="exact"/>
        <w:ind w:left="2280" w:right="138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C.F.R §358.3. To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extent the forecasts provided by Ravenswood as described below cause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it to believe that one or more Units is likely to violate the emissions limitations contained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current permits, Ravenswood shall specifically identify such forecast in the Notice. </w:t>
      </w:r>
    </w:p>
    <w:p>
      <w:pPr>
        <w:autoSpaceDE w:val="0"/>
        <w:autoSpaceDN w:val="0"/>
        <w:adjustRightInd w:val="0"/>
        <w:spacing w:before="0" w:line="276" w:lineRule="exact"/>
        <w:ind w:left="22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to efficiently provide Fuel Oil Burn for G.2 and satisfy its Fuel Oil </w:t>
      </w:r>
    </w:p>
    <w:p>
      <w:pPr>
        <w:autoSpaceDE w:val="0"/>
        <w:autoSpaceDN w:val="0"/>
        <w:adjustRightInd w:val="0"/>
        <w:spacing w:before="56" w:line="552" w:lineRule="exact"/>
        <w:ind w:left="2279" w:right="1328"/>
        <w:jc w:val="left"/>
        <w:rPr>
          <w:rFonts w:ascii="Times New Roman" w:hAnsi="Times New Roman"/>
          <w:color w:val="000000"/>
          <w:spacing w:val="-10"/>
          <w:w w:val="9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storage, handling, and delivery obligations for all Fuel Oil use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Ravenswood site during the period of May 1, 2023 through April 30, 2024,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Ravenswood and Ravenswood Services LLC will co-mingle the use of their Fuel Oil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 and delivery facilities as well as Operation and Maintenance (“O&amp;M”) activities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administrative services with the use of other Fuel Oil customers served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Ravenswood site (“co-mingling”). Accordingly, during the period May 1, 2023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April 30, 2024, Ravenswood will provide Fuel Oil Burn for G.2 using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following oil storage and delivery facilities: (i) one (1) offsite storage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tank (which equates to approximately 177,350 barrels of working storage); (ii) one (1)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(approximately 40,000 barrel) annual time chartered transient barge; (iii)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Lemon Creek stationary barge (approximately 90,000 barrel shell capacity); (iv)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(approximately 40,000 barrels) seasonally time chartered transient barge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(expected for 3-5 months) (“Seasonal Barge”) and (v) Ravenswood’s existing onsite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Fuel Oil storage tank (approximately 45,000 barrels), subject to the Minimum Reserve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Quantity required by the existing agreement between Ravenswood and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Steam. The off-site storage tank leases require the lessor to pay for tank cleaning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 of the lease and when required inspections are due. It is assumed that one cleaning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occur during this lease term because the tank must be cleaned at the end of its lease. </w:t>
        <w:br/>
      </w:r>
      <w:r>
        <w:rPr>
          <w:rFonts w:ascii="Times New Roman" w:hAnsi="Times New Roman"/>
          <w:color w:val="000000"/>
          <w:spacing w:val="-10"/>
          <w:w w:val="93"/>
          <w:position w:val="0"/>
          <w:sz w:val="24"/>
          <w:szCs w:val="24"/>
          <w:u w:val="none"/>
          <w:vertAlign w:val="baseline"/>
        </w:rPr>
        <w:t xml:space="preserve">Estimated costs were included in the prior Implementation Agreement and will be used to clean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0"/>
          <w:w w:val="93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0"/>
          <w:w w:val="93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10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0" w:line="276" w:lineRule="exact"/>
        <w:ind w:left="2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279"/>
        <w:jc w:val="left"/>
        <w:rPr>
          <w:rFonts w:ascii="Times New Roman" w:hAnsi="Times New Roman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tank at the end of this term. Actual costs will be subject to a true-up at the end of the one-</w:t>
      </w:r>
    </w:p>
    <w:p>
      <w:pPr>
        <w:autoSpaceDE w:val="0"/>
        <w:autoSpaceDN w:val="0"/>
        <w:adjustRightInd w:val="0"/>
        <w:spacing w:before="30" w:line="560" w:lineRule="exact"/>
        <w:ind w:left="2279" w:right="14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term as outlined in Section 2.4. In addition, Ravenswood will also provide certain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acquisition and transport administrative services. </w:t>
      </w:r>
    </w:p>
    <w:p>
      <w:pPr>
        <w:autoSpaceDE w:val="0"/>
        <w:autoSpaceDN w:val="0"/>
        <w:adjustRightInd w:val="0"/>
        <w:spacing w:before="235" w:line="276" w:lineRule="exact"/>
        <w:ind w:lef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CONVERSION FROM #6 TO #4 </w:t>
      </w:r>
    </w:p>
    <w:p>
      <w:pPr>
        <w:autoSpaceDE w:val="0"/>
        <w:autoSpaceDN w:val="0"/>
        <w:adjustRightInd w:val="0"/>
        <w:spacing w:before="0" w:line="553" w:lineRule="exact"/>
        <w:ind w:left="2279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As of January 1, 2020, Ravenswood is no longer permitted to burn #6 Fuel Oil.</w:t>
      </w:r>
      <w:r>
        <w:rPr>
          <w:rFonts w:ascii="Times New Roman" w:hAnsi="Times New Roman"/>
          <w:color w:val="000000"/>
          <w:spacing w:val="0"/>
          <w:w w:val="107"/>
          <w:position w:val="0"/>
          <w:sz w:val="23"/>
          <w:szCs w:val="24"/>
          <w:u w:val="none"/>
          <w:vertAlign w:val="superscript"/>
        </w:rPr>
        <w:t xml:space="preserve">2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Accordingly, to continue to burn fuel oil beyond May 2020 for any purpose, capital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investments had to be made to convert its storage, infrastructure and the Units’ fuel oil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burn capabilities. The Parties agreed that it was prudent for Ravenswood to proceed with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conversion process and that the costs incurred would be allocated and recovered as set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forth in FERC Docket No. ER21-302-000 and the associated letter order issued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18, 2020. </w:t>
      </w:r>
    </w:p>
    <w:p>
      <w:pPr>
        <w:autoSpaceDE w:val="0"/>
        <w:autoSpaceDN w:val="0"/>
        <w:adjustRightInd w:val="0"/>
        <w:spacing w:before="212" w:line="276" w:lineRule="exact"/>
        <w:ind w:lef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CONVERSION FROM #4 TO #2 </w:t>
      </w:r>
    </w:p>
    <w:p>
      <w:pPr>
        <w:autoSpaceDE w:val="0"/>
        <w:autoSpaceDN w:val="0"/>
        <w:adjustRightInd w:val="0"/>
        <w:spacing w:before="56" w:line="552" w:lineRule="exact"/>
        <w:ind w:left="2279" w:right="13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addition, the Parties previously agreed to share the costs associated with converting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at the Ravenswood site associated with fuel oil handling from #4 to #2.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share 1/3 of the prudently incurred capital costs associated with converting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onsite storage facilities and infrastructure to #2 fuel oil.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3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costs associated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retrofitting, adjusting or tuning Units 10, 20 and 30 will be paid equally by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Ravenswood. </w:t>
      </w:r>
    </w:p>
    <w:p>
      <w:pPr>
        <w:autoSpaceDE w:val="0"/>
        <w:autoSpaceDN w:val="0"/>
        <w:adjustRightInd w:val="0"/>
        <w:spacing w:before="10" w:line="550" w:lineRule="exact"/>
        <w:ind w:left="2279" w:right="130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cost to transition from #4 fuel oil to #2 fuel oil is not known with certainty 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time because it depends on what actual work is required to accomplish the transition.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variable is the cost to clean infrastructure and whether any piping needs to be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30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NYC Local Law No. 38.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Con Edison Steam is also sharing 1/3 of the costs associated with the provision of comingled Fuel Oil supply,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however those agreements are not subject to the Commission’s jurisdiction. Nevertheless, the filing includes </w:t>
      </w:r>
    </w:p>
    <w:p>
      <w:pPr>
        <w:autoSpaceDE w:val="0"/>
        <w:autoSpaceDN w:val="0"/>
        <w:adjustRightInd w:val="0"/>
        <w:spacing w:before="21" w:line="220" w:lineRule="exact"/>
        <w:ind w:left="1440" w:right="143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information related to how costs are divided among the NYISO, Ravenswood and Con Edison Steam.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fuel oil tank that supplies Unit 40 will not be interconnected to the other fuel oil systems at this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7" style="width:2in;height:1pt;margin-top:657.3pt;margin-left:1in;mso-position-horizontal-relative:page;mso-position-vertical-relative:page;position:absolute;z-index:-251655168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46" w:line="540" w:lineRule="exact"/>
        <w:ind w:left="2279" w:right="4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replaced based on the change from #4 fuel oil to #2.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Converting to #2 could include the following: </w:t>
      </w:r>
    </w:p>
    <w:p>
      <w:pPr>
        <w:tabs>
          <w:tab w:val="left" w:pos="4032"/>
        </w:tabs>
        <w:autoSpaceDE w:val="0"/>
        <w:autoSpaceDN w:val="0"/>
        <w:adjustRightInd w:val="0"/>
        <w:spacing w:before="247" w:line="276" w:lineRule="exact"/>
        <w:ind w:left="33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Tank 106 Cleaning</w:t>
      </w:r>
    </w:p>
    <w:p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Barge Connecticut Cleaning</w:t>
      </w:r>
    </w:p>
    <w:p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Barge Lemon Creek Cleaning</w:t>
      </w:r>
    </w:p>
    <w:p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Boiler oil system piping cleaning</w:t>
      </w:r>
    </w:p>
    <w:p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Barge to tank 106 pipe cleaning</w:t>
      </w:r>
    </w:p>
    <w:p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Unit 10, 20 and 30 adjustments and tuning (Ravenswood will work</w:t>
      </w:r>
    </w:p>
    <w:p>
      <w:pPr>
        <w:autoSpaceDE w:val="0"/>
        <w:autoSpaceDN w:val="0"/>
        <w:adjustRightInd w:val="0"/>
        <w:spacing w:before="50" w:line="550" w:lineRule="exact"/>
        <w:ind w:left="4032" w:right="13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NYISO to evaluate the costs and benefits of modifying some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main fuel guns to an alternative igniter type such as Plasma Arc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Ignitors.  The total number and location of the alternative igniters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would be evaluated to determine the load flexibility and reliability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re-ignite in case of a flame out. </w:t>
      </w:r>
    </w:p>
    <w:p>
      <w:pPr>
        <w:autoSpaceDE w:val="0"/>
        <w:autoSpaceDN w:val="0"/>
        <w:adjustRightInd w:val="0"/>
        <w:spacing w:before="10" w:line="550" w:lineRule="exact"/>
        <w:ind w:left="2279" w:right="130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Depending upon condition and how well it can be cleaned, some of the pipe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barges to the 106 Tank may need to be replaced. A budget estimate to complete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project is approximately $9.7 million (which is 1/3 the cost being reimbursed for the new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tank that was constructed for the conversion from #6 to #4). As additional engineering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analysis is performed, we will keep the NYISO informed and evaluate cost saving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opportunities.  Pipe replacement and cleaning will be minimized to the extent practicable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while still ensuring fuel oil specifications can be maintained. </w:t>
      </w:r>
    </w:p>
    <w:p>
      <w:pPr>
        <w:autoSpaceDE w:val="0"/>
        <w:autoSpaceDN w:val="0"/>
        <w:adjustRightInd w:val="0"/>
        <w:spacing w:before="10" w:line="550" w:lineRule="exact"/>
        <w:ind w:left="2279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additional cleaning costs are being collected as part of the one-year extension.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cleaning costs associated with the off-site and onsite tanks, barges and piping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credited with the cleaning costs previously collected.  The final cost of cleaning will be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0" w:line="276" w:lineRule="exact"/>
        <w:ind w:left="2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true-up in accordance with the same process in the current agreements. </w:t>
      </w:r>
    </w:p>
    <w:p>
      <w:pPr>
        <w:autoSpaceDE w:val="0"/>
        <w:autoSpaceDN w:val="0"/>
        <w:adjustRightInd w:val="0"/>
        <w:spacing w:before="36" w:line="553" w:lineRule="exact"/>
        <w:ind w:left="2279" w:right="13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NYISO will share 1/2 of the prudently incurred capital costs associated with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converting Units 10, 20 and 30 to #2 fuel oil.  Once the conversion is finalized,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costs and the agreement to reimburse them will be filed with the Commission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approval. </w:t>
      </w:r>
    </w:p>
    <w:p>
      <w:pPr>
        <w:autoSpaceDE w:val="0"/>
        <w:autoSpaceDN w:val="0"/>
        <w:adjustRightInd w:val="0"/>
        <w:spacing w:before="236" w:line="276" w:lineRule="exact"/>
        <w:ind w:left="526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TWO </w:t>
      </w:r>
    </w:p>
    <w:p>
      <w:pPr>
        <w:tabs>
          <w:tab w:val="left" w:pos="2279"/>
        </w:tabs>
        <w:autoSpaceDE w:val="0"/>
        <w:autoSpaceDN w:val="0"/>
        <w:adjustRightInd w:val="0"/>
        <w:spacing w:before="261" w:line="280" w:lineRule="exact"/>
        <w:ind w:left="1558" w:right="1341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PAYMENT BY THE NYISO FOR COMINGLED SERVICES FOR THE PERIOD MAY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1, 2023 THROUGH APRIL 30, 2024 </w:t>
      </w:r>
    </w:p>
    <w:p>
      <w:pPr>
        <w:tabs>
          <w:tab w:val="left" w:pos="2279"/>
        </w:tabs>
        <w:autoSpaceDE w:val="0"/>
        <w:autoSpaceDN w:val="0"/>
        <w:adjustRightInd w:val="0"/>
        <w:spacing w:before="244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will pay Ravenswood the Demand Charges and O&amp;M Costs set forth below </w:t>
      </w:r>
    </w:p>
    <w:p>
      <w:pPr>
        <w:autoSpaceDE w:val="0"/>
        <w:autoSpaceDN w:val="0"/>
        <w:adjustRightInd w:val="0"/>
        <w:spacing w:before="46" w:line="540" w:lineRule="exact"/>
        <w:ind w:left="2279" w:right="130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compensation for Ravenswood’s provision of Fuel Oil Burn for G.2 for the period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1, 2023 through April 30, 2024. The term Demand Charges as used herein refers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 charge that will enable Ravenswood to recover costs for transporting, maintaining,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storing, and handling Fuel Oil to provide Fuel Oil Burn for G.2 that Ravenswood incurs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regardless of the amount of Fuel Oil Burn for G.2 it provides. The categories of costs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that comprise the basis for the Demand Charge include, fixed and variable costs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associated with leasing off-site tanks, fixed and variable costs associated with leasing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various barges, as well as the cost associated with labor to staff 24/7 readiness for Fuel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Oil operation, procurement,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logistics and management, taxes, Fuel Oil carrying charges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testing. Confidential Appendix A contains an itemization of the costs that form the basis for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Demand Charges. The term O&amp;M Costs has the meaning set forth in Section 2.3.3 hereof.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purposes of this Implementation Agreement, “Year 1” shall be the period May 1, 2023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April 30, 2024. </w:t>
      </w:r>
    </w:p>
    <w:p>
      <w:pPr>
        <w:tabs>
          <w:tab w:val="left" w:pos="3000"/>
        </w:tabs>
        <w:autoSpaceDE w:val="0"/>
        <w:autoSpaceDN w:val="0"/>
        <w:adjustRightInd w:val="0"/>
        <w:spacing w:before="260" w:line="540" w:lineRule="exact"/>
        <w:ind w:left="228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2.1.1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The NYISO’s obligation to pay Ravenswood is conditioned on the NYISO’s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continuing authority to obtain the Demand Charges from all load withdrawals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38" w:line="550" w:lineRule="exact"/>
        <w:ind w:left="3000" w:right="130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Consolidated Edison Transmission District (other than withdrawals to supply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station power) under this Implementation Agreement, the OATT and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autoSpaceDE w:val="0"/>
        <w:autoSpaceDN w:val="0"/>
        <w:adjustRightInd w:val="0"/>
        <w:spacing w:before="247" w:line="264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Demand Charges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3"/>
          <w:szCs w:val="24"/>
          <w:u w:val="none"/>
          <w:vertAlign w:val="superscript"/>
        </w:rPr>
        <w:t xml:space="preserve">4 </w:t>
      </w:r>
    </w:p>
    <w:p>
      <w:pPr>
        <w:tabs>
          <w:tab w:val="left" w:pos="4097"/>
        </w:tabs>
        <w:autoSpaceDE w:val="0"/>
        <w:autoSpaceDN w:val="0"/>
        <w:adjustRightInd w:val="0"/>
        <w:spacing w:before="257" w:line="287" w:lineRule="exact"/>
        <w:ind w:left="2279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For</w:t>
      </w:r>
      <w:r>
        <w:rPr>
          <w:rFonts w:ascii="Times New Roman" w:hAnsi="Times New Roman"/>
          <w:color w:val="000000"/>
          <w:spacing w:val="0"/>
          <w:w w:val="105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Year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1,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the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pay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to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Ravenswood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Demand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Charge</w:t>
      </w:r>
      <w:r>
        <w:rPr>
          <w:rFonts w:ascii="Times New Roman" w:hAnsi="Times New Roman"/>
          <w:color w:val="000000"/>
          <w:spacing w:val="0"/>
          <w:w w:val="109"/>
          <w:position w:val="0"/>
          <w:sz w:val="2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of </w:t>
      </w:r>
    </w:p>
    <w:p>
      <w:pPr>
        <w:autoSpaceDE w:val="0"/>
        <w:autoSpaceDN w:val="0"/>
        <w:adjustRightInd w:val="0"/>
        <w:spacing w:before="64" w:line="540" w:lineRule="exact"/>
        <w:ind w:left="3000" w:right="130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$3,763,491.17.</w:t>
      </w:r>
      <w:r>
        <w:rPr>
          <w:rFonts w:ascii="Times New Roman" w:hAnsi="Times New Roman"/>
          <w:color w:val="000000"/>
          <w:spacing w:val="0"/>
          <w:w w:val="100"/>
          <w:position w:val="0"/>
          <w:sz w:val="23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This compares to the $3,732,190.56 cost for 2022. In general,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costs are largely consistent with prior years. </w:t>
      </w:r>
    </w:p>
    <w:p>
      <w:pPr>
        <w:tabs>
          <w:tab w:val="left" w:pos="2999"/>
        </w:tabs>
        <w:autoSpaceDE w:val="0"/>
        <w:autoSpaceDN w:val="0"/>
        <w:adjustRightInd w:val="0"/>
        <w:spacing w:before="269" w:line="506" w:lineRule="exact"/>
        <w:ind w:left="2279" w:right="1322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The NYISO shall pay Ravenswood the Demand Charges for Year 1 regardless of: (i)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whether Fuel Oil has been burned in accordance with G.2; (ii) the relative cost of the Fuel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Oil compared to natural gas reflected in the reference levels for the Units; and (iii)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revisions to the Services Tariff or Rule G.2 that occur after the date this Implementation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Agreement is executed.  Demand Charges will be adjusted as noted in Section 2.4.1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based on the actual lease cost of the Seasonal Barge and true up for tank and barge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cleaning. </w:t>
      </w:r>
    </w:p>
    <w:p>
      <w:pPr>
        <w:tabs>
          <w:tab w:val="left" w:pos="2279"/>
        </w:tabs>
        <w:autoSpaceDE w:val="0"/>
        <w:autoSpaceDN w:val="0"/>
        <w:adjustRightInd w:val="0"/>
        <w:spacing w:before="234" w:line="276" w:lineRule="exact"/>
        <w:ind w:left="15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O&amp;M Costs</w:t>
      </w:r>
    </w:p>
    <w:p>
      <w:pPr>
        <w:tabs>
          <w:tab w:val="left" w:pos="3000"/>
        </w:tabs>
        <w:autoSpaceDE w:val="0"/>
        <w:autoSpaceDN w:val="0"/>
        <w:adjustRightInd w:val="0"/>
        <w:spacing w:before="128" w:line="550" w:lineRule="exact"/>
        <w:ind w:left="228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For every barrel of Fuel Oil burned in furtherance of G.2 that is eligible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commodity cost compensation in accordance with Section 4.1.9.2 of the Services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Tariff, the NYISO shall also pay Ravenswood a per barrel O&amp;M Cost as noted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confidential Appendix A for Fuel Oil Burn for G.2 associated with the use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ancillary Fuel Oil equipment at the Ravenswood Generating Station.  The O&amp;M </w:t>
      </w:r>
    </w:p>
    <w:p>
      <w:pPr>
        <w:autoSpaceDE w:val="0"/>
        <w:autoSpaceDN w:val="0"/>
        <w:adjustRightInd w:val="0"/>
        <w:spacing w:before="0" w:line="23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33" w:lineRule="exact"/>
        <w:ind w:left="1440" w:right="1628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With respect to off-site tank lease, transient barge lease, Lemon Creek barge, Seasonal Barge, and on-site tank,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Con Edison Steam, the NYISO and Ravenswood each pay 1/3 of the costs. With respect to O&amp;M, Con Edison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Steam pays 44%, the NYISO pays 22 2/3% and Ravenswood pays 33 1/3%. These percentages are noted in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Appendices.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The Demand Charges represent a settlement amount based on the detailed Appendix A.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8" style="width:2in;height:1pt;margin-top:657.3pt;margin-left:1in;mso-position-horizontal-relative:page;mso-position-vertical-relative:page;position:absolute;z-index:-251654144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59" w:line="500" w:lineRule="exact"/>
        <w:ind w:left="300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Cost shall be fixed for the term of this Implementation Agreement and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subject to escalation. </w:t>
      </w:r>
    </w:p>
    <w:p>
      <w:pPr>
        <w:tabs>
          <w:tab w:val="left" w:pos="2279"/>
        </w:tabs>
        <w:autoSpaceDE w:val="0"/>
        <w:autoSpaceDN w:val="0"/>
        <w:adjustRightInd w:val="0"/>
        <w:spacing w:before="206" w:line="276" w:lineRule="exact"/>
        <w:ind w:left="15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Reconciliation of Tank Cleaning and Seasonal Barge payments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88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obtain a true-up of the invoiced Seasonal Barge payments for the period May </w:t>
      </w:r>
    </w:p>
    <w:p>
      <w:pPr>
        <w:autoSpaceDE w:val="0"/>
        <w:autoSpaceDN w:val="0"/>
        <w:adjustRightInd w:val="0"/>
        <w:spacing w:before="58" w:line="550" w:lineRule="exact"/>
        <w:ind w:left="3000" w:right="1305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1, 2022 through April 30, 2024, Ravenswood shall provide to the NYISO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barge invoices by June 15, 2024. Should the invoiced Seasonal Barge costs paid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by Ravenswood exceed the Seasonal Barge payment made by more than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$25,000, the NYISO shall reimburse Ravenswood for the total excess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invoiced cost over the Seasonal Barge payment made. Should the Seasonal Barge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made exceed the invoiced Seasonal Barge cost paid by Ravenswood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than $25,000, Ravenswood shall reimburse the NYISO for the total excess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the Seasonal Barge payments made over the Seasonal Barge cost paid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Ravenswood. To obtain a true-up of the invoiced tank cleaning costs during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term of this Implementation Agreement, Ravenswood shall provide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NYISO all tank cleaning invoices by June 15, 2024.  Should the invoiced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amounts paid by Ravenswood for tank cleaning exceed the estimated cost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included in the Demand Charge, by more than $25,000, the NYISO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Ravenswood for the total excess of the invoiced amounts. Should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amounts paid to Ravenswood for tank cleaning exceed the estimated cost included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the Demand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Charge, by more than $25,000, Ravenswood shall reimburse the NYISO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for the total excess. </w:t>
      </w:r>
    </w:p>
    <w:p>
      <w:pPr>
        <w:tabs>
          <w:tab w:val="left" w:pos="2999"/>
        </w:tabs>
        <w:autoSpaceDE w:val="0"/>
        <w:autoSpaceDN w:val="0"/>
        <w:adjustRightInd w:val="0"/>
        <w:spacing w:before="217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True-up payments to or from Ravenswood, if any, for Seasonal Barge costs shall </w:t>
      </w:r>
    </w:p>
    <w:p>
      <w:pPr>
        <w:autoSpaceDE w:val="0"/>
        <w:autoSpaceDN w:val="0"/>
        <w:adjustRightInd w:val="0"/>
        <w:spacing w:before="30" w:line="560" w:lineRule="exact"/>
        <w:ind w:left="2999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included on the NYISO invoices to Ravenswood for the month of July 2024.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True-up payments to or from Ravenswood, if any, for Tank Cleaning shall be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36" w:line="553" w:lineRule="exact"/>
        <w:ind w:left="2999" w:right="1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included on the NYISO invoices to Ravenswood for the month of July 2024.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Calculations and payments of True-up payments may be extended by written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of the parties based on actual receipt of invoices and completion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cleaning activities. </w:t>
      </w:r>
    </w:p>
    <w:p>
      <w:pPr>
        <w:tabs>
          <w:tab w:val="left" w:pos="2279"/>
        </w:tabs>
        <w:autoSpaceDE w:val="0"/>
        <w:autoSpaceDN w:val="0"/>
        <w:adjustRightInd w:val="0"/>
        <w:spacing w:before="216" w:line="276" w:lineRule="exact"/>
        <w:ind w:left="15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NYISO shall pay Ravenswood the Demand Charge in three equal amounts using </w:t>
      </w:r>
    </w:p>
    <w:p>
      <w:pPr>
        <w:autoSpaceDE w:val="0"/>
        <w:autoSpaceDN w:val="0"/>
        <w:adjustRightInd w:val="0"/>
        <w:spacing w:before="56" w:line="553" w:lineRule="exact"/>
        <w:ind w:left="2279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normal billing cycle for the three calendar months following Commission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approval of the Agreement.  The payments will include interest, calculated in accordance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NYISO Services Tariff, from January 1, 2024 to the disbursement date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invoice on which the payment appears.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60" w:line="276" w:lineRule="exact"/>
        <w:ind w:left="15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2.6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will allocate Demand Charges and O&amp;M Costs, paid to Ravenswood pursuant </w:t>
      </w:r>
    </w:p>
    <w:p>
      <w:pPr>
        <w:autoSpaceDE w:val="0"/>
        <w:autoSpaceDN w:val="0"/>
        <w:adjustRightInd w:val="0"/>
        <w:spacing w:before="58" w:line="550" w:lineRule="exact"/>
        <w:ind w:left="2279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this Implementation Agreement, under the provisions of Section 6.1.7 of the NYISO’s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Open Access Transmission Tariff (“OATT”), that are in effect at the time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Implementation Agreement is executed, to all load withdrawals in the Con Edison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District (Load Zones H, I and J) based on each Load Serving Entity’s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(“LSE’s”) load ratio share. </w:t>
      </w:r>
    </w:p>
    <w:p>
      <w:pPr>
        <w:tabs>
          <w:tab w:val="left" w:pos="2999"/>
        </w:tabs>
        <w:autoSpaceDE w:val="0"/>
        <w:autoSpaceDN w:val="0"/>
        <w:adjustRightInd w:val="0"/>
        <w:spacing w:before="10" w:line="550" w:lineRule="exact"/>
        <w:ind w:left="2279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2.6.1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Demand Charges, paid pursuant to Sections 2.2 and 2.5 of the Implementation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Agreement, will be allocated among all load withdrawals in the Con Edison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District (Load Zones H, I and J) based on each LSE’s load ratio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share for the same month that the Demand Charge payments to Ravenswood are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invoiced. </w:t>
      </w:r>
    </w:p>
    <w:p>
      <w:pPr>
        <w:tabs>
          <w:tab w:val="left" w:pos="2999"/>
        </w:tabs>
        <w:autoSpaceDE w:val="0"/>
        <w:autoSpaceDN w:val="0"/>
        <w:adjustRightInd w:val="0"/>
        <w:spacing w:before="10" w:line="550" w:lineRule="exact"/>
        <w:ind w:left="2279" w:right="130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2.6.2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O&amp;M Costs paid pursuant to Section 2.3 of the Implementation Agreement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allocated among all load withdrawals in the Con Edison Transmission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District (Load Zones H, I and J) based on each LSE’s load ratio share for the same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0" w:line="276" w:lineRule="exact"/>
        <w:ind w:left="29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9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 that the O&amp;M cost payments to Ravenswood are invoiced.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88" w:line="276" w:lineRule="exact"/>
        <w:ind w:left="1558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the extent that Ravenswood determines during the term of this Implementation </w:t>
      </w:r>
    </w:p>
    <w:p>
      <w:pPr>
        <w:autoSpaceDE w:val="0"/>
        <w:autoSpaceDN w:val="0"/>
        <w:adjustRightInd w:val="0"/>
        <w:spacing w:before="30" w:line="560" w:lineRule="exact"/>
        <w:ind w:left="2279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it needs to obtain a spot barge to provide Oil Burn for G.2 beyond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designated in this Implementation Agreement, Ravenswood will inform the </w:t>
      </w:r>
    </w:p>
    <w:p>
      <w:pPr>
        <w:autoSpaceDE w:val="0"/>
        <w:autoSpaceDN w:val="0"/>
        <w:adjustRightInd w:val="0"/>
        <w:spacing w:before="5" w:line="506" w:lineRule="exact"/>
        <w:ind w:left="2279" w:right="1315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NYISO, and others as appropriate, of the need and its attempt to obtain the spot barge,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negotiate the cost of the spot barge which includes the costs of heating, tugging, booming, testing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and inspections to the extent they can be procured (hereinafter referred to as “Supplemental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2"/>
          <w:szCs w:val="24"/>
          <w:u w:val="none"/>
          <w:vertAlign w:val="baseline"/>
        </w:rPr>
        <w:t xml:space="preserve">Costs”).  If such spot barge is obtained, Ravenswood shall bear one-third (1/3)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Supplemental Costs and the NYISO shall pay to Ravenswood and recover two-thirds (2/3)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such Supplemental Costs as a cost for Fuel Oil Burn for G.2 pursuant to Section 6.1.7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OATT unless Con Edison Steam determines that it needs Fuel Oil that would be procured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pursuant to this Section. If Con Edison Steam determines that it does need additional Fuel Oil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would be procured pursuant to this Section, and it provides written notice to Ravenswood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such determination no later than five business days following notice from Ravenswood that it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needs to obtain a spot barge to provide Fuel Oil Burn for G.2, the NYISO shall pay to Ravenswood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and recover one-third (1/3) of such Supplemental Costs as a cost for Fuel Oil Burn for G.2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pursuant to Section 6.1.7 of the OATT; Con Ed Steam shall bear one-third (1/3) of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Supplemental Costs; and Ravenswood shall bear one-third (1/3) of such Supplemental Costs.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shall pay Ravenswood all Supplemental Costs for which the NYISO is responsible under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this Section in the billing cycle immediately after the cycle in which such costs were incurred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billed to the NYISO and shall allocate such payments to Ravenswood among all load withdrawals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 the Con Edison Transmission District (Load Zones H, I and J) pursuant to Section 6.1.7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OATT as a cost for Fuel Oil Burn for G.2 based on each LSE’s load ratio share for the month for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which the payments to Ravenswood of the Supplemental Costs are invoiced. Payments of interest,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if any, shall be paid in accordance with the NYISO’s normal billing cycles.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188" w:line="276" w:lineRule="exact"/>
        <w:ind w:left="15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2.8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components comprising the Demand Charge, and the </w:t>
      </w:r>
    </w:p>
    <w:p>
      <w:pPr>
        <w:autoSpaceDE w:val="0"/>
        <w:autoSpaceDN w:val="0"/>
        <w:adjustRightInd w:val="0"/>
        <w:spacing w:before="35" w:line="554" w:lineRule="exact"/>
        <w:ind w:left="2279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the on-site O&amp;M Costs, reflect certain estimated costs, and the Parties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  that  such  estimates  are  reasonable  and  that  Ravenswood  shall  provide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documentation of such reasonableness upon request. In the event Ravenswood’s actual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making up the Demand Charges and O&amp;M Costs differ from the estimates, there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will be no true-up for these costs in either direction other than those specifically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described. Thus, Ravenswood shall not be entitled to impose a surcharge, and no market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participant shall be entitled to a refund with respect to the Demand Charges and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tabs>
          <w:tab w:val="left" w:pos="2278"/>
        </w:tabs>
        <w:autoSpaceDE w:val="0"/>
        <w:autoSpaceDN w:val="0"/>
        <w:adjustRightInd w:val="0"/>
        <w:spacing w:before="216" w:line="276" w:lineRule="exact"/>
        <w:ind w:left="155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2.9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Consideration for Implementation Agreement </w:t>
      </w:r>
    </w:p>
    <w:p>
      <w:pPr>
        <w:tabs>
          <w:tab w:val="left" w:pos="2999"/>
        </w:tabs>
        <w:autoSpaceDE w:val="0"/>
        <w:autoSpaceDN w:val="0"/>
        <w:adjustRightInd w:val="0"/>
        <w:spacing w:before="57" w:line="551" w:lineRule="exact"/>
        <w:ind w:left="2279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2.9.1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consideration of the terms agreed to herein, Ravenswood will: (a) (i) arrange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for, operate, and maintain the facilities outlined in Section 1.3 and (ii) generate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electric energy using Fuel Oil for G.2 under the terms of this Implementation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period May 1, 2023 through April 30, 2024 from at least one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its existing generating facilities at the Ravenswood site; and (b) not submit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separate filing under Section 205 of the Federal Power Act (“FPA”) seeking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 or tariff for Ravenswood’s provision of Fuel Oil Burn for G.2 for the period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May 1, 2023 through April 30, 2024. </w:t>
      </w:r>
    </w:p>
    <w:p>
      <w:pPr>
        <w:tabs>
          <w:tab w:val="left" w:pos="2999"/>
        </w:tabs>
        <w:autoSpaceDE w:val="0"/>
        <w:autoSpaceDN w:val="0"/>
        <w:adjustRightInd w:val="0"/>
        <w:spacing w:before="14" w:line="546" w:lineRule="exact"/>
        <w:ind w:left="2279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2.9.2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Also in consideration of the terms agreed to herein, no Party shall file a complaint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FPA Section 206 seeking rates, or terms and conditions, for Fuel Oil Burn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G.2 for the period May 1, 2023 through April 30, 2024 that differ from those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agreed to in this Implementation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33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SERVICE AGREEMENT NO. 2827</w:t>
      </w:r>
    </w:p>
    <w:p>
      <w:pPr>
        <w:autoSpaceDE w:val="0"/>
        <w:autoSpaceDN w:val="0"/>
        <w:adjustRightInd w:val="0"/>
        <w:spacing w:before="0" w:line="276" w:lineRule="exact"/>
        <w:ind w:left="1433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1433" w:firstLine="3707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SECTION THREE</w:t>
      </w:r>
    </w:p>
    <w:p>
      <w:pPr>
        <w:autoSpaceDE w:val="0"/>
        <w:autoSpaceDN w:val="0"/>
        <w:adjustRightInd w:val="0"/>
        <w:spacing w:before="260" w:line="276" w:lineRule="exact"/>
        <w:ind w:left="156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TERMINATION/AMENDMENT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8" w:line="276" w:lineRule="exact"/>
        <w:ind w:left="155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Except  for  outstanding  payment  obligations  under  Section  Two  hereof,  this </w:t>
      </w:r>
    </w:p>
    <w:p>
      <w:pPr>
        <w:autoSpaceDE w:val="0"/>
        <w:autoSpaceDN w:val="0"/>
        <w:adjustRightInd w:val="0"/>
        <w:spacing w:before="30" w:line="560" w:lineRule="exact"/>
        <w:ind w:left="2279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Implementation Agreement shall terminate on April 30, 2024.  Notwithstanding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preceding sentence, the Parties are free to enter into negotiations to extend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termination date  of this  Implementation  Agreement  and/or  negotiate  a  new </w:t>
      </w:r>
    </w:p>
    <w:p>
      <w:pPr>
        <w:autoSpaceDE w:val="0"/>
        <w:autoSpaceDN w:val="0"/>
        <w:adjustRightInd w:val="0"/>
        <w:spacing w:before="0" w:line="550" w:lineRule="exact"/>
        <w:ind w:left="2279" w:right="13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for Ravenswood’s provision of Fuel Oil Burn for G.2 subsequent to April 30,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2024, in each instance subject to Commission approval. If any such negotiations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concluded by January 1, 2024, subject to Sections Six and Seven hereof, the Parties </w:t>
      </w:r>
    </w:p>
    <w:p>
      <w:pPr>
        <w:autoSpaceDE w:val="0"/>
        <w:autoSpaceDN w:val="0"/>
        <w:adjustRightInd w:val="0"/>
        <w:spacing w:before="0" w:line="550" w:lineRule="exact"/>
        <w:ind w:left="2279" w:right="13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 all rights they may have to make filings with the Commission, or oppose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filings, as each Party deems appropriate, with respect to Ravenswood’s provision of Fuel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Oil Burn for G.2 for the period subsequent to April 30, 2024, including but not limited </w:t>
      </w:r>
    </w:p>
    <w:p>
      <w:pPr>
        <w:autoSpaceDE w:val="0"/>
        <w:autoSpaceDN w:val="0"/>
        <w:adjustRightInd w:val="0"/>
        <w:spacing w:before="9" w:line="550" w:lineRule="exact"/>
        <w:ind w:left="2279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Ravenswood filing a rate schedule under FPA Section 205, and/or the NYISO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unexecuted Implementation Agreement under Section 4.1.9 of its Services Tariff,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filing a complaint under FPA Section 206. Such negotiations shall be subject to </w:t>
      </w:r>
    </w:p>
    <w:p>
      <w:pPr>
        <w:autoSpaceDE w:val="0"/>
        <w:autoSpaceDN w:val="0"/>
        <w:adjustRightInd w:val="0"/>
        <w:spacing w:before="237" w:line="276" w:lineRule="exact"/>
        <w:ind w:left="2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consultation requirements in Section 4.1.9 of the Services Tariff. </w:t>
      </w:r>
    </w:p>
    <w:p>
      <w:pPr>
        <w:tabs>
          <w:tab w:val="left" w:pos="2280"/>
        </w:tabs>
        <w:autoSpaceDE w:val="0"/>
        <w:autoSpaceDN w:val="0"/>
        <w:adjustRightInd w:val="0"/>
        <w:spacing w:before="264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shall retain all rights under the FPA, under Section 4.1.9 of the Services Tariff, </w:t>
      </w:r>
    </w:p>
    <w:p>
      <w:pPr>
        <w:autoSpaceDE w:val="0"/>
        <w:autoSpaceDN w:val="0"/>
        <w:adjustRightInd w:val="0"/>
        <w:spacing w:before="66" w:line="540" w:lineRule="exact"/>
        <w:ind w:left="2280" w:right="130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under all other provisions in the Services Tariff, to the extent applicable, as discussed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 Sections Six and Seven of this Implementation Agreement. </w:t>
      </w:r>
    </w:p>
    <w:p>
      <w:pPr>
        <w:autoSpaceDE w:val="0"/>
        <w:autoSpaceDN w:val="0"/>
        <w:adjustRightInd w:val="0"/>
        <w:spacing w:before="239" w:line="276" w:lineRule="exact"/>
        <w:ind w:left="521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FOUR </w:t>
      </w:r>
    </w:p>
    <w:p>
      <w:pPr>
        <w:tabs>
          <w:tab w:val="left" w:pos="2870"/>
        </w:tabs>
        <w:autoSpaceDE w:val="0"/>
        <w:autoSpaceDN w:val="0"/>
        <w:adjustRightInd w:val="0"/>
        <w:spacing w:before="245" w:line="276" w:lineRule="exact"/>
        <w:ind w:left="1558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4.1.9   OF   THE   NYISO   SERVICES   TARIFF   AND   PRE-</w:t>
      </w:r>
    </w:p>
    <w:p>
      <w:pPr>
        <w:autoSpaceDE w:val="0"/>
        <w:autoSpaceDN w:val="0"/>
        <w:adjustRightInd w:val="0"/>
        <w:spacing w:before="3" w:line="276" w:lineRule="exact"/>
        <w:ind w:left="1558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EXISTING AGREEMENTS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28" w:line="276" w:lineRule="exact"/>
        <w:ind w:left="155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Implementation Agreement constitutes the full and complete agreement of the </w:t>
      </w:r>
    </w:p>
    <w:p>
      <w:pPr>
        <w:autoSpaceDE w:val="0"/>
        <w:autoSpaceDN w:val="0"/>
        <w:adjustRightInd w:val="0"/>
        <w:spacing w:before="0" w:line="276" w:lineRule="exact"/>
        <w:ind w:left="227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7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with respect to the subject matter addressed herein for Ravenswood’s provision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73" w:line="508" w:lineRule="exact"/>
        <w:ind w:left="2279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Fuel Oil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Burn for G.2 for the period May 1, 2023 through April 30, 2024 and supersedes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prior negotiations, understandings, and agreements, whether written or oral, between the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the subject matter described herein. The Parties agree that the Implementation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and Minimum Oil Burn Agreement entered into in settlement of matters related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period May 1, 2023 through April 30, 2024 will expire and have no further force or effect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after April 30, 2024. The Parties also agree that this Implementation Agreement does not affect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 change the provisions of the Services Tariff, including Section 4.1.9. They further agree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Ravenswood’s compensation for the provision of Fuel Oil Burn for G.2 for the period May 1,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2"/>
          <w:szCs w:val="24"/>
          <w:u w:val="none"/>
          <w:vertAlign w:val="baseline"/>
        </w:rPr>
        <w:t xml:space="preserve">2023 through April 30, 2024, as specified in Section 1 hereof, shall be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Implementation Agreement. </w:t>
      </w:r>
    </w:p>
    <w:p>
      <w:pPr>
        <w:tabs>
          <w:tab w:val="left" w:pos="2279"/>
        </w:tabs>
        <w:autoSpaceDE w:val="0"/>
        <w:autoSpaceDN w:val="0"/>
        <w:adjustRightInd w:val="0"/>
        <w:spacing w:before="204" w:line="276" w:lineRule="exact"/>
        <w:ind w:left="15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as otherwise noted herein, for the period May 1, 2023 through April 30, 2024, </w:t>
      </w:r>
    </w:p>
    <w:p>
      <w:pPr>
        <w:autoSpaceDE w:val="0"/>
        <w:autoSpaceDN w:val="0"/>
        <w:adjustRightInd w:val="0"/>
        <w:spacing w:before="66" w:line="540" w:lineRule="exact"/>
        <w:ind w:left="2279" w:right="13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 there are differences between Section 4.1.9 of the Services Tariff and the terms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Implementation Agreement, the terms of this Implementation Agreement govern. </w:t>
      </w:r>
    </w:p>
    <w:p>
      <w:pPr>
        <w:tabs>
          <w:tab w:val="left" w:pos="2280"/>
        </w:tabs>
        <w:autoSpaceDE w:val="0"/>
        <w:autoSpaceDN w:val="0"/>
        <w:adjustRightInd w:val="0"/>
        <w:spacing w:before="239" w:line="276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references within this Implementation Agreement to Section 4.1.9 of the Services </w:t>
      </w:r>
    </w:p>
    <w:p>
      <w:pPr>
        <w:tabs>
          <w:tab w:val="left" w:pos="6625"/>
        </w:tabs>
        <w:autoSpaceDE w:val="0"/>
        <w:autoSpaceDN w:val="0"/>
        <w:adjustRightInd w:val="0"/>
        <w:spacing w:before="264" w:line="276" w:lineRule="exact"/>
        <w:ind w:left="2280"/>
        <w:jc w:val="left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Tariff refer to the provisions of Section </w:t>
        <w:tab/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4.1.9 as they exist as of the date this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is executed. </w:t>
      </w:r>
    </w:p>
    <w:p>
      <w:pPr>
        <w:autoSpaceDE w:val="0"/>
        <w:autoSpaceDN w:val="0"/>
        <w:adjustRightInd w:val="0"/>
        <w:spacing w:before="0" w:line="276" w:lineRule="exact"/>
        <w:ind w:left="5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27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FIVE </w:t>
      </w:r>
    </w:p>
    <w:p>
      <w:pPr>
        <w:autoSpaceDE w:val="0"/>
        <w:autoSpaceDN w:val="0"/>
        <w:adjustRightInd w:val="0"/>
        <w:spacing w:before="224" w:line="276" w:lineRule="exact"/>
        <w:ind w:left="156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 ORDER </w:t>
      </w:r>
    </w:p>
    <w:p>
      <w:pPr>
        <w:tabs>
          <w:tab w:val="left" w:pos="2279"/>
        </w:tabs>
        <w:autoSpaceDE w:val="0"/>
        <w:autoSpaceDN w:val="0"/>
        <w:adjustRightInd w:val="0"/>
        <w:spacing w:before="244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purposes of this Implementation Agreement, a Commission order shall be deemed a </w:t>
      </w:r>
    </w:p>
    <w:p>
      <w:pPr>
        <w:autoSpaceDE w:val="0"/>
        <w:autoSpaceDN w:val="0"/>
        <w:adjustRightInd w:val="0"/>
        <w:spacing w:before="58" w:line="550" w:lineRule="exact"/>
        <w:ind w:left="2279" w:right="1369"/>
        <w:jc w:val="both"/>
        <w:rPr>
          <w:rFonts w:ascii="Times New Roman" w:hAnsi="Times New Roman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Final Order when the last date for filing a request for rehearing with the Commission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has expired if no rehearing request is filed by that date and there are no other matters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pending related to the filing of this Implementation Agreement.  To the extent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Commission accepts  this  Implementation  Agreement  subject  to  a  condition 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modification and 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Party files a request for rehearing, each Party shall have the right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4"/>
          <w:position w:val="0"/>
          <w:sz w:val="22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59" w:line="500" w:lineRule="exact"/>
        <w:ind w:left="2279" w:right="1372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withdraw from this Implementation Agreement, which withdrawal may be exercised in such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Party’s sole discretion. </w:t>
      </w:r>
    </w:p>
    <w:p>
      <w:pPr>
        <w:autoSpaceDE w:val="0"/>
        <w:autoSpaceDN w:val="0"/>
        <w:adjustRightInd w:val="0"/>
        <w:spacing w:before="222" w:line="276" w:lineRule="exact"/>
        <w:ind w:left="1560" w:firstLine="4009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SECTION SIX</w:t>
      </w:r>
    </w:p>
    <w:p>
      <w:pPr>
        <w:autoSpaceDE w:val="0"/>
        <w:autoSpaceDN w:val="0"/>
        <w:adjustRightInd w:val="0"/>
        <w:spacing w:before="239" w:line="276" w:lineRule="exact"/>
        <w:ind w:left="156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FILING RIGHTS</w:t>
      </w:r>
    </w:p>
    <w:p>
      <w:pPr>
        <w:tabs>
          <w:tab w:val="left" w:pos="2280"/>
        </w:tabs>
        <w:autoSpaceDE w:val="0"/>
        <w:autoSpaceDN w:val="0"/>
        <w:adjustRightInd w:val="0"/>
        <w:spacing w:before="233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does not address (1) Ravenswood’s legal authority, if </w:t>
      </w:r>
    </w:p>
    <w:p>
      <w:pPr>
        <w:autoSpaceDE w:val="0"/>
        <w:autoSpaceDN w:val="0"/>
        <w:adjustRightInd w:val="0"/>
        <w:spacing w:before="58" w:line="550" w:lineRule="exact"/>
        <w:ind w:left="228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any, to have its own rate schedule on file under FPA Section 205 to provide Fuel Oil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Burn for G.2,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., burn Fuel Oil in lieu of natural gas in furtherance of Rule G.2, or (2)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Ravenswood’s obligation, if any, to provide Fuel Oil Burn for G.2 and to be compensated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doing so, pursuant to an unexecuted Implementation Agreement under Section 4.1.9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its Services Tariff. These issues are contested and unresolved, however, the Parties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 that the Commission can and should accept this Implementation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addressing them. </w:t>
      </w:r>
    </w:p>
    <w:p>
      <w:pPr>
        <w:tabs>
          <w:tab w:val="left" w:pos="2280"/>
        </w:tabs>
        <w:autoSpaceDE w:val="0"/>
        <w:autoSpaceDN w:val="0"/>
        <w:adjustRightInd w:val="0"/>
        <w:spacing w:before="237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signing this Implementation Agreement, other than as outlined in Sections 6.3 and 7.2 </w:t>
      </w:r>
    </w:p>
    <w:p>
      <w:pPr>
        <w:autoSpaceDE w:val="0"/>
        <w:autoSpaceDN w:val="0"/>
        <w:adjustRightInd w:val="0"/>
        <w:spacing w:before="30" w:line="560" w:lineRule="exact"/>
        <w:ind w:left="228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this Implementation Agreement, no Party waives any rights it may possess to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 on file under Section 205 of the FPA, or to make FPA Section 205 or 206 filings.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39" w:line="276" w:lineRule="exact"/>
        <w:ind w:left="155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 Party will make a Section 205 filing or a Section 206 filing seeking a rate or a revised </w:t>
      </w:r>
    </w:p>
    <w:p>
      <w:pPr>
        <w:autoSpaceDE w:val="0"/>
        <w:autoSpaceDN w:val="0"/>
        <w:adjustRightInd w:val="0"/>
        <w:spacing w:before="37" w:line="551" w:lineRule="exact"/>
        <w:ind w:left="2279" w:right="130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 to compensate Ravenswood for burning Fuel Oil in furtherance of Rule G.2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May 1, 2023 through April 30, 2024 or to modify the terms and conditions in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Implementation Agreement, unless the Parties, by mutual consent, agree to modify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terms and conditions in this Implementation Agreement.  Nevertheless, the Parties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specifically reserve the right to raise all arguments in support of, or in opposition to,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Ravenswood’s provision of Fuel Oil Burn for G.2 under Ravenswood’s own FPA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205 rate schedule and/or pursuant to an unexecuted Implementation Agreement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Section 4.1.9 of the NYISO Services Tariff, including in each instance proposed terms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59" w:line="500" w:lineRule="exact"/>
        <w:ind w:left="2279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conditions and compensation for Fuel Oil Burn for G.2, for a period subsequent to April 30,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2024. </w:t>
      </w:r>
    </w:p>
    <w:p>
      <w:pPr>
        <w:tabs>
          <w:tab w:val="left" w:pos="2279"/>
        </w:tabs>
        <w:autoSpaceDE w:val="0"/>
        <w:autoSpaceDN w:val="0"/>
        <w:adjustRightInd w:val="0"/>
        <w:spacing w:before="222" w:line="276" w:lineRule="exact"/>
        <w:ind w:left="155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Parties hereby reserve all rights to which they are entitled under Sections 205 and</w:t>
      </w:r>
    </w:p>
    <w:p>
      <w:pPr>
        <w:autoSpaceDE w:val="0"/>
        <w:autoSpaceDN w:val="0"/>
        <w:adjustRightInd w:val="0"/>
        <w:spacing w:before="276" w:line="276" w:lineRule="exact"/>
        <w:ind w:left="155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206 of the FPA, except as set forth herein.</w:t>
      </w:r>
    </w:p>
    <w:p>
      <w:pPr>
        <w:tabs>
          <w:tab w:val="left" w:pos="2279"/>
        </w:tabs>
        <w:autoSpaceDE w:val="0"/>
        <w:autoSpaceDN w:val="0"/>
        <w:adjustRightInd w:val="0"/>
        <w:spacing w:before="276" w:line="276" w:lineRule="exact"/>
        <w:ind w:left="1558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6.5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For the sole purpose of settling the compensation matters described herein, this </w:t>
      </w:r>
    </w:p>
    <w:p>
      <w:pPr>
        <w:autoSpaceDE w:val="0"/>
        <w:autoSpaceDN w:val="0"/>
        <w:adjustRightInd w:val="0"/>
        <w:spacing w:before="34" w:line="555" w:lineRule="exact"/>
        <w:ind w:left="2279" w:right="1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represents a fair and reasonable negotiated settlement that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public interest. The term of this Implementation Agreement shall not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restrict the arguments that the Parties may put forth or the positions that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in any future proceeding before the Commission that are not specifically agreed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16" w:line="276" w:lineRule="exact"/>
        <w:ind w:left="52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SEVEN </w:t>
      </w:r>
    </w:p>
    <w:p>
      <w:pPr>
        <w:autoSpaceDE w:val="0"/>
        <w:autoSpaceDN w:val="0"/>
        <w:adjustRightInd w:val="0"/>
        <w:spacing w:before="244" w:line="276" w:lineRule="exact"/>
        <w:ind w:left="1558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EFFECTIVE DATE AND GENERAL RESERVATIONS </w:t>
      </w:r>
    </w:p>
    <w:p>
      <w:pPr>
        <w:tabs>
          <w:tab w:val="left" w:pos="2279"/>
        </w:tabs>
        <w:autoSpaceDE w:val="0"/>
        <w:autoSpaceDN w:val="0"/>
        <w:adjustRightInd w:val="0"/>
        <w:spacing w:before="248" w:line="276" w:lineRule="exact"/>
        <w:ind w:left="155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Implementation Agreement shall become effective as of May 1, 2023 upon an order</w:t>
      </w:r>
    </w:p>
    <w:p>
      <w:pPr>
        <w:autoSpaceDE w:val="0"/>
        <w:autoSpaceDN w:val="0"/>
        <w:adjustRightInd w:val="0"/>
        <w:spacing w:before="276" w:line="276" w:lineRule="exact"/>
        <w:ind w:left="155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approving the Implementation Agreement becoming a Final Order as defined in</w:t>
      </w:r>
    </w:p>
    <w:p>
      <w:pPr>
        <w:autoSpaceDE w:val="0"/>
        <w:autoSpaceDN w:val="0"/>
        <w:adjustRightInd w:val="0"/>
        <w:spacing w:before="276" w:line="276" w:lineRule="exact"/>
        <w:ind w:left="155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Paragraph</w:t>
      </w:r>
    </w:p>
    <w:p>
      <w:pPr>
        <w:autoSpaceDE w:val="0"/>
        <w:autoSpaceDN w:val="0"/>
        <w:adjustRightInd w:val="0"/>
        <w:spacing w:before="50" w:line="550" w:lineRule="exact"/>
        <w:ind w:left="2279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4.1  herein.   If  the  Commission  accepts  the  Implementation  Agreement  without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modification, no Party will request rehearing or otherwise appeal or support rehearing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requests or appeals by others. </w:t>
      </w:r>
    </w:p>
    <w:p>
      <w:pPr>
        <w:tabs>
          <w:tab w:val="left" w:pos="2279"/>
        </w:tabs>
        <w:autoSpaceDE w:val="0"/>
        <w:autoSpaceDN w:val="0"/>
        <w:adjustRightInd w:val="0"/>
        <w:spacing w:before="217" w:line="276" w:lineRule="exact"/>
        <w:ind w:left="15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Party shall use this Implementation Agreement, or the terms hereof, as evidence to </w:t>
      </w:r>
    </w:p>
    <w:p>
      <w:pPr>
        <w:autoSpaceDE w:val="0"/>
        <w:autoSpaceDN w:val="0"/>
        <w:adjustRightInd w:val="0"/>
        <w:spacing w:before="56" w:line="553" w:lineRule="exact"/>
        <w:ind w:left="2279" w:right="1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support, or oppose, an argument that Ravenswood is obligated to provide Fuel Oil Burn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G.2, or to be compensated for doing so, under Section 4.9.1 of the Services Tariff,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Ravenswood has the right to have its own rate schedule for Fuel Oil Burn for G.2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Section 205 of the FPA.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4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is an integrated whole and is expressly conditioned 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38" w:line="550" w:lineRule="exact"/>
        <w:ind w:left="2280" w:right="130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Commission’s acceptance of all provisions herein without modification or condition.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if the Commission’s approval of this Implementation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is conditioned on a modification of this Implementation Agreement or on </w:t>
      </w:r>
    </w:p>
    <w:p>
      <w:pPr>
        <w:autoSpaceDE w:val="0"/>
        <w:autoSpaceDN w:val="0"/>
        <w:adjustRightInd w:val="0"/>
        <w:spacing w:before="10" w:line="550" w:lineRule="exact"/>
        <w:ind w:left="2280" w:right="136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other condition, such modification or condition shall be considered to be accepted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a Party objecting to such condition or modification serves written notice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of its intent to seek rehearing of the order approving the Implementation </w:t>
      </w:r>
    </w:p>
    <w:p>
      <w:pPr>
        <w:autoSpaceDE w:val="0"/>
        <w:autoSpaceDN w:val="0"/>
        <w:adjustRightInd w:val="0"/>
        <w:spacing w:before="0" w:line="560" w:lineRule="exact"/>
        <w:ind w:left="2280" w:right="133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modified or conditioned within a period of ten days from the date of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order.  Should Commission approval be subject to condition or modification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Implementation Agreement, each Party shall then have the right, as determined in its </w:t>
      </w:r>
    </w:p>
    <w:p>
      <w:pPr>
        <w:autoSpaceDE w:val="0"/>
        <w:autoSpaceDN w:val="0"/>
        <w:adjustRightInd w:val="0"/>
        <w:spacing w:before="0" w:line="550" w:lineRule="exact"/>
        <w:ind w:left="2280" w:right="130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sole discretion, to withdraw as a signatory of the Implementation Agreement. In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event that a Party withdraws, the Implementation Agreement shall not constitute any part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the record with respect to establishing payments to Ravenswood to burn Fuel Oil for </w:t>
      </w:r>
    </w:p>
    <w:p>
      <w:pPr>
        <w:autoSpaceDE w:val="0"/>
        <w:autoSpaceDN w:val="0"/>
        <w:adjustRightInd w:val="0"/>
        <w:spacing w:before="208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G.2 needs and shall not be used for any purpose in this or any future docket.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8" w:line="276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Commission approval of this Implementation Agreement shall constitute the requisite </w:t>
      </w:r>
    </w:p>
    <w:p>
      <w:pPr>
        <w:autoSpaceDE w:val="0"/>
        <w:autoSpaceDN w:val="0"/>
        <w:adjustRightInd w:val="0"/>
        <w:spacing w:before="38" w:line="550" w:lineRule="exact"/>
        <w:ind w:left="228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waiver of any and all otherwise applicable Commission regulations, to the extent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necessary,  to  permit  implementation  of  the  provisions  of  this  Implementation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41" w:line="276" w:lineRule="exact"/>
        <w:ind w:left="155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This Implementation Agreement  is made upon the express understanding that  it </w:t>
      </w:r>
    </w:p>
    <w:p>
      <w:pPr>
        <w:autoSpaceDE w:val="0"/>
        <w:autoSpaceDN w:val="0"/>
        <w:adjustRightInd w:val="0"/>
        <w:spacing w:before="58" w:line="550" w:lineRule="exact"/>
        <w:ind w:left="2279" w:right="136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constitutes a negotiated agreement and, except as otherwise expressly provided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herein, no Party shall be deemed to have approved, accepted, agreed to, or consented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principle or policy relating to rate design, rate calculation, or any other matter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affecting or relating to any of the compensation, charges, classifications, terms,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conditions, principles, or issues associated with this Implementation Agreement.  This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270" w:line="512" w:lineRule="exact"/>
        <w:ind w:left="2279" w:right="132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Implementation Agreement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be deemed to be a “settled practice” as that term was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interpreted and applied in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Public Service Commission of New York v. FERC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, 642 F.2d 1335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(D.C. Cir. 1980), and shall not be the basis for any decision with regard to the burden of proof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 any future litigation. This Implementation Agreement shall not be cited as precedent, nor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it be deemed to bind either Party in any future proceeding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Commission proceeding, except in any proceeding to enforce this Implementation Agreement. </w:t>
      </w:r>
    </w:p>
    <w:p>
      <w:pPr>
        <w:tabs>
          <w:tab w:val="left" w:pos="2280"/>
        </w:tabs>
        <w:autoSpaceDE w:val="0"/>
        <w:autoSpaceDN w:val="0"/>
        <w:adjustRightInd w:val="0"/>
        <w:spacing w:before="203" w:line="276" w:lineRule="exact"/>
        <w:ind w:left="15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discussions  among  the  Parties  and  other  entities  that  have  produced  this </w:t>
      </w:r>
    </w:p>
    <w:p>
      <w:pPr>
        <w:autoSpaceDE w:val="0"/>
        <w:autoSpaceDN w:val="0"/>
        <w:adjustRightInd w:val="0"/>
        <w:spacing w:before="36" w:line="552" w:lineRule="exact"/>
        <w:ind w:left="228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have been conducted on the explicit understanding,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Rules 602(e) and 606 of the Commission’s Rules of Practice and Procedures, that 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offers and any comments on these offers are privileged and not admissible as evidence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any participant who objects to their admission and that any discussions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and other entities with respect to offers of settlement is not subject to discovery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admissible in evidence. </w:t>
      </w:r>
    </w:p>
    <w:p>
      <w:pPr>
        <w:tabs>
          <w:tab w:val="left" w:pos="2279"/>
        </w:tabs>
        <w:autoSpaceDE w:val="0"/>
        <w:autoSpaceDN w:val="0"/>
        <w:adjustRightInd w:val="0"/>
        <w:spacing w:before="236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Implementation Agreement is subject to the “public interest” standard of review set </w:t>
      </w:r>
    </w:p>
    <w:p>
      <w:pPr>
        <w:autoSpaceDE w:val="0"/>
        <w:autoSpaceDN w:val="0"/>
        <w:adjustRightInd w:val="0"/>
        <w:spacing w:before="56" w:line="552" w:lineRule="exact"/>
        <w:ind w:left="2279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forth in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United Gas Pipe Line Co. v. Mobile Gas Service Corp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., 350 U.S. 332 (1956)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Federal Power Commission v. Sierra Pacific Power Co.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350 U.S. 348 (1956)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(“Mobile Sierra doctrine”) to the full extent legally permissible and as interpreted in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Morgan Stanley Capital Group Inc. v. Pub. Util District No. 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128 S. Ct. 2733 (2008),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NRG Power Marketing LLC v. Me. Pub. Utils, Comm’n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130 S. Ct. 693 (2010) and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Dominion Transmission Inc. v. 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533 F.3d 845 (2008). </w:t>
      </w:r>
    </w:p>
    <w:p>
      <w:pPr>
        <w:autoSpaceDE w:val="0"/>
        <w:autoSpaceDN w:val="0"/>
        <w:adjustRightInd w:val="0"/>
        <w:spacing w:before="0" w:line="276" w:lineRule="exact"/>
        <w:ind w:lef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9"/>
        </w:tabs>
        <w:autoSpaceDE w:val="0"/>
        <w:autoSpaceDN w:val="0"/>
        <w:adjustRightInd w:val="0"/>
        <w:spacing w:before="20" w:line="276" w:lineRule="exact"/>
        <w:ind w:left="15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7.8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Headings in this Implementation Agreement are included for convenience only and are </w:t>
      </w:r>
    </w:p>
    <w:p>
      <w:pPr>
        <w:autoSpaceDE w:val="0"/>
        <w:autoSpaceDN w:val="0"/>
        <w:adjustRightInd w:val="0"/>
        <w:spacing w:before="58" w:line="550" w:lineRule="exact"/>
        <w:ind w:left="2279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 intended  to  have  any  significance  in  interpretation  of  this  Implementation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Signatures may occur by counterparts. Such signatures shall have the same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as if all signatures were on the same document.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2827 </w:t>
      </w:r>
    </w:p>
    <w:p>
      <w:pPr>
        <w:autoSpaceDE w:val="0"/>
        <w:autoSpaceDN w:val="0"/>
        <w:adjustRightInd w:val="0"/>
        <w:spacing w:before="0" w:line="276" w:lineRule="exact"/>
        <w:ind w:left="5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7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EIGHT </w:t>
      </w:r>
    </w:p>
    <w:p>
      <w:pPr>
        <w:autoSpaceDE w:val="0"/>
        <w:autoSpaceDN w:val="0"/>
        <w:adjustRightInd w:val="0"/>
        <w:spacing w:before="224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OF FULL SETTLEMENT </w:t>
      </w:r>
    </w:p>
    <w:p>
      <w:pPr>
        <w:tabs>
          <w:tab w:val="left" w:pos="2280"/>
        </w:tabs>
        <w:autoSpaceDE w:val="0"/>
        <w:autoSpaceDN w:val="0"/>
        <w:adjustRightInd w:val="0"/>
        <w:spacing w:before="244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that this Implementation Agreement resolves all issues related to the </w:t>
      </w:r>
    </w:p>
    <w:p>
      <w:pPr>
        <w:autoSpaceDE w:val="0"/>
        <w:autoSpaceDN w:val="0"/>
        <w:adjustRightInd w:val="0"/>
        <w:spacing w:before="50" w:line="560" w:lineRule="exact"/>
        <w:ind w:left="228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in which Ravenswood will be compensated for providing Fuel Oil Burn for G.2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period May 1, 2023 through April 30, 2024.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Respectfully submitted,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RAVENSWOOD </w:t>
      </w:r>
    </w:p>
    <w:p>
      <w:pPr>
        <w:autoSpaceDE w:val="0"/>
        <w:autoSpaceDN w:val="0"/>
        <w:adjustRightInd w:val="0"/>
        <w:spacing w:before="4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LLC f/k/a </w:t>
      </w:r>
    </w:p>
    <w:p>
      <w:pPr>
        <w:autoSpaceDE w:val="0"/>
        <w:autoSpaceDN w:val="0"/>
        <w:adjustRightInd w:val="0"/>
        <w:spacing w:before="1" w:line="256" w:lineRule="exact"/>
        <w:ind w:left="15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HELIX RAVENSWOOD, LLC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70"/>
          <w:tab w:val="left" w:pos="6660"/>
        </w:tabs>
        <w:autoSpaceDE w:val="0"/>
        <w:autoSpaceDN w:val="0"/>
        <w:adjustRightInd w:val="0"/>
        <w:spacing w:before="17" w:line="276" w:lineRule="exact"/>
        <w:ind w:left="15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/s/ Clinton Plummer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Dated as of:  December 15, 2023</w:t>
      </w:r>
    </w:p>
    <w:p>
      <w:pPr>
        <w:autoSpaceDE w:val="0"/>
        <w:autoSpaceDN w:val="0"/>
        <w:adjustRightInd w:val="0"/>
        <w:spacing w:before="1" w:line="250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Clinton Plummer </w:t>
      </w:r>
    </w:p>
    <w:p>
      <w:pPr>
        <w:autoSpaceDE w:val="0"/>
        <w:autoSpaceDN w:val="0"/>
        <w:adjustRightInd w:val="0"/>
        <w:spacing w:before="6" w:line="280" w:lineRule="exact"/>
        <w:ind w:left="2279" w:right="7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Chief Executive Officer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1700 Broadway, 35</w:t>
      </w: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superscript"/>
        </w:rPr>
        <w:t xml:space="preserve">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Floor New York, 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10019 </w:t>
      </w:r>
    </w:p>
    <w:p>
      <w:pPr>
        <w:autoSpaceDE w:val="0"/>
        <w:autoSpaceDN w:val="0"/>
        <w:adjustRightInd w:val="0"/>
        <w:spacing w:before="1" w:line="255" w:lineRule="exact"/>
        <w:ind w:left="227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Tel: (201) 450-7761 </w:t>
      </w:r>
    </w:p>
    <w:p>
      <w:pPr>
        <w:autoSpaceDE w:val="0"/>
        <w:autoSpaceDN w:val="0"/>
        <w:adjustRightInd w:val="0"/>
        <w:spacing w:before="8" w:line="276" w:lineRule="exact"/>
        <w:ind w:left="227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hyperlink r:id="rId112" w:history="1">
        <w:r>
          <w:rPr>
            <w:rFonts w:ascii="Times New Roman" w:hAnsi="Times New Roman"/>
            <w:color w:val="0000FF"/>
            <w:spacing w:val="-5"/>
            <w:w w:val="100"/>
            <w:position w:val="0"/>
            <w:sz w:val="24"/>
            <w:szCs w:val="24"/>
            <w:u w:val="single"/>
            <w:vertAlign w:val="baseline"/>
          </w:rPr>
          <w:t>Clint.plummer@riselight.com</w:t>
        </w:r>
      </w:hyperlink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0"/>
          <w:tab w:val="left" w:pos="6750"/>
        </w:tabs>
        <w:autoSpaceDE w:val="0"/>
        <w:autoSpaceDN w:val="0"/>
        <w:adjustRightInd w:val="0"/>
        <w:spacing w:before="15" w:line="276" w:lineRule="exact"/>
        <w:ind w:left="15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/s/ Aaron Markham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Dated as of:  December 15, 2023</w:t>
      </w:r>
    </w:p>
    <w:p>
      <w:pPr>
        <w:autoSpaceDE w:val="0"/>
        <w:autoSpaceDN w:val="0"/>
        <w:adjustRightInd w:val="0"/>
        <w:spacing w:before="0" w:line="280" w:lineRule="exact"/>
        <w:ind w:left="2280" w:right="78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Aaron Markham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Vice President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10 Krey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Boulevard </w:t>
      </w:r>
    </w:p>
    <w:p>
      <w:pPr>
        <w:autoSpaceDE w:val="0"/>
        <w:autoSpaceDN w:val="0"/>
        <w:adjustRightInd w:val="0"/>
        <w:spacing w:before="0" w:line="280" w:lineRule="exact"/>
        <w:ind w:left="2279" w:right="7602" w:firstLine="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Tel: 518-356-8507 </w:t>
      </w:r>
    </w:p>
    <w:p>
      <w:pPr>
        <w:autoSpaceDE w:val="0"/>
        <w:autoSpaceDN w:val="0"/>
        <w:adjustRightInd w:val="0"/>
        <w:spacing w:before="1" w:line="224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13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AMarkham@nyiso.com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74.5pt;height:1pt;margin-top:313.55pt;margin-left:113.5pt;mso-position-horizontal-relative:page;mso-position-vertical-relative:page;position:absolute;z-index:-251658240" coordsize="3490,20" o:allowincell="f" path="m,20hhl3490,20hhl34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4.5pt;height:1.35pt;margin-top:483pt;margin-left:113.5pt;mso-position-horizontal-relative:page;mso-position-vertical-relative:page;position:absolute;z-index:-251656192" coordsize="3490,27" o:allowincell="f" path="m1,27hhl3490,27hhl3490,1hhl1,1hhl1,27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yperlink" Target="mailto:Clint.plummer@riselight.com" TargetMode="External" /><Relationship Id="rId113" Type="http://schemas.openxmlformats.org/officeDocument/2006/relationships/hyperlink" Target="mailto:AMarkham@nyiso.com" TargetMode="Externa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theme" Target="theme/theme1.xml" /><Relationship Id="rId121" Type="http://schemas.openxmlformats.org/officeDocument/2006/relationships/styles" Target="styles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