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2729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</w:t>
      </w:r>
      <w:r>
        <w:rPr>
          <w:rFonts w:ascii="Verdana" w:hAnsi="Verdana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Niagara Mohawk compliance - Appendices of SA 316 between NMPC &amp; WPS Syracuse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Company Filing Identifier: 1272 </w:t>
      </w:r>
    </w:p>
    <w:p>
      <w:pPr>
        <w:autoSpaceDE w:val="0"/>
        <w:autoSpaceDN w:val="0"/>
        <w:adjustRightInd w:val="0"/>
        <w:spacing w:before="19" w:line="220" w:lineRule="exact"/>
        <w:ind w:left="1440" w:right="7281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Compliance (80)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40" w:right="789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Appendices SA 316 </w:t>
      </w:r>
    </w:p>
    <w:p>
      <w:pPr>
        <w:autoSpaceDE w:val="0"/>
        <w:autoSpaceDN w:val="0"/>
        <w:adjustRightInd w:val="0"/>
        <w:spacing w:before="21" w:line="220" w:lineRule="exact"/>
        <w:ind w:left="1440" w:right="4977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</w:t>
      </w:r>
      <w:r>
        <w:rPr>
          <w:rFonts w:ascii="Verdana" w:hAnsi="Verdana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NiMo/WPS Syracuse Gen Svc Agrmnt Appendices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1.0.0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27 </w:t>
      </w:r>
    </w:p>
    <w:p>
      <w:pPr>
        <w:tabs>
          <w:tab w:val="left" w:pos="4208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2147382626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effective 2011-02-15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6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30" w:lineRule="exact"/>
        <w:ind w:left="1440" w:right="788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Change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550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5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68pt;height:620.7pt;margin-top:71.95pt;margin-left:1in;mso-position-horizontal-relative:page;mso-position-vertical-relative:page;position:absolute;z-index:-251658240" o:allowincell="f">
            <v:imagedata r:id="rId16" o:title=""/>
          </v:shape>
        </w:pic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4"/>
      <w:bookmarkEnd w:id="2"/>
    </w:p>
    <w:p>
      <w:pPr>
        <w:autoSpaceDE w:val="0"/>
        <w:autoSpaceDN w:val="0"/>
        <w:adjustRightInd w:val="0"/>
        <w:spacing w:before="0" w:line="276" w:lineRule="exact"/>
        <w:ind w:left="55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5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0" w:line="276" w:lineRule="exact"/>
        <w:ind w:left="55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5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5"/>
      <w:bookmarkEnd w:id="3"/>
    </w:p>
    <w:p>
      <w:pPr>
        <w:autoSpaceDE w:val="0"/>
        <w:autoSpaceDN w:val="0"/>
        <w:adjustRightInd w:val="0"/>
        <w:spacing w:before="0" w:line="276" w:lineRule="exact"/>
        <w:ind w:left="5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5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0" w:line="276" w:lineRule="exact"/>
        <w:ind w:left="49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952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1. Owner: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Project: </w:t>
      </w:r>
    </w:p>
    <w:p>
      <w:pPr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: (refer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one-line diagram that should be attached in Appendix A) </w:t>
      </w:r>
    </w:p>
    <w:p>
      <w:pPr>
        <w:tabs>
          <w:tab w:val="left" w:pos="1800"/>
        </w:tabs>
        <w:autoSpaceDE w:val="0"/>
        <w:autoSpaceDN w:val="0"/>
        <w:adjustRightInd w:val="0"/>
        <w:spacing w:before="241" w:line="280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  Electrical Equipment Requirements: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installation of electrical equipment and operation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facility must meet or exceed the requirements of Niagara Mohawk's Electric System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Bulletin No.ESB 756. </w:t>
      </w:r>
    </w:p>
    <w:p>
      <w:pPr>
        <w:tabs>
          <w:tab w:val="left" w:pos="1800"/>
        </w:tabs>
        <w:autoSpaceDE w:val="0"/>
        <w:autoSpaceDN w:val="0"/>
        <w:adjustRightInd w:val="0"/>
        <w:spacing w:before="246" w:line="273" w:lineRule="exact"/>
        <w:ind w:left="1440" w:right="11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  Metering Requirements: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transferred to the transmission system shall be measured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electric watt-hour meters of a type approved by the Public Service Commission of the State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York. The meter and installation costs shall be borne by WPS Syracuse Generation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LLC. The meters shall be maintained with the rules set forth in 16 NYCRR Part 92.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4.  Reference: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5.  Reference: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  <w:sectPr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bookmarkStart w:id="4" w:name="Pg6"/>
      <w:bookmarkEnd w:id="4"/>
    </w:p>
    <w:p>
      <w:pPr>
        <w:autoSpaceDE w:val="0"/>
        <w:autoSpaceDN w:val="0"/>
        <w:adjustRightInd w:val="0"/>
        <w:spacing w:before="0" w:line="276" w:lineRule="exact"/>
        <w:ind w:left="5504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4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4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4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4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55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0" w:line="276" w:lineRule="exact"/>
        <w:ind w:left="44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4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4" w:lineRule="exact"/>
        <w:ind w:left="1440" w:right="1189" w:firstLine="71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operations and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control hardware and software is essential to ensure day-to-day New York State Transmission System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reliability and operational security. The Commission will expect the NYISO, all 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Owners, all Developers and all other Market Participants to comply with the recommendations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offered by the President's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All public utilities will be expected to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meet 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bookmarkStart w:id="5" w:name="Pg7"/>
      <w:bookmarkEnd w:id="5"/>
    </w:p>
    <w:p>
      <w:pPr>
        <w:autoSpaceDE w:val="0"/>
        <w:autoSpaceDN w:val="0"/>
        <w:adjustRightInd w:val="0"/>
        <w:spacing w:before="0" w:line="276" w:lineRule="exact"/>
        <w:ind w:left="546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6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6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6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460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0" w:line="276" w:lineRule="exact"/>
        <w:ind w:left="4736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36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36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473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144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the Commercial Operation Date shall be treated as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single"/>
          <w:vertAlign w:val="baseline"/>
        </w:rPr>
        <w:t>10/20/92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bookmarkStart w:id="6" w:name="Pg8"/>
      <w:bookmarkEnd w:id="6"/>
    </w:p>
    <w:p>
      <w:pPr>
        <w:autoSpaceDE w:val="0"/>
        <w:autoSpaceDN w:val="0"/>
        <w:adjustRightInd w:val="0"/>
        <w:spacing w:before="0" w:line="276" w:lineRule="exact"/>
        <w:ind w:left="525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5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5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5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7" w:line="276" w:lineRule="exact"/>
        <w:ind w:left="5257"/>
        <w:jc w:val="left"/>
        <w:rPr>
          <w:rFonts w:ascii="Times New Roman Bold" w:hAnsi="Times New Roman Bold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 Bold" w:hAnsi="Times New Roman Bold"/>
          <w:color w:val="000000"/>
          <w:spacing w:val="-8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20" w:lineRule="exact"/>
        <w:ind w:left="1440" w:right="6007"/>
        <w:jc w:val="both"/>
        <w:rPr>
          <w:rFonts w:ascii="Times New Roman Bold" w:hAnsi="Times New Roman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  <w:r>
        <w:rPr>
          <w:rFonts w:ascii="Times New Roman Bold" w:hAnsi="Times New Roman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Notices: </w:t>
      </w:r>
    </w:p>
    <w:p>
      <w:pPr>
        <w:autoSpaceDE w:val="0"/>
        <w:autoSpaceDN w:val="0"/>
        <w:adjustRightInd w:val="0"/>
        <w:spacing w:before="4" w:line="21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32" w:line="280" w:lineRule="exact"/>
        <w:ind w:left="1440" w:right="45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 Attn: Vice President,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Rd.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</w: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11"/>
          <w:w w:val="9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1"/>
          <w:w w:val="93"/>
          <w:position w:val="0"/>
          <w:sz w:val="24"/>
          <w:szCs w:val="24"/>
          <w:u w:val="single"/>
          <w:vertAlign w:val="baseline"/>
        </w:rPr>
        <w:t xml:space="preserve">Transmission Owner: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Vice President , Transmission Commercial Services National Grid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1440" w:right="8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907-5706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Email: mary.ellen.paravalos@us.ngrid.corn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Developer: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Contract Administration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WPS Syracuse Generation, LLC 1716 Lawrence Drive </w:t>
      </w:r>
    </w:p>
    <w:p>
      <w:pPr>
        <w:autoSpaceDE w:val="0"/>
        <w:autoSpaceDN w:val="0"/>
        <w:adjustRightInd w:val="0"/>
        <w:spacing w:before="4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DePere, WI 54115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 Bold" w:hAnsi="Times New Roman Bold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Transmission Owner: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Vice President , Transmission Commercial Services National Grid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1440" w:right="8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907-5706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mary.ellen.paravalos@us.ngrid.com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1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 xml:space="preserve">Developer: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Contract Administration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WPS Syracuse Generation, LLC 1716 Lawrence Drive </w:t>
      </w:r>
    </w:p>
    <w:p>
      <w:pPr>
        <w:autoSpaceDE w:val="0"/>
        <w:autoSpaceDN w:val="0"/>
        <w:adjustRightInd w:val="0"/>
        <w:spacing w:before="4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DePere, WI 54115 </w:t>
      </w:r>
    </w:p>
    <w:p>
      <w:pPr>
        <w:autoSpaceDE w:val="0"/>
        <w:autoSpaceDN w:val="0"/>
        <w:adjustRightInd w:val="0"/>
        <w:spacing w:before="164" w:line="276" w:lineRule="exact"/>
        <w:ind w:left="1440"/>
        <w:jc w:val="left"/>
        <w:rPr>
          <w:rFonts w:ascii="Times New Roman" w:hAnsi="Times New Roman"/>
          <w:color w:val="000000"/>
          <w:spacing w:val="-10"/>
          <w:w w:val="97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  <w:r>
        <w:rPr>
          <w:rFonts w:ascii="Times New Roman" w:hAnsi="Times New Roman"/>
          <w:color w:val="000000"/>
          <w:spacing w:val="-10"/>
          <w:w w:val="97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181" w:line="280" w:lineRule="exact"/>
        <w:ind w:left="1440" w:right="45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 Attn: Vice President,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Rd.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" w:name="Pg9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7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Transmission Owner: </w:t>
      </w:r>
    </w:p>
    <w:p>
      <w:pPr>
        <w:autoSpaceDE w:val="0"/>
        <w:autoSpaceDN w:val="0"/>
        <w:adjustRightInd w:val="0"/>
        <w:spacing w:before="144" w:line="276" w:lineRule="exact"/>
        <w:ind w:left="144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Vice President Transmission Commercial Services National Grid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60" w:lineRule="exact"/>
        <w:ind w:left="1440" w:right="8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907-2422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Email: mary.ellen.paravalos@us.ngrid.com </w:t>
      </w:r>
    </w:p>
    <w:p>
      <w:pPr>
        <w:autoSpaceDE w:val="0"/>
        <w:autoSpaceDN w:val="0"/>
        <w:adjustRightInd w:val="0"/>
        <w:spacing w:before="2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Developer: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Contract Administration </w:t>
      </w:r>
    </w:p>
    <w:p>
      <w:pPr>
        <w:autoSpaceDE w:val="0"/>
        <w:autoSpaceDN w:val="0"/>
        <w:adjustRightInd w:val="0"/>
        <w:spacing w:before="0" w:line="320" w:lineRule="exact"/>
        <w:ind w:left="1440" w:right="533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WPS Syracuse Generation, LLC 1716 Lawrence Drive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DePere, WI 54115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" w:name="Pg10"/>
      <w:bookmarkEnd w:id="8"/>
    </w:p>
    <w:p>
      <w:pPr>
        <w:autoSpaceDE w:val="0"/>
        <w:autoSpaceDN w:val="0"/>
        <w:adjustRightInd w:val="0"/>
        <w:spacing w:before="0" w:line="276" w:lineRule="exact"/>
        <w:ind w:left="537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276" w:lineRule="exact"/>
        <w:ind w:left="53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0" w:line="276" w:lineRule="exact"/>
        <w:ind w:left="17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172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71" w:firstLine="719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Appendix G sets forth requirements and provisions specific to a wind generating plant.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All other requirements of this LG1A continue to apply to wind generating plant interconnections.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Technical Standards Applicable to a Wind Generating Plant </w:t>
      </w:r>
    </w:p>
    <w:p>
      <w:pPr>
        <w:autoSpaceDE w:val="0"/>
        <w:autoSpaceDN w:val="0"/>
        <w:adjustRightInd w:val="0"/>
        <w:spacing w:before="0" w:line="276" w:lineRule="exact"/>
        <w:ind w:left="36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3601"/>
        <w:jc w:val="left"/>
        <w:rPr>
          <w:rFonts w:ascii="Times New Roman Bold" w:hAnsi="Times New Roman Bold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 xml:space="preserve">Low Voltage Ride-Through (LVRT) Capability </w:t>
      </w:r>
    </w:p>
    <w:p>
      <w:pPr>
        <w:autoSpaceDE w:val="0"/>
        <w:autoSpaceDN w:val="0"/>
        <w:adjustRightInd w:val="0"/>
        <w:spacing w:before="274" w:line="410" w:lineRule="exact"/>
        <w:ind w:left="1440" w:right="1270" w:firstLine="71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be able to remain online during voltage disturbances up to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time periods and associated voltage levels set forth in the standard below. The LVRT standard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provides for a transition period standard and a post-transition period standard.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Transition Period LVRT Standard </w:t>
      </w:r>
    </w:p>
    <w:p>
      <w:pPr>
        <w:autoSpaceDE w:val="0"/>
        <w:autoSpaceDN w:val="0"/>
        <w:adjustRightInd w:val="0"/>
        <w:spacing w:before="211" w:line="413" w:lineRule="exact"/>
        <w:ind w:left="1440" w:right="1188" w:firstLine="71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transition period standard applies to wind generating plants subject to FERC Order 661 </w:t>
        <w:br/>
      </w: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that have either: (i) interconnection agreements signed and filed with the Commission, filed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Commission in unexecuted form, finally executed as conforming agreements, or filed with the </w:t>
        <w:br/>
      </w: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Commission as non-conforming agreements between January 1, 2006 and December 31, 2006, with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scheduled in-service date no later than December 31, 2007, or (ii) wind generating turbines subject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to a wind turbine procurement contract executed prior to December 31, 2005, for delivery through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2007.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1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</w:r>
    </w:p>
    <w:p>
      <w:pPr>
        <w:autoSpaceDE w:val="0"/>
        <w:autoSpaceDN w:val="0"/>
        <w:adjustRightInd w:val="0"/>
        <w:spacing w:before="9" w:line="416" w:lineRule="exact"/>
        <w:ind w:left="2160" w:right="118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prefault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unless clearing the fault effectively disconnects the generator from the system.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clearing time requirement for a three-phase fault will be specific to the wind generating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plant substation location, as determined by and documented by the Transmission Owner for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Transmission District to which the wind generating plant will be interconnected.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maximum clearing time the wind generating plant shall be required to withstand for a </w:t>
      </w:r>
    </w:p>
    <w:p>
      <w:pPr>
        <w:autoSpaceDE w:val="0"/>
        <w:autoSpaceDN w:val="0"/>
        <w:adjustRightInd w:val="0"/>
        <w:spacing w:before="10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three-phase fault shall be 9 cycles at a voltage as low as 0.15 p.u., as measured at the high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70.25pt;height:1pt;margin-top:360.75pt;margin-left:108pt;mso-position-horizontal-relative:page;mso-position-vertical-relative:page;position:absolute;z-index:-251656192" coordsize="3405,20" o:allowincell="f" path="m,20hhl3405,20hhl340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" w:name="Pg11"/>
      <w:bookmarkEnd w:id="9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side of the wind generating plant step-up transformer (i.e. the transformer that steps the </w:t>
      </w:r>
    </w:p>
    <w:p>
      <w:pPr>
        <w:autoSpaceDE w:val="0"/>
        <w:autoSpaceDN w:val="0"/>
        <w:adjustRightInd w:val="0"/>
        <w:spacing w:before="144" w:line="276" w:lineRule="exact"/>
        <w:ind w:left="2160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voltage up to the transmission interconnection voltage or "GSU"), after which, if the fault </w:t>
      </w:r>
    </w:p>
    <w:p>
      <w:pPr>
        <w:autoSpaceDE w:val="0"/>
        <w:autoSpaceDN w:val="0"/>
        <w:adjustRightInd w:val="0"/>
        <w:spacing w:before="42" w:line="400" w:lineRule="exact"/>
        <w:ind w:left="2160" w:right="1187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remains following the location-specific normal clearing time for three-phase faults, the wind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generating plant may disconnect from the transmission system. </w:t>
      </w:r>
    </w:p>
    <w:p>
      <w:pPr>
        <w:tabs>
          <w:tab w:val="left" w:pos="2088"/>
        </w:tabs>
        <w:autoSpaceDE w:val="0"/>
        <w:autoSpaceDN w:val="0"/>
        <w:adjustRightInd w:val="0"/>
        <w:spacing w:before="263" w:line="276" w:lineRule="exact"/>
        <w:ind w:left="1440"/>
        <w:jc w:val="left"/>
        <w:rPr>
          <w:rFonts w:ascii="Times New Roman" w:hAnsi="Times New Roman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This requirement does not apply to faults that would occur between the wind generator terminals </w:t>
      </w:r>
    </w:p>
    <w:p>
      <w:pPr>
        <w:autoSpaceDE w:val="0"/>
        <w:autoSpaceDN w:val="0"/>
        <w:adjustRightInd w:val="0"/>
        <w:spacing w:before="26" w:line="420" w:lineRule="exact"/>
        <w:ind w:left="2160" w:right="1187"/>
        <w:jc w:val="both"/>
        <w:rPr>
          <w:rFonts w:ascii="Times New Roman" w:hAnsi="Times New Roman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and the high side of the GSU or to faults that would result in a voltage lower than 0.15 per unit on </w:t>
      </w:r>
      <w:r>
        <w:rPr>
          <w:rFonts w:ascii="Times New Roman" w:hAnsi="Times New Roman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the high side of the GSU serving the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 part of</w:t>
      </w:r>
    </w:p>
    <w:p>
      <w:pPr>
        <w:autoSpaceDE w:val="0"/>
        <w:autoSpaceDN w:val="0"/>
        <w:adjustRightInd w:val="0"/>
        <w:spacing w:before="140" w:line="276" w:lineRule="exact"/>
        <w:ind w:left="1440" w:firstLine="719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 special protection system.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33" w:line="276" w:lineRule="exact"/>
        <w:ind w:left="144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performance </w:t>
      </w:r>
    </w:p>
    <w:p>
      <w:pPr>
        <w:autoSpaceDE w:val="0"/>
        <w:autoSpaceDN w:val="0"/>
        <w:adjustRightInd w:val="0"/>
        <w:spacing w:before="144" w:line="276" w:lineRule="exact"/>
        <w:ind w:left="2160"/>
        <w:jc w:val="left"/>
        <w:rPr>
          <w:rFonts w:ascii="Times New Roman" w:hAnsi="Times New Roman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of the generators or by installing additional equipment (e.g., Static VAr Compensator, etc.) </w:t>
      </w:r>
    </w:p>
    <w:p>
      <w:pPr>
        <w:autoSpaceDE w:val="0"/>
        <w:autoSpaceDN w:val="0"/>
        <w:adjustRightInd w:val="0"/>
        <w:spacing w:before="6" w:line="420" w:lineRule="exact"/>
        <w:ind w:left="2160" w:right="1401"/>
        <w:jc w:val="both"/>
        <w:rPr>
          <w:rFonts w:ascii="Times New Roman" w:hAnsi="Times New Roman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within the wind generating plant or by a combination of generator performance and additional </w:t>
      </w:r>
      <w:r>
        <w:rPr>
          <w:rFonts w:ascii="Times New Roman" w:hAnsi="Times New Roman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3" w:line="276" w:lineRule="exact"/>
        <w:ind w:left="144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at the </w:t>
      </w:r>
    </w:p>
    <w:p>
      <w:pPr>
        <w:autoSpaceDE w:val="0"/>
        <w:autoSpaceDN w:val="0"/>
        <w:adjustRightInd w:val="0"/>
        <w:spacing w:before="6" w:line="420" w:lineRule="exact"/>
        <w:ind w:left="2160" w:right="1345"/>
        <w:jc w:val="left"/>
        <w:rPr>
          <w:rFonts w:ascii="Times New Roman" w:hAnsi="Times New Roman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same location at the effective date of the Appendix G LVRT Standard are exempt from meeting </w:t>
        <w:br/>
      </w: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the Appendix G LVRT Standard for the remaining life of the existing generation equipment.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 replaced are required to meet the Appendix G </w:t>
        <w:br/>
      </w: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LVRT Standard. </w:t>
      </w:r>
    </w:p>
    <w:p>
      <w:pPr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Post-transition Period LVRT Standard </w:t>
      </w:r>
    </w:p>
    <w:p>
      <w:pPr>
        <w:autoSpaceDE w:val="0"/>
        <w:autoSpaceDN w:val="0"/>
        <w:adjustRightInd w:val="0"/>
        <w:spacing w:before="186" w:line="420" w:lineRule="exact"/>
        <w:ind w:left="1440" w:right="1569"/>
        <w:jc w:val="both"/>
        <w:rPr>
          <w:rFonts w:ascii="Times New Roman" w:hAnsi="Times New Roman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All wind generating plants subject to FERC Order No. 661 and not covered by the transition period </w:t>
      </w: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described above must meet the following requirements: </w:t>
      </w:r>
    </w:p>
    <w:p>
      <w:pPr>
        <w:tabs>
          <w:tab w:val="left" w:pos="2088"/>
        </w:tabs>
        <w:autoSpaceDE w:val="0"/>
        <w:autoSpaceDN w:val="0"/>
        <w:adjustRightInd w:val="0"/>
        <w:spacing w:before="25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9" w:line="416" w:lineRule="exact"/>
        <w:ind w:left="2160" w:right="1364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prefault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voltage unless clearing the fault effectively disconnects the generator from the system. The </w:t>
        <w:br/>
      </w: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clearing time requirement for a three-phase fault will be specific to the wind generating plant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substation location, as determined by and documented by the Transmission Owner for the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Transmission District to which the wind generating plant will be interconnected. The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207.45pt;height:1.2pt;margin-top:497.35pt;margin-left:1in;mso-position-horizontal-relative:page;mso-position-vertical-relative:page;position:absolute;z-index:-251654144" coordsize="4149,24" o:allowincell="f" path="m,24hhl4149,24hhl4149,hhl,hhl,24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  <w:sectPr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bookmarkStart w:id="10" w:name="Pg12"/>
      <w:bookmarkEnd w:id="10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maximum clearing time the wind generating plant shall be required to withstand for a </w:t>
      </w:r>
    </w:p>
    <w:p>
      <w:pPr>
        <w:autoSpaceDE w:val="0"/>
        <w:autoSpaceDN w:val="0"/>
        <w:adjustRightInd w:val="0"/>
        <w:spacing w:before="144" w:line="276" w:lineRule="exact"/>
        <w:ind w:left="216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three-phase fault shall be 9 cycles after which, if the fault remains following the </w:t>
      </w:r>
    </w:p>
    <w:p>
      <w:pPr>
        <w:autoSpaceDE w:val="0"/>
        <w:autoSpaceDN w:val="0"/>
        <w:adjustRightInd w:val="0"/>
        <w:spacing w:before="31" w:line="413" w:lineRule="exact"/>
        <w:ind w:left="2160" w:right="1236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location-specific normal clearing time for three-phase faults, the wind generating plant may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disconnect from the transmission system. A wind generating plant shall remain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interconnected during such a fault on the transmission system for a voltage level as low as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zero volts, as measured at the high voltage side of the wind GSU.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7" w:line="276" w:lineRule="exact"/>
        <w:ind w:left="1440" w:firstLine="0"/>
        <w:rPr>
          <w:rFonts w:ascii="Times New Roman" w:hAnsi="Times New Roman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This requirement does not apply to faults that would occur between the wind generator terminals</w:t>
      </w:r>
    </w:p>
    <w:p>
      <w:pPr>
        <w:autoSpaceDE w:val="0"/>
        <w:autoSpaceDN w:val="0"/>
        <w:adjustRightInd w:val="0"/>
        <w:spacing w:before="137" w:line="276" w:lineRule="exact"/>
        <w:ind w:left="1440" w:firstLine="719"/>
        <w:rPr>
          <w:rFonts w:ascii="Times New Roman" w:hAnsi="Times New Roman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and the high side of the GSU.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9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4" w:line="276" w:lineRule="exact"/>
        <w:ind w:left="1440" w:firstLine="0"/>
        <w:rPr>
          <w:rFonts w:ascii="Times New Roman" w:hAnsi="Times New Roman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 part of a</w:t>
      </w:r>
    </w:p>
    <w:p>
      <w:pPr>
        <w:autoSpaceDE w:val="0"/>
        <w:autoSpaceDN w:val="0"/>
        <w:adjustRightInd w:val="0"/>
        <w:spacing w:before="137" w:line="276" w:lineRule="exact"/>
        <w:ind w:left="1440" w:firstLine="719"/>
        <w:rPr>
          <w:rFonts w:ascii="Times New Roman" w:hAnsi="Times New Roman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special protection system.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9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64" w:line="276" w:lineRule="exact"/>
        <w:ind w:left="144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performance </w:t>
      </w:r>
    </w:p>
    <w:p>
      <w:pPr>
        <w:autoSpaceDE w:val="0"/>
        <w:autoSpaceDN w:val="0"/>
        <w:adjustRightInd w:val="0"/>
        <w:spacing w:before="26" w:line="420" w:lineRule="exact"/>
        <w:ind w:left="2160" w:right="1187"/>
        <w:jc w:val="both"/>
        <w:rPr>
          <w:rFonts w:ascii="Times New Roman" w:hAnsi="Times New Roman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of the generators or by installing additional equipment (e.g., Static VAr Compensator) within the </w:t>
        <w:br/>
      </w:r>
      <w:r>
        <w:rPr>
          <w:rFonts w:ascii="Times New Roman" w:hAnsi="Times New Roman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wind generating plant or by a combination of generator performance and additional equipment. </w:t>
      </w:r>
    </w:p>
    <w:p>
      <w:pPr>
        <w:tabs>
          <w:tab w:val="left" w:pos="2088"/>
        </w:tabs>
        <w:autoSpaceDE w:val="0"/>
        <w:autoSpaceDN w:val="0"/>
        <w:adjustRightInd w:val="0"/>
        <w:spacing w:before="259" w:line="276" w:lineRule="exact"/>
        <w:ind w:left="144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at the </w:t>
      </w:r>
    </w:p>
    <w:p>
      <w:pPr>
        <w:autoSpaceDE w:val="0"/>
        <w:autoSpaceDN w:val="0"/>
        <w:adjustRightInd w:val="0"/>
        <w:spacing w:before="11" w:line="413" w:lineRule="exact"/>
        <w:ind w:left="2160" w:right="1188"/>
        <w:jc w:val="left"/>
        <w:rPr>
          <w:rFonts w:ascii="Times New Roman" w:hAnsi="Times New Roman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same location at the effective date of the Appendix G LVRT Standard are exempt from meeting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Appendix G LVRT Standard for the remaining life of the existing generation equipment.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 replaced are required to meet the Appendix G </w:t>
        <w:br/>
      </w: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LVRT Standard.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8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41" w:line="276" w:lineRule="exact"/>
        <w:ind w:left="2880" w:firstLine="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i.i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Power Factor Design Criteria (Reactive Power)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maintain a power factor within the range of 0.95 leading to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0.95 lagging, measured at the Point of Interconnection as defined in this LGIA, if the ISO's System </w:t>
      </w:r>
    </w:p>
    <w:p>
      <w:pPr>
        <w:autoSpaceDE w:val="0"/>
        <w:autoSpaceDN w:val="0"/>
        <w:adjustRightInd w:val="0"/>
        <w:spacing w:before="1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Impact Study shows that such a requirement is necessary to ensure safety or reliability.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2160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The power factor range standards can be met using, for example without limitation, power </w:t>
      </w:r>
    </w:p>
    <w:p>
      <w:pPr>
        <w:autoSpaceDE w:val="0"/>
        <w:autoSpaceDN w:val="0"/>
        <w:adjustRightInd w:val="0"/>
        <w:spacing w:before="34" w:line="410" w:lineRule="exact"/>
        <w:ind w:left="1440" w:right="1193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electronics designed to supply this level of reactive capability (taking into account any limitations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due to voltage level, real power output, etc.) or fixed and switched capacitors if agreed to by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will be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interconnected, or a combination of the two. The Developer shall not disable power factor equipment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while the wind plant is in operation. Wind plants shall also be able to provide sufficient dynamic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249.75pt;height:1.2pt;margin-top:502.15pt;margin-left:180.05pt;mso-position-horizontal-relative:page;mso-position-vertical-relative:page;position:absolute;z-index:-251655168" coordsize="4995,24" o:allowincell="f" path="m,24hhl4995,24hhl4995,hhl,hhl,24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bookmarkStart w:id="11" w:name="Pg13"/>
      <w:bookmarkEnd w:id="11"/>
    </w:p>
    <w:p>
      <w:pPr>
        <w:autoSpaceDE w:val="0"/>
        <w:autoSpaceDN w:val="0"/>
        <w:adjustRightInd w:val="0"/>
        <w:spacing w:before="0" w:line="420" w:lineRule="exact"/>
        <w:ind w:left="1440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420" w:lineRule="exact"/>
        <w:ind w:left="1440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420" w:lineRule="exact"/>
        <w:ind w:left="144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voltage support in lieu of the power system stabilizer and automatic voltage regulation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excitation system if the System Reliability Impact Study shows this to be required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safety or reliability.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63" w:line="276" w:lineRule="exact"/>
        <w:ind w:left="288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Supervisory Control and Data Acquisition (SCADA) Capability </w:t>
      </w:r>
    </w:p>
    <w:p>
      <w:pPr>
        <w:autoSpaceDE w:val="0"/>
        <w:autoSpaceDN w:val="0"/>
        <w:adjustRightInd w:val="0"/>
        <w:spacing w:before="189" w:line="416" w:lineRule="exact"/>
        <w:ind w:left="1440" w:right="1187" w:firstLine="71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The wind plant shall provide SCADA capability to transmit data and receive instructions from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ISO and/or the Transmission Owner for the Transmission District to which the wind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will be interconnected, as applicable, to protect system reliability. The Transmission Owner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for the Transmission District to which the wind generating plant will be interconnected and the wind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plant Developer shall determine what SCADA information is essential for the proposed wind plant,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taking into account the size of the plant and its characteristics, location, and importance in </w:t>
      </w:r>
    </w:p>
    <w:p>
      <w:pPr>
        <w:autoSpaceDE w:val="0"/>
        <w:autoSpaceDN w:val="0"/>
        <w:adjustRightInd w:val="0"/>
        <w:spacing w:before="12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maintaining generation resource adequacy and transmission system reliability in its area.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337.4pt;height:1.25pt;margin-top:162.7pt;margin-left:180.05pt;mso-position-horizontal-relative:page;mso-position-vertical-relative:page;position:absolute;z-index:-251657216" coordsize="6748,25" o:allowincell="f" path="m,25hhl6748,25hhl6748,1hhl,1hhl,2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4"/>
      <w:bookmarkEnd w:id="12"/>
    </w:p>
    <w:p>
      <w:pPr>
        <w:autoSpaceDE w:val="0"/>
        <w:autoSpaceDN w:val="0"/>
        <w:adjustRightInd w:val="0"/>
        <w:spacing w:before="0" w:line="276" w:lineRule="exact"/>
        <w:ind w:left="54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4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</w:t>
      </w:r>
    </w:p>
    <w:p>
      <w:pPr>
        <w:autoSpaceDE w:val="0"/>
        <w:autoSpaceDN w:val="0"/>
        <w:adjustRightInd w:val="0"/>
        <w:spacing w:before="0" w:line="276" w:lineRule="exact"/>
        <w:ind w:left="3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3353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List of Non-Applicable Pro-Forma LGIA Provisions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Developer are already interconnected, pursuant to a pre-existing </w:t>
      </w:r>
    </w:p>
    <w:p>
      <w:pPr>
        <w:autoSpaceDE w:val="0"/>
        <w:autoSpaceDN w:val="0"/>
        <w:adjustRightInd w:val="0"/>
        <w:spacing w:before="4" w:line="276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agreement. Therefore, certain terms of the pro-forma New York ISO LGIA are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applicable to this LGIA, because they relate solely to new interconnections. The parties to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this LGIA have nevertheless agreed to use the pro-forma New York ISO LGIA with almost no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in accordance with FERC policy promoting the use of pro-forma interconnection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agreements wherever possible. The parties, however, believe that the following provisions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pro-forma New York ISO LGIA are not applicable to the current LG IA: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 (Option), including all subsections thereof </w:t>
      </w:r>
    </w:p>
    <w:p>
      <w:pPr>
        <w:autoSpaceDE w:val="0"/>
        <w:autoSpaceDN w:val="0"/>
        <w:adjustRightInd w:val="0"/>
        <w:spacing w:before="18" w:line="260" w:lineRule="exact"/>
        <w:ind w:left="1440" w:right="45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5.2 (General Conditions Applicable to Option to Build)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5.3 (Liquidated Damages)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5.5 (Equipment Procurement), including all subsections thereof </w:t>
      </w:r>
    </w:p>
    <w:p>
      <w:pPr>
        <w:autoSpaceDE w:val="0"/>
        <w:autoSpaceDN w:val="0"/>
        <w:adjustRightInd w:val="0"/>
        <w:spacing w:before="1" w:line="280" w:lineRule="exact"/>
        <w:ind w:left="1440" w:right="3360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Section 5.6 (Construction Commencement), including all subsections thereof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Section 5.7 (Work Progress)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5.9 (Limited Operation)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5.10 (Developer Attachment Facilities), including all subsections thereof </w:t>
      </w:r>
    </w:p>
    <w:p>
      <w:pPr>
        <w:autoSpaceDE w:val="0"/>
        <w:autoSpaceDN w:val="0"/>
        <w:adjustRightInd w:val="0"/>
        <w:spacing w:before="1" w:line="280" w:lineRule="exact"/>
        <w:ind w:left="1440" w:right="1954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Section 5.11 (Transmission Owner Attachment Facilities), including all subsections thereof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Section 5.14 (Permits)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5.15 (Early Construction of Base Case Facilities) </w:t>
      </w:r>
    </w:p>
    <w:p>
      <w:pPr>
        <w:autoSpaceDE w:val="0"/>
        <w:autoSpaceDN w:val="0"/>
        <w:adjustRightInd w:val="0"/>
        <w:spacing w:before="1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6.1 (Pre Commercial Operation Date Testing and Modification) </w:t>
      </w:r>
    </w:p>
    <w:p>
      <w:pPr>
        <w:autoSpaceDE w:val="0"/>
        <w:autoSpaceDN w:val="0"/>
        <w:adjustRightInd w:val="0"/>
        <w:spacing w:before="18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11.4 (Special Provisions for Affected Systems)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 11.5 (Provision of Security), including all subsections thereof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12.2 (Final Invoice)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24.1 (Information Acquisition) </w:t>
      </w:r>
    </w:p>
    <w:p>
      <w:pPr>
        <w:autoSpaceDE w:val="0"/>
        <w:autoSpaceDN w:val="0"/>
        <w:adjustRightInd w:val="0"/>
        <w:spacing w:before="9" w:line="270" w:lineRule="exact"/>
        <w:ind w:left="1440" w:right="4731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Section 24.2 (Information Submission by Transmission Owner)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Section 24.3 (Updated Information Submission by Developer)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Section 24.4 (Information Supplementation)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25.4.1 (Audit Rights Period for Construction Related Accounts)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(Milestones)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(Interconnection Requirements for a Wind Generating Plant)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Verdana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image" Target="media/image1.jpeg" /><Relationship Id="rId17" Type="http://schemas.openxmlformats.org/officeDocument/2006/relationships/header" Target="header7.xml" /><Relationship Id="rId18" Type="http://schemas.openxmlformats.org/officeDocument/2006/relationships/header" Target="header8.xml" /><Relationship Id="rId19" Type="http://schemas.openxmlformats.org/officeDocument/2006/relationships/footer" Target="footer7.xml" /><Relationship Id="rId2" Type="http://schemas.openxmlformats.org/officeDocument/2006/relationships/webSettings" Target="webSettings.xml" /><Relationship Id="rId20" Type="http://schemas.openxmlformats.org/officeDocument/2006/relationships/footer" Target="footer8.xml" /><Relationship Id="rId21" Type="http://schemas.openxmlformats.org/officeDocument/2006/relationships/header" Target="header9.xml" /><Relationship Id="rId22" Type="http://schemas.openxmlformats.org/officeDocument/2006/relationships/footer" Target="footer9.xml" /><Relationship Id="rId23" Type="http://schemas.openxmlformats.org/officeDocument/2006/relationships/header" Target="header10.xml" /><Relationship Id="rId24" Type="http://schemas.openxmlformats.org/officeDocument/2006/relationships/header" Target="header11.xml" /><Relationship Id="rId25" Type="http://schemas.openxmlformats.org/officeDocument/2006/relationships/footer" Target="footer10.xml" /><Relationship Id="rId26" Type="http://schemas.openxmlformats.org/officeDocument/2006/relationships/footer" Target="footer11.xml" /><Relationship Id="rId27" Type="http://schemas.openxmlformats.org/officeDocument/2006/relationships/header" Target="header12.xml" /><Relationship Id="rId28" Type="http://schemas.openxmlformats.org/officeDocument/2006/relationships/footer" Target="footer12.xml" /><Relationship Id="rId29" Type="http://schemas.openxmlformats.org/officeDocument/2006/relationships/header" Target="header13.xml" /><Relationship Id="rId3" Type="http://schemas.openxmlformats.org/officeDocument/2006/relationships/fontTable" Target="fontTable.xml" /><Relationship Id="rId30" Type="http://schemas.openxmlformats.org/officeDocument/2006/relationships/header" Target="header14.xml" /><Relationship Id="rId31" Type="http://schemas.openxmlformats.org/officeDocument/2006/relationships/footer" Target="footer13.xml" /><Relationship Id="rId32" Type="http://schemas.openxmlformats.org/officeDocument/2006/relationships/footer" Target="footer14.xml" /><Relationship Id="rId33" Type="http://schemas.openxmlformats.org/officeDocument/2006/relationships/header" Target="header15.xml" /><Relationship Id="rId34" Type="http://schemas.openxmlformats.org/officeDocument/2006/relationships/footer" Target="footer15.xml" /><Relationship Id="rId35" Type="http://schemas.openxmlformats.org/officeDocument/2006/relationships/header" Target="header16.xml" /><Relationship Id="rId36" Type="http://schemas.openxmlformats.org/officeDocument/2006/relationships/header" Target="header17.xml" /><Relationship Id="rId37" Type="http://schemas.openxmlformats.org/officeDocument/2006/relationships/footer" Target="footer16.xml" /><Relationship Id="rId38" Type="http://schemas.openxmlformats.org/officeDocument/2006/relationships/footer" Target="footer17.xml" /><Relationship Id="rId39" Type="http://schemas.openxmlformats.org/officeDocument/2006/relationships/header" Target="header18.xml" /><Relationship Id="rId4" Type="http://schemas.openxmlformats.org/officeDocument/2006/relationships/header" Target="header1.xml" /><Relationship Id="rId40" Type="http://schemas.openxmlformats.org/officeDocument/2006/relationships/footer" Target="footer18.xml" /><Relationship Id="rId41" Type="http://schemas.openxmlformats.org/officeDocument/2006/relationships/header" Target="header19.xml" /><Relationship Id="rId42" Type="http://schemas.openxmlformats.org/officeDocument/2006/relationships/header" Target="header20.xml" /><Relationship Id="rId43" Type="http://schemas.openxmlformats.org/officeDocument/2006/relationships/footer" Target="footer19.xml" /><Relationship Id="rId44" Type="http://schemas.openxmlformats.org/officeDocument/2006/relationships/footer" Target="footer20.xml" /><Relationship Id="rId45" Type="http://schemas.openxmlformats.org/officeDocument/2006/relationships/header" Target="header21.xml" /><Relationship Id="rId46" Type="http://schemas.openxmlformats.org/officeDocument/2006/relationships/footer" Target="footer21.xml" /><Relationship Id="rId47" Type="http://schemas.openxmlformats.org/officeDocument/2006/relationships/header" Target="header22.xml" /><Relationship Id="rId48" Type="http://schemas.openxmlformats.org/officeDocument/2006/relationships/header" Target="header23.xml" /><Relationship Id="rId49" Type="http://schemas.openxmlformats.org/officeDocument/2006/relationships/footer" Target="footer22.xml" /><Relationship Id="rId5" Type="http://schemas.openxmlformats.org/officeDocument/2006/relationships/header" Target="header2.xml" /><Relationship Id="rId50" Type="http://schemas.openxmlformats.org/officeDocument/2006/relationships/footer" Target="footer23.xml" /><Relationship Id="rId51" Type="http://schemas.openxmlformats.org/officeDocument/2006/relationships/header" Target="header24.xml" /><Relationship Id="rId52" Type="http://schemas.openxmlformats.org/officeDocument/2006/relationships/footer" Target="footer24.xml" /><Relationship Id="rId53" Type="http://schemas.openxmlformats.org/officeDocument/2006/relationships/header" Target="header25.xml" /><Relationship Id="rId54" Type="http://schemas.openxmlformats.org/officeDocument/2006/relationships/header" Target="header26.xml" /><Relationship Id="rId55" Type="http://schemas.openxmlformats.org/officeDocument/2006/relationships/footer" Target="footer25.xml" /><Relationship Id="rId56" Type="http://schemas.openxmlformats.org/officeDocument/2006/relationships/footer" Target="footer26.xml" /><Relationship Id="rId57" Type="http://schemas.openxmlformats.org/officeDocument/2006/relationships/header" Target="header27.xml" /><Relationship Id="rId58" Type="http://schemas.openxmlformats.org/officeDocument/2006/relationships/footer" Target="footer27.xml" /><Relationship Id="rId59" Type="http://schemas.openxmlformats.org/officeDocument/2006/relationships/header" Target="header28.xml" /><Relationship Id="rId6" Type="http://schemas.openxmlformats.org/officeDocument/2006/relationships/footer" Target="footer1.xml" /><Relationship Id="rId60" Type="http://schemas.openxmlformats.org/officeDocument/2006/relationships/header" Target="header29.xml" /><Relationship Id="rId61" Type="http://schemas.openxmlformats.org/officeDocument/2006/relationships/footer" Target="footer28.xml" /><Relationship Id="rId62" Type="http://schemas.openxmlformats.org/officeDocument/2006/relationships/footer" Target="footer29.xml" /><Relationship Id="rId63" Type="http://schemas.openxmlformats.org/officeDocument/2006/relationships/header" Target="header30.xml" /><Relationship Id="rId64" Type="http://schemas.openxmlformats.org/officeDocument/2006/relationships/footer" Target="footer30.xml" /><Relationship Id="rId65" Type="http://schemas.openxmlformats.org/officeDocument/2006/relationships/header" Target="header31.xml" /><Relationship Id="rId66" Type="http://schemas.openxmlformats.org/officeDocument/2006/relationships/header" Target="header32.xml" /><Relationship Id="rId67" Type="http://schemas.openxmlformats.org/officeDocument/2006/relationships/footer" Target="footer31.xml" /><Relationship Id="rId68" Type="http://schemas.openxmlformats.org/officeDocument/2006/relationships/footer" Target="footer32.xml" /><Relationship Id="rId69" Type="http://schemas.openxmlformats.org/officeDocument/2006/relationships/header" Target="header33.xml" /><Relationship Id="rId7" Type="http://schemas.openxmlformats.org/officeDocument/2006/relationships/footer" Target="footer2.xml" /><Relationship Id="rId70" Type="http://schemas.openxmlformats.org/officeDocument/2006/relationships/footer" Target="footer33.xml" /><Relationship Id="rId71" Type="http://schemas.openxmlformats.org/officeDocument/2006/relationships/header" Target="header34.xml" /><Relationship Id="rId72" Type="http://schemas.openxmlformats.org/officeDocument/2006/relationships/header" Target="header35.xml" /><Relationship Id="rId73" Type="http://schemas.openxmlformats.org/officeDocument/2006/relationships/footer" Target="footer34.xml" /><Relationship Id="rId74" Type="http://schemas.openxmlformats.org/officeDocument/2006/relationships/footer" Target="footer35.xml" /><Relationship Id="rId75" Type="http://schemas.openxmlformats.org/officeDocument/2006/relationships/header" Target="header36.xml" /><Relationship Id="rId76" Type="http://schemas.openxmlformats.org/officeDocument/2006/relationships/footer" Target="footer36.xml" /><Relationship Id="rId77" Type="http://schemas.openxmlformats.org/officeDocument/2006/relationships/header" Target="header37.xml" /><Relationship Id="rId78" Type="http://schemas.openxmlformats.org/officeDocument/2006/relationships/header" Target="header38.xml" /><Relationship Id="rId79" Type="http://schemas.openxmlformats.org/officeDocument/2006/relationships/footer" Target="footer37.xml" /><Relationship Id="rId8" Type="http://schemas.openxmlformats.org/officeDocument/2006/relationships/header" Target="header3.xml" /><Relationship Id="rId80" Type="http://schemas.openxmlformats.org/officeDocument/2006/relationships/footer" Target="footer38.xml" /><Relationship Id="rId81" Type="http://schemas.openxmlformats.org/officeDocument/2006/relationships/header" Target="header39.xml" /><Relationship Id="rId82" Type="http://schemas.openxmlformats.org/officeDocument/2006/relationships/footer" Target="footer39.xml" /><Relationship Id="rId83" Type="http://schemas.openxmlformats.org/officeDocument/2006/relationships/header" Target="header40.xml" /><Relationship Id="rId84" Type="http://schemas.openxmlformats.org/officeDocument/2006/relationships/header" Target="header41.xml" /><Relationship Id="rId85" Type="http://schemas.openxmlformats.org/officeDocument/2006/relationships/footer" Target="footer40.xml" /><Relationship Id="rId86" Type="http://schemas.openxmlformats.org/officeDocument/2006/relationships/footer" Target="footer41.xml" /><Relationship Id="rId87" Type="http://schemas.openxmlformats.org/officeDocument/2006/relationships/header" Target="header42.xml" /><Relationship Id="rId88" Type="http://schemas.openxmlformats.org/officeDocument/2006/relationships/footer" Target="footer42.xml" /><Relationship Id="rId89" Type="http://schemas.openxmlformats.org/officeDocument/2006/relationships/theme" Target="theme/theme1.xml" /><Relationship Id="rId9" Type="http://schemas.openxmlformats.org/officeDocument/2006/relationships/footer" Target="footer3.xml" /><Relationship Id="rId9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