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71" w:rsidRPr="00793155" w:rsidRDefault="00FA3DC7" w:rsidP="007F634D">
      <w:pPr>
        <w:pStyle w:val="Heading3"/>
        <w:numPr>
          <w:ilvl w:val="0"/>
          <w:numId w:val="0"/>
        </w:numPr>
        <w:tabs>
          <w:tab w:val="clear" w:pos="2160"/>
          <w:tab w:val="left" w:pos="0"/>
        </w:tabs>
        <w:rPr>
          <w:szCs w:val="24"/>
        </w:rPr>
      </w:pPr>
      <w:r>
        <w:rPr>
          <w:szCs w:val="24"/>
        </w:rPr>
        <w:t>Second</w:t>
      </w:r>
      <w:r w:rsidRPr="00793155">
        <w:rPr>
          <w:szCs w:val="24"/>
        </w:rPr>
        <w:t xml:space="preserve"> Revised Service Agreement No. 340</w:t>
      </w: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jc w:val="center"/>
        <w:rPr>
          <w:b/>
          <w:sz w:val="36"/>
          <w:szCs w:val="36"/>
        </w:rPr>
      </w:pPr>
      <w:r>
        <w:rPr>
          <w:b/>
          <w:sz w:val="36"/>
          <w:szCs w:val="36"/>
        </w:rPr>
        <w:t>SECOND</w:t>
      </w:r>
      <w:r w:rsidRPr="00793155">
        <w:rPr>
          <w:b/>
          <w:sz w:val="36"/>
          <w:szCs w:val="36"/>
        </w:rPr>
        <w:t xml:space="preserve"> REVISED TRI-LAKES AGREEMENT</w:t>
      </w:r>
    </w:p>
    <w:p w:rsidR="00044971" w:rsidRDefault="00FA3DC7" w:rsidP="00044971">
      <w:pPr>
        <w:jc w:val="center"/>
        <w:rPr>
          <w:b/>
          <w:sz w:val="36"/>
          <w:szCs w:val="36"/>
        </w:rPr>
      </w:pPr>
    </w:p>
    <w:p w:rsidR="00044971" w:rsidRDefault="00FA3DC7" w:rsidP="00044971">
      <w:pPr>
        <w:jc w:val="center"/>
        <w:rPr>
          <w:b/>
          <w:sz w:val="32"/>
          <w:szCs w:val="32"/>
        </w:rPr>
      </w:pPr>
      <w:r>
        <w:rPr>
          <w:b/>
          <w:sz w:val="32"/>
          <w:szCs w:val="32"/>
        </w:rPr>
        <w:t xml:space="preserve">DATED OCTOBER </w:t>
      </w:r>
      <w:r>
        <w:rPr>
          <w:b/>
          <w:sz w:val="32"/>
          <w:szCs w:val="32"/>
        </w:rPr>
        <w:t>17</w:t>
      </w:r>
      <w:r>
        <w:rPr>
          <w:b/>
          <w:sz w:val="32"/>
          <w:szCs w:val="32"/>
        </w:rPr>
        <w:t xml:space="preserve">, </w:t>
      </w:r>
      <w:r>
        <w:rPr>
          <w:b/>
          <w:sz w:val="32"/>
          <w:szCs w:val="32"/>
        </w:rPr>
        <w:t>2011</w:t>
      </w:r>
    </w:p>
    <w:p w:rsidR="00044971" w:rsidRDefault="00FA3DC7" w:rsidP="00044971">
      <w:pPr>
        <w:jc w:val="center"/>
        <w:rPr>
          <w:b/>
          <w:sz w:val="32"/>
          <w:szCs w:val="32"/>
        </w:rPr>
      </w:pPr>
    </w:p>
    <w:p w:rsidR="00044971" w:rsidRDefault="00FA3DC7" w:rsidP="00044971">
      <w:pPr>
        <w:jc w:val="center"/>
        <w:rPr>
          <w:b/>
          <w:sz w:val="32"/>
          <w:szCs w:val="32"/>
        </w:rPr>
      </w:pPr>
      <w:r>
        <w:rPr>
          <w:b/>
          <w:sz w:val="32"/>
          <w:szCs w:val="32"/>
        </w:rPr>
        <w:t>BETWEEN</w:t>
      </w:r>
    </w:p>
    <w:p w:rsidR="00044971" w:rsidRDefault="00FA3DC7" w:rsidP="00044971">
      <w:pPr>
        <w:jc w:val="center"/>
        <w:rPr>
          <w:b/>
          <w:sz w:val="32"/>
          <w:szCs w:val="32"/>
        </w:rPr>
      </w:pPr>
    </w:p>
    <w:p w:rsidR="00044971" w:rsidRDefault="00FA3DC7" w:rsidP="00044971">
      <w:pPr>
        <w:jc w:val="center"/>
        <w:rPr>
          <w:b/>
          <w:sz w:val="32"/>
          <w:szCs w:val="32"/>
        </w:rPr>
      </w:pPr>
      <w:r>
        <w:rPr>
          <w:b/>
          <w:sz w:val="32"/>
          <w:szCs w:val="32"/>
        </w:rPr>
        <w:t>NIAGARA MOHAWK POWER CORPORATION</w:t>
      </w:r>
    </w:p>
    <w:p w:rsidR="00044971" w:rsidRDefault="00FA3DC7" w:rsidP="00044971">
      <w:pPr>
        <w:jc w:val="center"/>
        <w:rPr>
          <w:b/>
          <w:sz w:val="32"/>
          <w:szCs w:val="32"/>
        </w:rPr>
      </w:pPr>
    </w:p>
    <w:p w:rsidR="00044971" w:rsidRDefault="00FA3DC7" w:rsidP="00044971">
      <w:pPr>
        <w:jc w:val="center"/>
        <w:rPr>
          <w:b/>
          <w:sz w:val="32"/>
          <w:szCs w:val="32"/>
        </w:rPr>
      </w:pPr>
      <w:r>
        <w:rPr>
          <w:b/>
          <w:sz w:val="32"/>
          <w:szCs w:val="32"/>
        </w:rPr>
        <w:t xml:space="preserve">POWER AUTHORITY OF THE STATE OF </w:t>
      </w:r>
      <w:smartTag w:uri="urn:schemas-microsoft-com:office:smarttags" w:element="place">
        <w:smartTag w:uri="urn:schemas-microsoft-com:office:smarttags" w:element="State">
          <w:r>
            <w:rPr>
              <w:b/>
              <w:sz w:val="32"/>
              <w:szCs w:val="32"/>
            </w:rPr>
            <w:t>NEW YORK</w:t>
          </w:r>
        </w:smartTag>
      </w:smartTag>
    </w:p>
    <w:p w:rsidR="00044971" w:rsidRDefault="00FA3DC7" w:rsidP="00044971">
      <w:pPr>
        <w:jc w:val="center"/>
        <w:rPr>
          <w:b/>
          <w:sz w:val="32"/>
          <w:szCs w:val="32"/>
        </w:rPr>
      </w:pPr>
    </w:p>
    <w:p w:rsidR="00044971" w:rsidRDefault="00FA3DC7" w:rsidP="00044971">
      <w:pPr>
        <w:jc w:val="center"/>
        <w:rPr>
          <w:b/>
          <w:sz w:val="32"/>
          <w:szCs w:val="32"/>
        </w:rPr>
      </w:pPr>
      <w:smartTag w:uri="urn:schemas-microsoft-com:office:smarttags" w:element="place">
        <w:smartTag w:uri="urn:schemas-microsoft-com:office:smarttags" w:element="City">
          <w:r>
            <w:rPr>
              <w:b/>
              <w:sz w:val="32"/>
              <w:szCs w:val="32"/>
            </w:rPr>
            <w:t>VILLAGE OF LAKE PLACID</w:t>
          </w:r>
        </w:smartTag>
        <w:r>
          <w:rPr>
            <w:b/>
            <w:sz w:val="32"/>
            <w:szCs w:val="32"/>
          </w:rPr>
          <w:t xml:space="preserve">, </w:t>
        </w:r>
        <w:smartTag w:uri="urn:schemas-microsoft-com:office:smarttags" w:element="State">
          <w:r>
            <w:rPr>
              <w:b/>
              <w:sz w:val="32"/>
              <w:szCs w:val="32"/>
            </w:rPr>
            <w:t>NEW YORK</w:t>
          </w:r>
        </w:smartTag>
      </w:smartTag>
    </w:p>
    <w:p w:rsidR="00044971" w:rsidRDefault="00FA3DC7" w:rsidP="00044971">
      <w:pPr>
        <w:jc w:val="center"/>
        <w:rPr>
          <w:b/>
          <w:sz w:val="32"/>
          <w:szCs w:val="32"/>
        </w:rPr>
      </w:pPr>
    </w:p>
    <w:p w:rsidR="00044971" w:rsidRDefault="00FA3DC7" w:rsidP="00044971">
      <w:pPr>
        <w:jc w:val="center"/>
        <w:rPr>
          <w:b/>
          <w:sz w:val="32"/>
          <w:szCs w:val="32"/>
        </w:rPr>
      </w:pPr>
      <w:r>
        <w:rPr>
          <w:b/>
          <w:sz w:val="32"/>
          <w:szCs w:val="32"/>
        </w:rPr>
        <w:t>AND</w:t>
      </w:r>
    </w:p>
    <w:p w:rsidR="00044971" w:rsidRDefault="00FA3DC7" w:rsidP="00044971">
      <w:pPr>
        <w:jc w:val="center"/>
        <w:rPr>
          <w:b/>
          <w:sz w:val="32"/>
          <w:szCs w:val="32"/>
        </w:rPr>
      </w:pPr>
    </w:p>
    <w:p w:rsidR="00044971" w:rsidRDefault="00FA3DC7" w:rsidP="00044971">
      <w:pPr>
        <w:jc w:val="center"/>
        <w:rPr>
          <w:szCs w:val="24"/>
        </w:rPr>
      </w:pPr>
      <w:r>
        <w:rPr>
          <w:b/>
          <w:sz w:val="32"/>
          <w:szCs w:val="32"/>
        </w:rPr>
        <w:t xml:space="preserve">VILLAGE OF </w:t>
      </w:r>
      <w:smartTag w:uri="urn:schemas-microsoft-com:office:smarttags" w:element="place">
        <w:smartTag w:uri="urn:schemas-microsoft-com:office:smarttags" w:element="City">
          <w:r>
            <w:rPr>
              <w:b/>
              <w:sz w:val="32"/>
              <w:szCs w:val="32"/>
            </w:rPr>
            <w:t>TUPPER LAKE</w:t>
          </w:r>
        </w:smartTag>
        <w:r>
          <w:rPr>
            <w:b/>
            <w:sz w:val="32"/>
            <w:szCs w:val="32"/>
          </w:rPr>
          <w:t xml:space="preserve">, </w:t>
        </w:r>
        <w:smartTag w:uri="urn:schemas-microsoft-com:office:smarttags" w:element="State">
          <w:r>
            <w:rPr>
              <w:b/>
              <w:sz w:val="32"/>
              <w:szCs w:val="32"/>
            </w:rPr>
            <w:t>NEW YORK</w:t>
          </w:r>
        </w:smartTag>
      </w:smartTag>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044971">
      <w:pPr>
        <w:rPr>
          <w:szCs w:val="24"/>
        </w:rPr>
      </w:pPr>
    </w:p>
    <w:p w:rsidR="00044971" w:rsidRDefault="00FA3DC7" w:rsidP="00E40377">
      <w:pPr>
        <w:pStyle w:val="BodyText"/>
        <w:jc w:val="center"/>
        <w:rPr>
          <w:sz w:val="32"/>
          <w:szCs w:val="32"/>
          <w:u w:val="single"/>
        </w:rPr>
        <w:sectPr w:rsidR="00044971" w:rsidSect="003B13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fmt="numberInDash" w:start="1"/>
          <w:cols w:space="720"/>
          <w:noEndnote/>
          <w:titlePg/>
        </w:sectPr>
      </w:pPr>
    </w:p>
    <w:p w:rsidR="00E40377" w:rsidRPr="00580DC9" w:rsidRDefault="00FA3DC7" w:rsidP="00E40377">
      <w:pPr>
        <w:pStyle w:val="BodyText"/>
        <w:jc w:val="center"/>
        <w:rPr>
          <w:sz w:val="32"/>
          <w:szCs w:val="32"/>
          <w:u w:val="single"/>
        </w:rPr>
      </w:pPr>
      <w:r>
        <w:rPr>
          <w:sz w:val="32"/>
          <w:szCs w:val="32"/>
          <w:u w:val="single"/>
        </w:rPr>
        <w:lastRenderedPageBreak/>
        <w:t xml:space="preserve">REVISED </w:t>
      </w:r>
      <w:r w:rsidRPr="00580DC9">
        <w:rPr>
          <w:sz w:val="32"/>
          <w:szCs w:val="32"/>
          <w:u w:val="single"/>
        </w:rPr>
        <w:t>AGREEMENT</w:t>
      </w:r>
    </w:p>
    <w:p w:rsidR="00BC0A94" w:rsidRDefault="00FA3DC7" w:rsidP="00E40377">
      <w:pPr>
        <w:pStyle w:val="BodyText"/>
        <w:jc w:val="left"/>
      </w:pPr>
    </w:p>
    <w:p w:rsidR="00E40377" w:rsidRDefault="00FA3DC7" w:rsidP="00C24D9F">
      <w:pPr>
        <w:pStyle w:val="BodyText"/>
        <w:ind w:left="540"/>
      </w:pPr>
      <w:r>
        <w:t xml:space="preserve">This </w:t>
      </w:r>
      <w:r>
        <w:t xml:space="preserve">REVISED </w:t>
      </w:r>
      <w:r>
        <w:t>AGREEMENT</w:t>
      </w:r>
      <w:r>
        <w:t xml:space="preserve"> </w:t>
      </w:r>
      <w:r>
        <w:t>was</w:t>
      </w:r>
      <w:r>
        <w:t xml:space="preserve"> </w:t>
      </w:r>
      <w:r>
        <w:t xml:space="preserve">originally </w:t>
      </w:r>
      <w:r>
        <w:t>entered into on th</w:t>
      </w:r>
      <w:r>
        <w:t>e</w:t>
      </w:r>
      <w:r>
        <w:t xml:space="preserve"> </w:t>
      </w:r>
      <w:r>
        <w:t>15th</w:t>
      </w:r>
      <w:r>
        <w:t xml:space="preserve"> day of September, 2004 </w:t>
      </w:r>
      <w:r>
        <w:t>(“the Execution Date”)</w:t>
      </w:r>
      <w:r>
        <w:t>,</w:t>
      </w:r>
      <w:r>
        <w:t xml:space="preserve"> </w:t>
      </w:r>
      <w:r>
        <w:t xml:space="preserve"> </w:t>
      </w:r>
      <w:r>
        <w:t xml:space="preserve">by and between the Power Authority of the </w:t>
      </w:r>
      <w:r>
        <w:t>State of New York</w:t>
      </w:r>
      <w:r>
        <w:t xml:space="preserve"> (the “Power Authority”)</w:t>
      </w:r>
      <w:r>
        <w:t xml:space="preserve">, a </w:t>
      </w:r>
      <w:r>
        <w:t>“</w:t>
      </w:r>
      <w:r>
        <w:t>corporate municipal instrumen</w:t>
      </w:r>
      <w:r>
        <w:t xml:space="preserve">tality” </w:t>
      </w:r>
      <w:r>
        <w:t xml:space="preserve">with </w:t>
      </w:r>
      <w:r>
        <w:t>its principal place of business</w:t>
      </w:r>
      <w:r>
        <w:t xml:space="preserve"> at 30 South Pearl Street, Albany, New York 12207</w:t>
      </w:r>
      <w:r>
        <w:t>;</w:t>
      </w:r>
      <w:r>
        <w:t xml:space="preserve"> </w:t>
      </w:r>
      <w:r>
        <w:t>Niagara Mohawk</w:t>
      </w:r>
      <w:r>
        <w:t xml:space="preserve"> Power Corporation</w:t>
      </w:r>
      <w:r>
        <w:t>,</w:t>
      </w:r>
      <w:r>
        <w:t xml:space="preserve"> </w:t>
      </w:r>
      <w:r>
        <w:t>a National Grid Company</w:t>
      </w:r>
      <w:r>
        <w:t xml:space="preserve"> (“Niagara Mohawk”),</w:t>
      </w:r>
      <w:r>
        <w:t xml:space="preserve"> </w:t>
      </w:r>
      <w:r>
        <w:t xml:space="preserve">with </w:t>
      </w:r>
      <w:r>
        <w:t>its</w:t>
      </w:r>
      <w:r>
        <w:t xml:space="preserve"> principal place of business at</w:t>
      </w:r>
      <w:r>
        <w:t xml:space="preserve"> 300 </w:t>
      </w:r>
      <w:r>
        <w:t>Erie Boulevard</w:t>
      </w:r>
      <w:r>
        <w:t xml:space="preserve"> West</w:t>
      </w:r>
      <w:r>
        <w:t>, Syracuse, New York</w:t>
      </w:r>
      <w:r>
        <w:t xml:space="preserve"> 13202</w:t>
      </w:r>
      <w:r>
        <w:t>;</w:t>
      </w:r>
      <w:r>
        <w:t xml:space="preserve"> the Village of Lake Placid</w:t>
      </w:r>
      <w:r>
        <w:t>, New York</w:t>
      </w:r>
      <w:r>
        <w:t xml:space="preserve"> </w:t>
      </w:r>
      <w:r>
        <w:t>(“Lake Placid”)</w:t>
      </w:r>
      <w:r>
        <w:t>,</w:t>
      </w:r>
      <w:r>
        <w:t xml:space="preserve"> </w:t>
      </w:r>
      <w:r>
        <w:t>with offices at the Town Hall,</w:t>
      </w:r>
      <w:r>
        <w:t xml:space="preserve"> </w:t>
      </w:r>
      <w:r>
        <w:t>301 Main Street,</w:t>
      </w:r>
      <w:r>
        <w:t xml:space="preserve"> Lake Placid</w:t>
      </w:r>
      <w:r>
        <w:t>,</w:t>
      </w:r>
      <w:r>
        <w:t xml:space="preserve"> New York</w:t>
      </w:r>
      <w:r>
        <w:t xml:space="preserve"> </w:t>
      </w:r>
      <w:r>
        <w:t>12946</w:t>
      </w:r>
      <w:r>
        <w:t>;</w:t>
      </w:r>
      <w:r>
        <w:t xml:space="preserve"> </w:t>
      </w:r>
      <w:r>
        <w:t xml:space="preserve">and </w:t>
      </w:r>
      <w:r>
        <w:t xml:space="preserve">the Village of </w:t>
      </w:r>
      <w:r>
        <w:t>Tupper Lake</w:t>
      </w:r>
      <w:r>
        <w:t>, New York</w:t>
      </w:r>
      <w:r>
        <w:t xml:space="preserve"> (“Tupper Lake”)</w:t>
      </w:r>
      <w:r>
        <w:t>, with offices at the Town Hall,</w:t>
      </w:r>
      <w:r>
        <w:t xml:space="preserve"> 53 Park Street,</w:t>
      </w:r>
      <w:r>
        <w:t xml:space="preserve"> Tupper Lake</w:t>
      </w:r>
      <w:r>
        <w:t>, New York</w:t>
      </w:r>
      <w:r>
        <w:t xml:space="preserve"> 12986</w:t>
      </w:r>
      <w:r>
        <w:t xml:space="preserve"> (collectively, </w:t>
      </w:r>
      <w:r>
        <w:t xml:space="preserve">the </w:t>
      </w:r>
      <w:r>
        <w:t>“</w:t>
      </w:r>
      <w:r>
        <w:t>Parties”)</w:t>
      </w:r>
      <w:r>
        <w:t xml:space="preserve">.  </w:t>
      </w:r>
      <w:r>
        <w:t>As of</w:t>
      </w:r>
      <w:r>
        <w:t xml:space="preserve"> the </w:t>
      </w:r>
      <w:r>
        <w:t>24th</w:t>
      </w:r>
      <w:r>
        <w:t xml:space="preserve"> day of </w:t>
      </w:r>
      <w:r>
        <w:t>October</w:t>
      </w:r>
      <w:r>
        <w:t>, 2006, the Parties agreed to certain revisions that affect only the rights and responsibilities of Ni</w:t>
      </w:r>
      <w:r>
        <w:t xml:space="preserve">agara Mohawk and the Power Authority vis-à-vis each other and that are incorporated in this REVISED AGREEMENT.  </w:t>
      </w:r>
      <w:r w:rsidRPr="00D574F1">
        <w:t xml:space="preserve">And, as of the </w:t>
      </w:r>
      <w:r>
        <w:t>17th</w:t>
      </w:r>
      <w:r w:rsidRPr="00D574F1">
        <w:t xml:space="preserve"> day of </w:t>
      </w:r>
      <w:r>
        <w:t>October</w:t>
      </w:r>
      <w:r w:rsidRPr="00D574F1">
        <w:t>, 2011, the Parties agreed to certain revisions that affect only the rights and responsibilities of Niagara Mo</w:t>
      </w:r>
      <w:r w:rsidRPr="00D574F1">
        <w:t>hawk and the Power Authority vis-à-vis each other and that are incorporated in this REVISED AGREEMENT.</w:t>
      </w:r>
    </w:p>
    <w:p w:rsidR="00BC0A94" w:rsidRPr="00BC0A94" w:rsidRDefault="00FA3DC7" w:rsidP="00E40377">
      <w:pPr>
        <w:pStyle w:val="BodyText"/>
        <w:jc w:val="left"/>
      </w:pPr>
    </w:p>
    <w:p w:rsidR="00E40377" w:rsidRDefault="00FA3DC7" w:rsidP="00E40377">
      <w:pPr>
        <w:pStyle w:val="BodyText"/>
        <w:jc w:val="left"/>
        <w:rPr>
          <w:u w:val="single"/>
        </w:rPr>
      </w:pPr>
    </w:p>
    <w:p w:rsidR="008548AC" w:rsidRDefault="00FA3DC7" w:rsidP="006E6FF3">
      <w:pPr>
        <w:pStyle w:val="BodyText"/>
        <w:ind w:left="540"/>
      </w:pPr>
      <w:r>
        <w:t xml:space="preserve">WHEREAS, the Power Authority </w:t>
      </w:r>
      <w:r>
        <w:t xml:space="preserve">has agreed to </w:t>
      </w:r>
      <w:r>
        <w:t>provide for the full</w:t>
      </w:r>
      <w:r>
        <w:t xml:space="preserve"> electric</w:t>
      </w:r>
      <w:r>
        <w:t xml:space="preserve"> requirements of Lake Placid and Tupper Lake </w:t>
      </w:r>
      <w:r>
        <w:t>(the “Villages”)</w:t>
      </w:r>
      <w:r>
        <w:t>; and</w:t>
      </w:r>
    </w:p>
    <w:p w:rsidR="008548AC" w:rsidRDefault="00FA3DC7" w:rsidP="006E6FF3">
      <w:pPr>
        <w:pStyle w:val="BodyText"/>
        <w:ind w:left="540"/>
      </w:pPr>
    </w:p>
    <w:p w:rsidR="00BC0A94" w:rsidRDefault="00FA3DC7" w:rsidP="006E6FF3">
      <w:pPr>
        <w:pStyle w:val="BodyText"/>
        <w:ind w:left="540"/>
      </w:pPr>
      <w:r>
        <w:t xml:space="preserve">WHEREAS, </w:t>
      </w:r>
      <w:r>
        <w:t>t</w:t>
      </w:r>
      <w:r>
        <w:t>her</w:t>
      </w:r>
      <w:r>
        <w:t>e is</w:t>
      </w:r>
      <w:r>
        <w:t xml:space="preserve"> </w:t>
      </w:r>
      <w:r>
        <w:t xml:space="preserve">insufficient </w:t>
      </w:r>
      <w:r>
        <w:t xml:space="preserve">generation and </w:t>
      </w:r>
      <w:r>
        <w:t>transmission capacity to provide reliable electric service</w:t>
      </w:r>
      <w:r>
        <w:t xml:space="preserve"> to the Villages</w:t>
      </w:r>
      <w:r>
        <w:t xml:space="preserve"> </w:t>
      </w:r>
      <w:r>
        <w:t>and surrounding region</w:t>
      </w:r>
      <w:r>
        <w:t xml:space="preserve"> (the </w:t>
      </w:r>
      <w:r>
        <w:t>“</w:t>
      </w:r>
      <w:r>
        <w:t>Tri-Lakes Region”)</w:t>
      </w:r>
      <w:r w:rsidRPr="00D076C6">
        <w:t xml:space="preserve"> </w:t>
      </w:r>
      <w:r>
        <w:t>in the cold winter months</w:t>
      </w:r>
      <w:r>
        <w:t>; and</w:t>
      </w:r>
    </w:p>
    <w:p w:rsidR="00BC0A94" w:rsidRDefault="00FA3DC7" w:rsidP="006E6FF3">
      <w:pPr>
        <w:pStyle w:val="BodyText"/>
        <w:ind w:left="540"/>
      </w:pPr>
    </w:p>
    <w:p w:rsidR="00013878" w:rsidRDefault="00FA3DC7" w:rsidP="006E6FF3">
      <w:pPr>
        <w:pStyle w:val="BodyText"/>
        <w:ind w:left="540"/>
      </w:pPr>
      <w:r>
        <w:t xml:space="preserve">WHEREAS, </w:t>
      </w:r>
      <w:r>
        <w:t>this</w:t>
      </w:r>
      <w:r>
        <w:t xml:space="preserve"> </w:t>
      </w:r>
      <w:r>
        <w:t xml:space="preserve">problem, which is a function of the severity of winter weather and the amount of load in the area, is expected to </w:t>
      </w:r>
      <w:r>
        <w:t>become</w:t>
      </w:r>
      <w:r>
        <w:t xml:space="preserve"> worse</w:t>
      </w:r>
      <w:r>
        <w:t xml:space="preserve"> as peak</w:t>
      </w:r>
      <w:r>
        <w:t xml:space="preserve"> demands in the </w:t>
      </w:r>
      <w:r>
        <w:t>Tri-Lakes R</w:t>
      </w:r>
      <w:r>
        <w:t xml:space="preserve">egion </w:t>
      </w:r>
      <w:r>
        <w:t>continue to grow</w:t>
      </w:r>
      <w:r>
        <w:t>; and</w:t>
      </w:r>
    </w:p>
    <w:p w:rsidR="00810078" w:rsidRDefault="00FA3DC7" w:rsidP="006E6FF3">
      <w:pPr>
        <w:pStyle w:val="BodyText"/>
        <w:ind w:left="540"/>
        <w:jc w:val="left"/>
      </w:pPr>
    </w:p>
    <w:p w:rsidR="005D1D3B" w:rsidRDefault="00FA3DC7" w:rsidP="006E6FF3">
      <w:pPr>
        <w:pStyle w:val="BodyText"/>
        <w:ind w:left="540"/>
      </w:pPr>
      <w:r>
        <w:t>WHERE</w:t>
      </w:r>
      <w:r>
        <w:t>A</w:t>
      </w:r>
      <w:r>
        <w:t>S,</w:t>
      </w:r>
      <w:r>
        <w:t xml:space="preserve"> </w:t>
      </w:r>
      <w:r>
        <w:t>the Parties agree that</w:t>
      </w:r>
      <w:r>
        <w:t xml:space="preserve"> a</w:t>
      </w:r>
      <w:r>
        <w:t xml:space="preserve"> reasonable solution </w:t>
      </w:r>
      <w:r>
        <w:t xml:space="preserve">must </w:t>
      </w:r>
      <w:r>
        <w:t>address</w:t>
      </w:r>
      <w:r>
        <w:t xml:space="preserve"> both</w:t>
      </w:r>
      <w:r>
        <w:t xml:space="preserve"> the short term </w:t>
      </w:r>
      <w:r>
        <w:t xml:space="preserve">service </w:t>
      </w:r>
      <w:r>
        <w:t xml:space="preserve">problem for the next two </w:t>
      </w:r>
      <w:r>
        <w:t xml:space="preserve">winters and the issue of </w:t>
      </w:r>
      <w:r>
        <w:t>long-term electric syst</w:t>
      </w:r>
      <w:r>
        <w:t xml:space="preserve">em reliability for the </w:t>
      </w:r>
      <w:r>
        <w:t>Tri-Lakes R</w:t>
      </w:r>
      <w:r>
        <w:t>egion</w:t>
      </w:r>
      <w:r>
        <w:t>; and</w:t>
      </w:r>
    </w:p>
    <w:p w:rsidR="005D1D3B" w:rsidRDefault="00FA3DC7" w:rsidP="006E6FF3">
      <w:pPr>
        <w:pStyle w:val="BodyText"/>
        <w:ind w:left="540"/>
      </w:pPr>
    </w:p>
    <w:p w:rsidR="00810078" w:rsidRDefault="00FA3DC7" w:rsidP="006E6FF3">
      <w:pPr>
        <w:pStyle w:val="BodyText"/>
        <w:ind w:left="540"/>
      </w:pPr>
      <w:r>
        <w:t xml:space="preserve">WHEREAS, the Parties desire to work together to effectuate such short term and long term solutions and have </w:t>
      </w:r>
      <w:r>
        <w:t>set forth</w:t>
      </w:r>
      <w:r>
        <w:t xml:space="preserve"> below</w:t>
      </w:r>
      <w:r>
        <w:t xml:space="preserve"> their respective roles and responsibilities to achieve </w:t>
      </w:r>
      <w:r>
        <w:t>such objectives</w:t>
      </w:r>
      <w:r>
        <w:t>;</w:t>
      </w:r>
      <w:r>
        <w:t xml:space="preserve"> </w:t>
      </w:r>
    </w:p>
    <w:p w:rsidR="006E6FF3" w:rsidRDefault="00FA3DC7" w:rsidP="006E6FF3">
      <w:pPr>
        <w:pStyle w:val="BodyText"/>
        <w:ind w:left="540"/>
      </w:pPr>
    </w:p>
    <w:p w:rsidR="006E6FF3" w:rsidRDefault="00FA3DC7" w:rsidP="006E6FF3">
      <w:pPr>
        <w:pStyle w:val="BodyText"/>
        <w:ind w:left="540"/>
      </w:pPr>
      <w:r>
        <w:t>NOW THEREFORE, in exchange for the covenants and promises contained herein and intending to be legally bound thereby, the Parties stipulate and agree as follows:</w:t>
      </w:r>
    </w:p>
    <w:p w:rsidR="00810078" w:rsidRDefault="00FA3DC7" w:rsidP="006E6FF3">
      <w:pPr>
        <w:pStyle w:val="BodyText"/>
        <w:ind w:left="540"/>
        <w:jc w:val="left"/>
      </w:pPr>
    </w:p>
    <w:p w:rsidR="00810078" w:rsidRDefault="00FA3DC7" w:rsidP="006E6FF3">
      <w:pPr>
        <w:pStyle w:val="BodyText"/>
        <w:ind w:left="540"/>
        <w:jc w:val="left"/>
      </w:pPr>
      <w:r>
        <w:t>A.</w:t>
      </w:r>
      <w:r>
        <w:tab/>
      </w:r>
      <w:r w:rsidRPr="002E74D7">
        <w:rPr>
          <w:u w:val="single"/>
        </w:rPr>
        <w:t>Short Term Solutions</w:t>
      </w:r>
    </w:p>
    <w:p w:rsidR="00810078" w:rsidRDefault="00FA3DC7" w:rsidP="00810078">
      <w:pPr>
        <w:pStyle w:val="BodyText"/>
        <w:ind w:left="720"/>
        <w:jc w:val="left"/>
      </w:pPr>
    </w:p>
    <w:p w:rsidR="005D1D3B" w:rsidRDefault="00FA3DC7" w:rsidP="002B7643">
      <w:pPr>
        <w:pStyle w:val="BodyText"/>
        <w:ind w:left="1440"/>
      </w:pPr>
      <w:r>
        <w:t xml:space="preserve">1. </w:t>
      </w:r>
      <w:r>
        <w:tab/>
      </w:r>
      <w:r>
        <w:t>Niagara Mohawk</w:t>
      </w:r>
      <w:r>
        <w:t xml:space="preserve"> and t</w:t>
      </w:r>
      <w:r>
        <w:t>he Villages</w:t>
      </w:r>
      <w:r>
        <w:t xml:space="preserve"> </w:t>
      </w:r>
      <w:r>
        <w:t xml:space="preserve">each </w:t>
      </w:r>
      <w:r>
        <w:t xml:space="preserve">agree </w:t>
      </w:r>
      <w:r>
        <w:t xml:space="preserve">that </w:t>
      </w:r>
      <w:r>
        <w:t>over the next two winter periods following adoption of this Agreement</w:t>
      </w:r>
      <w:r>
        <w:t xml:space="preserve">, </w:t>
      </w:r>
      <w:r>
        <w:t>they will</w:t>
      </w:r>
      <w:r>
        <w:t xml:space="preserve"> </w:t>
      </w:r>
      <w:r>
        <w:t xml:space="preserve">keep their </w:t>
      </w:r>
      <w:r>
        <w:t xml:space="preserve">system </w:t>
      </w:r>
      <w:r>
        <w:t>load</w:t>
      </w:r>
      <w:r>
        <w:t xml:space="preserve">s and </w:t>
      </w:r>
      <w:r>
        <w:t xml:space="preserve">supply </w:t>
      </w:r>
      <w:r>
        <w:t>in balance in</w:t>
      </w:r>
      <w:r>
        <w:t xml:space="preserve"> order to minimize the risks of</w:t>
      </w:r>
      <w:r>
        <w:t xml:space="preserve"> a</w:t>
      </w:r>
      <w:r>
        <w:t xml:space="preserve"> voltage collapse or</w:t>
      </w:r>
      <w:r>
        <w:t xml:space="preserve"> of</w:t>
      </w:r>
      <w:r>
        <w:t xml:space="preserve"> load shedding. </w:t>
      </w:r>
      <w:r>
        <w:t xml:space="preserve"> The Power Authority agrees to assist the Villages in fulfilling their commitments under this Paragraph A.1.</w:t>
      </w:r>
    </w:p>
    <w:p w:rsidR="005D1D3B" w:rsidRDefault="00FA3DC7" w:rsidP="00A34EB7">
      <w:pPr>
        <w:pStyle w:val="BodyText"/>
        <w:ind w:left="1440"/>
      </w:pPr>
    </w:p>
    <w:p w:rsidR="00810078" w:rsidRDefault="00FA3DC7" w:rsidP="00A34EB7">
      <w:pPr>
        <w:pStyle w:val="BodyText"/>
        <w:ind w:left="1440"/>
      </w:pPr>
      <w:r>
        <w:t xml:space="preserve">2.  </w:t>
      </w:r>
      <w:r>
        <w:tab/>
      </w:r>
      <w:r>
        <w:t xml:space="preserve">The Parties further agree that </w:t>
      </w:r>
      <w:r>
        <w:t>t</w:t>
      </w:r>
      <w:r>
        <w:t>o the extent the Power Authority</w:t>
      </w:r>
      <w:r>
        <w:t xml:space="preserve"> </w:t>
      </w:r>
      <w:r>
        <w:t>project</w:t>
      </w:r>
      <w:r>
        <w:t>s</w:t>
      </w:r>
      <w:r>
        <w:t xml:space="preserve"> that Lake Placid’s winter peak load will exceed </w:t>
      </w:r>
      <w:r>
        <w:t xml:space="preserve">42 MW </w:t>
      </w:r>
      <w:r>
        <w:t xml:space="preserve">or that </w:t>
      </w:r>
      <w:r>
        <w:t>Tupper Lake’s</w:t>
      </w:r>
      <w:r>
        <w:t xml:space="preserve"> </w:t>
      </w:r>
      <w:r>
        <w:t xml:space="preserve">winter </w:t>
      </w:r>
      <w:r>
        <w:t>peak</w:t>
      </w:r>
      <w:r>
        <w:t xml:space="preserve"> load will </w:t>
      </w:r>
      <w:r>
        <w:t xml:space="preserve">exceed 24 </w:t>
      </w:r>
      <w:r>
        <w:t xml:space="preserve">MW </w:t>
      </w:r>
      <w:r>
        <w:t>over the next two winter periods</w:t>
      </w:r>
      <w:r>
        <w:t>, the Power Authority and the Villages</w:t>
      </w:r>
      <w:r>
        <w:t xml:space="preserve"> </w:t>
      </w:r>
      <w:r>
        <w:t>will</w:t>
      </w:r>
      <w:r>
        <w:t xml:space="preserve"> be responsible for meeting the excess</w:t>
      </w:r>
      <w:r>
        <w:t xml:space="preserve"> demand</w:t>
      </w:r>
      <w:r>
        <w:t xml:space="preserve"> with</w:t>
      </w:r>
      <w:r>
        <w:t xml:space="preserve"> additional</w:t>
      </w:r>
      <w:r>
        <w:t xml:space="preserve"> generation, demand reductions, or some combination of th</w:t>
      </w:r>
      <w:r>
        <w:t xml:space="preserve">e two.  </w:t>
      </w:r>
      <w:r>
        <w:t>If action is required under this paragraph, the Power Authority</w:t>
      </w:r>
      <w:r>
        <w:t xml:space="preserve"> further </w:t>
      </w:r>
      <w:r>
        <w:t>agrees that it</w:t>
      </w:r>
      <w:r>
        <w:t xml:space="preserve"> will </w:t>
      </w:r>
      <w:r>
        <w:t>bear such</w:t>
      </w:r>
      <w:r>
        <w:t xml:space="preserve"> </w:t>
      </w:r>
      <w:r>
        <w:t>cost</w:t>
      </w:r>
      <w:r>
        <w:t>s</w:t>
      </w:r>
      <w:r>
        <w:t xml:space="preserve"> </w:t>
      </w:r>
      <w:r>
        <w:t xml:space="preserve">(with the assistance of the Villages as described in  paragraph </w:t>
      </w:r>
      <w:r>
        <w:t>B</w:t>
      </w:r>
      <w:r>
        <w:t>.</w:t>
      </w:r>
      <w:r>
        <w:t>1</w:t>
      </w:r>
      <w:r>
        <w:t>7</w:t>
      </w:r>
      <w:r>
        <w:t xml:space="preserve"> herein) and</w:t>
      </w:r>
      <w:r>
        <w:t xml:space="preserve"> that it will</w:t>
      </w:r>
      <w:r>
        <w:t xml:space="preserve"> </w:t>
      </w:r>
      <w:r>
        <w:t>over the next two years use</w:t>
      </w:r>
      <w:r>
        <w:t xml:space="preserve"> </w:t>
      </w:r>
      <w:r>
        <w:t xml:space="preserve">available </w:t>
      </w:r>
      <w:r>
        <w:t>unencumb</w:t>
      </w:r>
      <w:r>
        <w:t xml:space="preserve">ered moneys </w:t>
      </w:r>
      <w:r>
        <w:t xml:space="preserve">from </w:t>
      </w:r>
      <w:r>
        <w:t>the Petroleu</w:t>
      </w:r>
      <w:r>
        <w:t>m Overcharge Restitution Fund</w:t>
      </w:r>
      <w:r>
        <w:t xml:space="preserve"> to </w:t>
      </w:r>
      <w:r>
        <w:t>partially</w:t>
      </w:r>
      <w:r>
        <w:t xml:space="preserve"> cover such costs</w:t>
      </w:r>
      <w:r>
        <w:t>.</w:t>
      </w:r>
    </w:p>
    <w:p w:rsidR="005515A9" w:rsidRDefault="00FA3DC7" w:rsidP="00810078">
      <w:pPr>
        <w:pStyle w:val="BodyText"/>
        <w:ind w:left="1440"/>
        <w:jc w:val="left"/>
      </w:pPr>
    </w:p>
    <w:p w:rsidR="005515A9" w:rsidRDefault="00FA3DC7" w:rsidP="00A34EB7">
      <w:pPr>
        <w:pStyle w:val="BodyText"/>
        <w:ind w:left="1440"/>
      </w:pPr>
      <w:r>
        <w:t xml:space="preserve">3. </w:t>
      </w:r>
      <w:r>
        <w:tab/>
      </w:r>
      <w:r>
        <w:t xml:space="preserve">The Power Authority agrees to perform </w:t>
      </w:r>
      <w:r>
        <w:t xml:space="preserve">at </w:t>
      </w:r>
      <w:r>
        <w:t>its own</w:t>
      </w:r>
      <w:r>
        <w:t xml:space="preserve"> expense </w:t>
      </w:r>
      <w:r>
        <w:t>energy audits</w:t>
      </w:r>
      <w:r>
        <w:t xml:space="preserve"> of the Villages and their </w:t>
      </w:r>
      <w:r>
        <w:t xml:space="preserve">customers as well as of </w:t>
      </w:r>
      <w:r>
        <w:t>those</w:t>
      </w:r>
      <w:r>
        <w:t xml:space="preserve"> of </w:t>
      </w:r>
      <w:r>
        <w:t>Niagara Mohawk customers in the</w:t>
      </w:r>
      <w:r>
        <w:t xml:space="preserve"> area with which the Authority</w:t>
      </w:r>
      <w:r>
        <w:t xml:space="preserve"> has an existing</w:t>
      </w:r>
      <w:r>
        <w:t xml:space="preserve"> energy efficiency relationship.</w:t>
      </w:r>
      <w:r>
        <w:t xml:space="preserve"> </w:t>
      </w:r>
      <w:r>
        <w:t xml:space="preserve"> These audits will identify all short term and long term projects wh</w:t>
      </w:r>
      <w:r>
        <w:t>ich will be beneficial to reducing</w:t>
      </w:r>
      <w:r>
        <w:t xml:space="preserve"> the load within the region.  N</w:t>
      </w:r>
      <w:r>
        <w:t>iagara Mohawk</w:t>
      </w:r>
      <w:r>
        <w:t xml:space="preserve"> agrees that it will </w:t>
      </w:r>
      <w:r>
        <w:t xml:space="preserve">identify </w:t>
      </w:r>
      <w:r>
        <w:t>o</w:t>
      </w:r>
      <w:r>
        <w:t xml:space="preserve">ther </w:t>
      </w:r>
      <w:r>
        <w:t xml:space="preserve">loads in </w:t>
      </w:r>
      <w:r>
        <w:t>the region</w:t>
      </w:r>
      <w:r>
        <w:t xml:space="preserve"> which can be audited immediately by NY</w:t>
      </w:r>
      <w:r>
        <w:t>SERDA</w:t>
      </w:r>
      <w:r>
        <w:t xml:space="preserve"> for potential load reduction.</w:t>
      </w:r>
    </w:p>
    <w:p w:rsidR="009B7DB4" w:rsidRDefault="00FA3DC7" w:rsidP="00810078">
      <w:pPr>
        <w:pStyle w:val="BodyText"/>
        <w:ind w:left="1440"/>
        <w:jc w:val="left"/>
      </w:pPr>
    </w:p>
    <w:p w:rsidR="00A95555" w:rsidRPr="007E326B" w:rsidRDefault="00FA3DC7" w:rsidP="002359DD">
      <w:pPr>
        <w:pStyle w:val="BodyText"/>
        <w:ind w:left="1440"/>
        <w:rPr>
          <w:szCs w:val="24"/>
        </w:rPr>
      </w:pPr>
      <w:r>
        <w:t xml:space="preserve">4. </w:t>
      </w:r>
      <w:r>
        <w:tab/>
      </w:r>
      <w:r>
        <w:t>The Power Authority agrees to examine</w:t>
      </w:r>
      <w:r>
        <w:t xml:space="preserve"> potential sites for placement of fuel </w:t>
      </w:r>
      <w:r>
        <w:t>cells in the Villages</w:t>
      </w:r>
      <w:r>
        <w:t>, including the wastewater treatment facility in Lake P</w:t>
      </w:r>
      <w:r>
        <w:t>lacid</w:t>
      </w:r>
      <w:r>
        <w:t>.</w:t>
      </w:r>
      <w:r>
        <w:t xml:space="preserve"> The Power Authority also agrees to</w:t>
      </w:r>
      <w:r>
        <w:t xml:space="preserve"> commit $</w:t>
      </w:r>
      <w:r>
        <w:t> </w:t>
      </w:r>
      <w:r>
        <w:t>3</w:t>
      </w:r>
      <w:r>
        <w:t xml:space="preserve"> </w:t>
      </w:r>
      <w:r>
        <w:t>millio</w:t>
      </w:r>
      <w:r>
        <w:t>n to the implementation of</w:t>
      </w:r>
      <w:r>
        <w:t xml:space="preserve"> fuel cell and on</w:t>
      </w:r>
      <w:r>
        <w:t>-</w:t>
      </w:r>
      <w:r>
        <w:t>site generation</w:t>
      </w:r>
      <w:r>
        <w:t xml:space="preserve"> projects in the Villages</w:t>
      </w:r>
      <w:r>
        <w:t>.</w:t>
      </w:r>
      <w:r>
        <w:t xml:space="preserve">  </w:t>
      </w:r>
      <w:r>
        <w:t>Such o</w:t>
      </w:r>
      <w:r>
        <w:t>n-site generation</w:t>
      </w:r>
      <w:r>
        <w:t xml:space="preserve"> opportunities may </w:t>
      </w:r>
      <w:r>
        <w:t>include bio-mass and other initiatives</w:t>
      </w:r>
      <w:r>
        <w:t>, which</w:t>
      </w:r>
      <w:r>
        <w:t xml:space="preserve"> </w:t>
      </w:r>
      <w:r>
        <w:t xml:space="preserve">will further </w:t>
      </w:r>
      <w:r w:rsidRPr="007E326B">
        <w:rPr>
          <w:szCs w:val="24"/>
        </w:rPr>
        <w:t xml:space="preserve">economic </w:t>
      </w:r>
      <w:r w:rsidRPr="007E326B">
        <w:rPr>
          <w:szCs w:val="24"/>
        </w:rPr>
        <w:t>development opportunities wi</w:t>
      </w:r>
      <w:r w:rsidRPr="007E326B">
        <w:rPr>
          <w:szCs w:val="24"/>
        </w:rPr>
        <w:t>thin the Villages</w:t>
      </w:r>
      <w:r w:rsidRPr="007E326B">
        <w:rPr>
          <w:szCs w:val="24"/>
        </w:rPr>
        <w:t>.</w:t>
      </w:r>
      <w:r w:rsidRPr="007E326B">
        <w:rPr>
          <w:szCs w:val="24"/>
        </w:rPr>
        <w:t xml:space="preserve"> </w:t>
      </w:r>
      <w:r w:rsidRPr="007E326B">
        <w:rPr>
          <w:szCs w:val="24"/>
        </w:rPr>
        <w:t xml:space="preserve"> The Villages agree to cooperate fully with thes</w:t>
      </w:r>
      <w:r w:rsidRPr="007E326B">
        <w:rPr>
          <w:szCs w:val="24"/>
        </w:rPr>
        <w:t>e</w:t>
      </w:r>
      <w:r w:rsidRPr="007E326B">
        <w:rPr>
          <w:szCs w:val="24"/>
        </w:rPr>
        <w:t xml:space="preserve"> efforts.</w:t>
      </w:r>
    </w:p>
    <w:p w:rsidR="00A95555" w:rsidRPr="007E326B" w:rsidRDefault="00FA3DC7" w:rsidP="00810078">
      <w:pPr>
        <w:pStyle w:val="BodyText"/>
        <w:ind w:left="1440"/>
        <w:jc w:val="left"/>
        <w:rPr>
          <w:szCs w:val="24"/>
        </w:rPr>
      </w:pPr>
    </w:p>
    <w:p w:rsidR="00901AB8" w:rsidRPr="007E326B" w:rsidRDefault="00FA3DC7" w:rsidP="007E326B">
      <w:pPr>
        <w:autoSpaceDE w:val="0"/>
        <w:autoSpaceDN w:val="0"/>
        <w:adjustRightInd w:val="0"/>
        <w:spacing w:before="100" w:after="100"/>
        <w:ind w:left="1440"/>
        <w:rPr>
          <w:szCs w:val="24"/>
        </w:rPr>
      </w:pPr>
      <w:r w:rsidRPr="007E326B">
        <w:rPr>
          <w:szCs w:val="24"/>
        </w:rPr>
        <w:t>5.</w:t>
      </w:r>
      <w:r w:rsidRPr="007E326B">
        <w:rPr>
          <w:szCs w:val="24"/>
        </w:rPr>
        <w:t xml:space="preserve"> </w:t>
      </w:r>
      <w:r w:rsidRPr="007E326B">
        <w:rPr>
          <w:szCs w:val="24"/>
        </w:rPr>
        <w:tab/>
      </w:r>
      <w:r w:rsidRPr="007E326B">
        <w:rPr>
          <w:szCs w:val="24"/>
        </w:rPr>
        <w:t>As part of the short-term plan</w:t>
      </w:r>
      <w:r w:rsidRPr="007E326B">
        <w:rPr>
          <w:szCs w:val="24"/>
        </w:rPr>
        <w:t xml:space="preserve">, </w:t>
      </w:r>
      <w:r w:rsidRPr="007E326B">
        <w:rPr>
          <w:szCs w:val="24"/>
        </w:rPr>
        <w:t xml:space="preserve">Lake Placid agrees to install 5 MVAR of capacitor banks on or before December 1, 2004.  In addition, </w:t>
      </w:r>
      <w:r w:rsidRPr="007E326B">
        <w:rPr>
          <w:szCs w:val="24"/>
        </w:rPr>
        <w:t xml:space="preserve">the Power </w:t>
      </w:r>
      <w:r w:rsidRPr="007E326B">
        <w:rPr>
          <w:szCs w:val="24"/>
        </w:rPr>
        <w:t>Authority agrees</w:t>
      </w:r>
      <w:r w:rsidRPr="007E326B">
        <w:rPr>
          <w:szCs w:val="24"/>
        </w:rPr>
        <w:t xml:space="preserve">, with the full cooperation of </w:t>
      </w:r>
      <w:r w:rsidRPr="007E326B">
        <w:rPr>
          <w:szCs w:val="24"/>
        </w:rPr>
        <w:t>Tupper Lake</w:t>
      </w:r>
      <w:r w:rsidRPr="007E326B">
        <w:rPr>
          <w:szCs w:val="24"/>
        </w:rPr>
        <w:t>,</w:t>
      </w:r>
      <w:r w:rsidRPr="007E326B">
        <w:rPr>
          <w:szCs w:val="24"/>
        </w:rPr>
        <w:t xml:space="preserve"> to install </w:t>
      </w:r>
      <w:r w:rsidRPr="007E326B">
        <w:rPr>
          <w:szCs w:val="24"/>
        </w:rPr>
        <w:t>3</w:t>
      </w:r>
      <w:r w:rsidRPr="007E326B">
        <w:rPr>
          <w:szCs w:val="24"/>
        </w:rPr>
        <w:t xml:space="preserve"> </w:t>
      </w:r>
      <w:r w:rsidRPr="007E326B">
        <w:rPr>
          <w:szCs w:val="24"/>
        </w:rPr>
        <w:t xml:space="preserve">MW </w:t>
      </w:r>
      <w:r w:rsidRPr="007E326B">
        <w:rPr>
          <w:szCs w:val="24"/>
        </w:rPr>
        <w:t>of distributed generati</w:t>
      </w:r>
      <w:r w:rsidRPr="007E326B">
        <w:rPr>
          <w:szCs w:val="24"/>
        </w:rPr>
        <w:t>on</w:t>
      </w:r>
      <w:r w:rsidRPr="007E326B">
        <w:rPr>
          <w:szCs w:val="24"/>
        </w:rPr>
        <w:t xml:space="preserve"> </w:t>
      </w:r>
      <w:r w:rsidRPr="007E326B">
        <w:rPr>
          <w:szCs w:val="24"/>
        </w:rPr>
        <w:t>at Tupper Lake’s substation</w:t>
      </w:r>
      <w:r w:rsidRPr="007E326B">
        <w:rPr>
          <w:szCs w:val="24"/>
        </w:rPr>
        <w:t xml:space="preserve">. </w:t>
      </w:r>
      <w:r w:rsidRPr="007E326B">
        <w:rPr>
          <w:szCs w:val="24"/>
        </w:rPr>
        <w:t>If such generation is placed into operation,</w:t>
      </w:r>
      <w:r w:rsidRPr="007E326B">
        <w:rPr>
          <w:szCs w:val="24"/>
        </w:rPr>
        <w:t xml:space="preserve"> </w:t>
      </w:r>
      <w:r w:rsidRPr="007E326B">
        <w:rPr>
          <w:szCs w:val="24"/>
        </w:rPr>
        <w:t>Niagara Mohawk</w:t>
      </w:r>
      <w:r w:rsidRPr="007E326B">
        <w:rPr>
          <w:szCs w:val="24"/>
        </w:rPr>
        <w:t xml:space="preserve"> </w:t>
      </w:r>
      <w:r w:rsidRPr="007E326B">
        <w:rPr>
          <w:szCs w:val="24"/>
        </w:rPr>
        <w:t xml:space="preserve">agrees that it </w:t>
      </w:r>
      <w:r w:rsidRPr="007E326B">
        <w:rPr>
          <w:szCs w:val="24"/>
        </w:rPr>
        <w:t xml:space="preserve">will </w:t>
      </w:r>
      <w:r w:rsidRPr="007E326B">
        <w:rPr>
          <w:szCs w:val="24"/>
        </w:rPr>
        <w:t xml:space="preserve">reimburse </w:t>
      </w:r>
      <w:r w:rsidRPr="007E326B">
        <w:rPr>
          <w:szCs w:val="24"/>
        </w:rPr>
        <w:t>Tupper Lake</w:t>
      </w:r>
      <w:r w:rsidRPr="007E326B">
        <w:rPr>
          <w:szCs w:val="24"/>
        </w:rPr>
        <w:t xml:space="preserve"> for</w:t>
      </w:r>
      <w:r w:rsidRPr="007E326B">
        <w:rPr>
          <w:szCs w:val="24"/>
        </w:rPr>
        <w:t xml:space="preserve"> </w:t>
      </w:r>
      <w:r w:rsidRPr="007E326B">
        <w:rPr>
          <w:szCs w:val="24"/>
        </w:rPr>
        <w:t>one-</w:t>
      </w:r>
      <w:r w:rsidRPr="007E326B">
        <w:rPr>
          <w:szCs w:val="24"/>
        </w:rPr>
        <w:t>half</w:t>
      </w:r>
      <w:r w:rsidRPr="007E326B">
        <w:rPr>
          <w:szCs w:val="24"/>
        </w:rPr>
        <w:t xml:space="preserve"> of </w:t>
      </w:r>
      <w:r w:rsidRPr="007E326B">
        <w:rPr>
          <w:szCs w:val="24"/>
        </w:rPr>
        <w:t>the cos</w:t>
      </w:r>
      <w:r w:rsidRPr="007E326B">
        <w:rPr>
          <w:szCs w:val="24"/>
        </w:rPr>
        <w:t>t</w:t>
      </w:r>
      <w:r w:rsidRPr="007E326B">
        <w:rPr>
          <w:szCs w:val="24"/>
        </w:rPr>
        <w:t xml:space="preserve"> of the fuel consume</w:t>
      </w:r>
      <w:r w:rsidRPr="007E326B">
        <w:rPr>
          <w:szCs w:val="24"/>
        </w:rPr>
        <w:t xml:space="preserve">d by such generators over the next </w:t>
      </w:r>
      <w:r w:rsidRPr="007E326B">
        <w:rPr>
          <w:szCs w:val="24"/>
        </w:rPr>
        <w:t>two</w:t>
      </w:r>
      <w:r w:rsidRPr="007E326B">
        <w:rPr>
          <w:szCs w:val="24"/>
        </w:rPr>
        <w:t xml:space="preserve"> years.</w:t>
      </w:r>
      <w:r w:rsidRPr="007E326B">
        <w:rPr>
          <w:szCs w:val="24"/>
        </w:rPr>
        <w:t xml:space="preserve">  </w:t>
      </w:r>
      <w:r w:rsidRPr="007E326B">
        <w:rPr>
          <w:szCs w:val="24"/>
        </w:rPr>
        <w:t xml:space="preserve"> </w:t>
      </w:r>
      <w:r w:rsidRPr="007E326B">
        <w:rPr>
          <w:bCs/>
          <w:szCs w:val="24"/>
        </w:rPr>
        <w:t>In the event Niagara Mohawk determines, in consultation with the Power Authority and Tupper Lake, that delays in constructing the Tupper Lake SVC and/or initial operational problems make it necessary and appropriate for such distributed generators to be pl</w:t>
      </w:r>
      <w:r w:rsidRPr="007E326B">
        <w:rPr>
          <w:bCs/>
          <w:szCs w:val="24"/>
        </w:rPr>
        <w:t xml:space="preserve">aced into operation during the 2006-07 winter period, all costs required to install and operate such generators shall be treated as cost increases associated with the SVCs (as defined below) in accordance with paragraph B.7. </w:t>
      </w:r>
    </w:p>
    <w:p w:rsidR="0059742E" w:rsidRPr="007E326B" w:rsidRDefault="00FA3DC7" w:rsidP="007E326B">
      <w:pPr>
        <w:pStyle w:val="BodyText"/>
        <w:rPr>
          <w:szCs w:val="24"/>
        </w:rPr>
      </w:pPr>
    </w:p>
    <w:p w:rsidR="0059742E" w:rsidRDefault="00FA3DC7" w:rsidP="0059742E">
      <w:pPr>
        <w:pStyle w:val="BodyText"/>
        <w:ind w:left="1440"/>
      </w:pPr>
      <w:r w:rsidRPr="007E326B">
        <w:rPr>
          <w:szCs w:val="24"/>
        </w:rPr>
        <w:t xml:space="preserve">6. </w:t>
      </w:r>
      <w:r w:rsidRPr="007E326B">
        <w:rPr>
          <w:szCs w:val="24"/>
        </w:rPr>
        <w:tab/>
      </w:r>
      <w:r w:rsidRPr="007E326B">
        <w:rPr>
          <w:szCs w:val="24"/>
        </w:rPr>
        <w:t>To effectuate the short t</w:t>
      </w:r>
      <w:r w:rsidRPr="007E326B">
        <w:rPr>
          <w:szCs w:val="24"/>
        </w:rPr>
        <w:t xml:space="preserve">erm solutions discussed above, the Parties agree they will meet regularly </w:t>
      </w:r>
      <w:r w:rsidRPr="007E326B">
        <w:rPr>
          <w:szCs w:val="24"/>
        </w:rPr>
        <w:t>with</w:t>
      </w:r>
      <w:r>
        <w:t xml:space="preserve"> each other and with the New York State Department of Public Service </w:t>
      </w:r>
      <w:r>
        <w:t xml:space="preserve">and that they will </w:t>
      </w:r>
      <w:r>
        <w:t xml:space="preserve">jointly </w:t>
      </w:r>
      <w:r>
        <w:t>adopt a service</w:t>
      </w:r>
      <w:r>
        <w:t xml:space="preserve"> reliability</w:t>
      </w:r>
      <w:r>
        <w:t xml:space="preserve"> plan for the upcoming winter by </w:t>
      </w:r>
      <w:r>
        <w:t xml:space="preserve">November </w:t>
      </w:r>
      <w:r>
        <w:t>1</w:t>
      </w:r>
      <w:r>
        <w:t>5</w:t>
      </w:r>
      <w:r>
        <w:t>, 2004.  Th</w:t>
      </w:r>
      <w:r>
        <w:t xml:space="preserve">e Parties further agree that they will review such adopted plan and </w:t>
      </w:r>
      <w:r>
        <w:t>make such adjustments</w:t>
      </w:r>
      <w:r>
        <w:t xml:space="preserve"> as may be necessary to meet load requirements for the 2005-06 winter</w:t>
      </w:r>
      <w:r>
        <w:t xml:space="preserve"> period</w:t>
      </w:r>
      <w:r>
        <w:t xml:space="preserve"> by October 1, 2005</w:t>
      </w:r>
      <w:r>
        <w:t>.</w:t>
      </w:r>
    </w:p>
    <w:p w:rsidR="00887F71" w:rsidRDefault="00FA3DC7" w:rsidP="0059742E">
      <w:pPr>
        <w:pStyle w:val="BodyText"/>
        <w:ind w:left="1440"/>
      </w:pPr>
    </w:p>
    <w:p w:rsidR="00887F71" w:rsidRDefault="00FA3DC7" w:rsidP="0059742E">
      <w:pPr>
        <w:pStyle w:val="BodyText"/>
        <w:ind w:left="1440"/>
      </w:pPr>
    </w:p>
    <w:p w:rsidR="00AC7AC7" w:rsidRDefault="00FA3DC7" w:rsidP="001978BF">
      <w:pPr>
        <w:pStyle w:val="BodyText"/>
        <w:keepNext/>
        <w:ind w:left="720"/>
        <w:jc w:val="left"/>
      </w:pPr>
      <w:r>
        <w:t>B.</w:t>
      </w:r>
      <w:r>
        <w:tab/>
      </w:r>
      <w:r>
        <w:rPr>
          <w:u w:val="single"/>
        </w:rPr>
        <w:t>Long Term Solutions</w:t>
      </w:r>
    </w:p>
    <w:p w:rsidR="00AC7AC7" w:rsidRDefault="00FA3DC7" w:rsidP="001978BF">
      <w:pPr>
        <w:pStyle w:val="BodyText"/>
        <w:keepNext/>
        <w:ind w:left="720"/>
      </w:pPr>
    </w:p>
    <w:p w:rsidR="00AC7AC7" w:rsidRDefault="00FA3DC7" w:rsidP="00353D93">
      <w:pPr>
        <w:pStyle w:val="BodyText"/>
        <w:keepNext/>
        <w:ind w:left="1440"/>
      </w:pPr>
      <w:r>
        <w:t xml:space="preserve">1.  </w:t>
      </w:r>
      <w:r>
        <w:tab/>
        <w:t>The Parties agree that the following up</w:t>
      </w:r>
      <w:r>
        <w:t>grades</w:t>
      </w:r>
      <w:r>
        <w:t xml:space="preserve"> </w:t>
      </w:r>
      <w:r>
        <w:t>shall be constructed</w:t>
      </w:r>
      <w:r>
        <w:t xml:space="preserve"> a</w:t>
      </w:r>
      <w:r>
        <w:t>long with necessary relocation of existing facilities as described herein</w:t>
      </w:r>
      <w:r>
        <w:t xml:space="preserve"> (the “Project”):  (a) one 46 kV Static Var Compensator (“SVC”) at Tupper Lake with a projected in-service date of 2006 and one 115 kV SVC at Lake Colby w</w:t>
      </w:r>
      <w:r>
        <w:t>ith a projected in-service date of 2006 (collectively, the “SVCs”); (b) a new 46 kV line from Stark to Piercefield with a projected in-service date of 2008</w:t>
      </w:r>
      <w:r>
        <w:t xml:space="preserve"> </w:t>
      </w:r>
      <w:r>
        <w:t>(the “New Line”); and (c) the relocation of telephone and electric distribution facilities made nece</w:t>
      </w:r>
      <w:r>
        <w:t xml:space="preserve">ssary by the construction of the New Line. </w:t>
      </w:r>
    </w:p>
    <w:p w:rsidR="00AC7AC7" w:rsidRDefault="00FA3DC7" w:rsidP="00AC7AC7">
      <w:pPr>
        <w:pStyle w:val="BodyText"/>
        <w:ind w:left="1440"/>
      </w:pPr>
    </w:p>
    <w:p w:rsidR="00AC7AC7" w:rsidRDefault="00FA3DC7" w:rsidP="00353D93">
      <w:pPr>
        <w:pStyle w:val="BodyText"/>
        <w:numPr>
          <w:ilvl w:val="0"/>
          <w:numId w:val="38"/>
        </w:numPr>
        <w:tabs>
          <w:tab w:val="clear" w:pos="2160"/>
          <w:tab w:val="num" w:pos="1440"/>
        </w:tabs>
        <w:ind w:left="1440" w:hanging="90"/>
      </w:pPr>
      <w:r>
        <w:t xml:space="preserve">Niagara Mohawk agrees that it will be responsible for the design, engineering, procurement, construction, installation, testing, and overall project management for the Project, subject to oversight by the Power </w:t>
      </w:r>
      <w:r>
        <w:t xml:space="preserve">Authority.  </w:t>
      </w:r>
      <w:r>
        <w:t xml:space="preserve">If requested by Niagara Mohawk, the Power Authority will undertake the procurement of </w:t>
      </w:r>
      <w:r>
        <w:t>goods and services for the construction of</w:t>
      </w:r>
      <w:r>
        <w:t xml:space="preserve"> </w:t>
      </w:r>
      <w:r>
        <w:t xml:space="preserve">the </w:t>
      </w:r>
      <w:r>
        <w:t xml:space="preserve">New Line. </w:t>
      </w:r>
      <w:r>
        <w:t>Ownership of the Project and responsibility for obtaining ownership interests will be governed by the</w:t>
      </w:r>
      <w:r>
        <w:t xml:space="preserve"> following protocol:  </w:t>
      </w:r>
    </w:p>
    <w:p w:rsidR="00AC7AC7" w:rsidRDefault="00FA3DC7" w:rsidP="00AC7AC7">
      <w:pPr>
        <w:pStyle w:val="BodyText"/>
      </w:pPr>
    </w:p>
    <w:p w:rsidR="00AC7AC7" w:rsidRDefault="00FA3DC7" w:rsidP="00353D93">
      <w:pPr>
        <w:pStyle w:val="BodyText"/>
        <w:tabs>
          <w:tab w:val="left" w:pos="2880"/>
        </w:tabs>
        <w:ind w:left="2880" w:hanging="720"/>
      </w:pPr>
      <w:r>
        <w:t xml:space="preserve">a. </w:t>
      </w:r>
      <w:r>
        <w:tab/>
      </w:r>
      <w:r>
        <w:t>The Power Authority agrees that it will own and finance and hold legal title to the SVCs and all electric lines, poles, and other fixtures and equipment associated with the New Line (such lines, poles, etc., together the “New Li</w:t>
      </w:r>
      <w:r>
        <w:t xml:space="preserve">ne Equipment”) prior to the </w:t>
      </w:r>
      <w:r>
        <w:t>“</w:t>
      </w:r>
      <w:r>
        <w:t>Transfer Date</w:t>
      </w:r>
      <w:r>
        <w:t>,</w:t>
      </w:r>
      <w:r>
        <w:t xml:space="preserve">” </w:t>
      </w:r>
      <w:r>
        <w:t xml:space="preserve">which shall take place no later than January 1, 2012, </w:t>
      </w:r>
      <w:r>
        <w:t xml:space="preserve">provided that the Power Authority shall take title to the SVCs and the New Line Equipment (or </w:t>
      </w:r>
      <w:r>
        <w:t>each SVC and the New Line</w:t>
      </w:r>
      <w:r>
        <w:t xml:space="preserve"> individually) </w:t>
      </w:r>
      <w:r w:rsidRPr="00655D25">
        <w:t>upon</w:t>
      </w:r>
      <w:r>
        <w:t xml:space="preserve"> (i) the satisfaction of all conditions required for </w:t>
      </w:r>
      <w:r w:rsidRPr="00655D25">
        <w:t>acceptance</w:t>
      </w:r>
      <w:r>
        <w:t xml:space="preserve">, which conditions shall be </w:t>
      </w:r>
      <w:r>
        <w:t xml:space="preserve">mutually agreed upon </w:t>
      </w:r>
      <w:r>
        <w:t xml:space="preserve">for each facility </w:t>
      </w:r>
      <w:r>
        <w:t>by the Power Authority and Niagara Mohawk</w:t>
      </w:r>
      <w:r>
        <w:t xml:space="preserve"> </w:t>
      </w:r>
      <w:r>
        <w:t xml:space="preserve">and (ii) a determination that the SVCs and the New Line Equipment (or </w:t>
      </w:r>
      <w:r>
        <w:t>each SVC and t</w:t>
      </w:r>
      <w:r>
        <w:t>he New Line</w:t>
      </w:r>
      <w:r>
        <w:t xml:space="preserve"> individually) </w:t>
      </w:r>
      <w:r>
        <w:t>are</w:t>
      </w:r>
      <w:r>
        <w:t xml:space="preserve"> </w:t>
      </w:r>
      <w:r>
        <w:t xml:space="preserve">free and clear of all liens, claims and encumbrances (“Liens”).  The Power Authority shall retain such ownership interests until the Transfer Date. </w:t>
      </w:r>
    </w:p>
    <w:p w:rsidR="00AC7AC7" w:rsidRDefault="00FA3DC7" w:rsidP="00AC7AC7">
      <w:pPr>
        <w:pStyle w:val="BodyText"/>
        <w:tabs>
          <w:tab w:val="left" w:pos="2160"/>
        </w:tabs>
        <w:ind w:left="2160" w:hanging="720"/>
      </w:pPr>
    </w:p>
    <w:p w:rsidR="00AC7AC7" w:rsidRDefault="00FA3DC7" w:rsidP="00353D93">
      <w:pPr>
        <w:pStyle w:val="BodyText"/>
        <w:tabs>
          <w:tab w:val="left" w:pos="2880"/>
        </w:tabs>
        <w:ind w:left="2880" w:hanging="720"/>
      </w:pPr>
      <w:r>
        <w:t>b.</w:t>
      </w:r>
      <w:r>
        <w:tab/>
      </w:r>
      <w:r>
        <w:t xml:space="preserve">Upon the Transfer Date, </w:t>
      </w:r>
      <w:r w:rsidRPr="00900DCD">
        <w:t xml:space="preserve">and subject to the last sentence of paragraph </w:t>
      </w:r>
      <w:r w:rsidRPr="00900DCD">
        <w:t>B.4.c. concerning the ownership of certain distribution poles,</w:t>
      </w:r>
      <w:r>
        <w:t xml:space="preserve"> </w:t>
      </w:r>
      <w:r>
        <w:t>the Power Authority shall convey all its ownership interests in the SVCs and the New Line Equipment to Niagara Mohawk,</w:t>
      </w:r>
      <w:r w:rsidRPr="00BD2A34">
        <w:t xml:space="preserve"> </w:t>
      </w:r>
      <w:r>
        <w:t>free and clear of all Liens except for such Liens placed on the SVCs or th</w:t>
      </w:r>
      <w:r>
        <w:t xml:space="preserve">e New Line Equipment that (i) arise from Niagara Mohawk’s operation, maintenance or repair of the SVCs or the New Line Equipment, or (ii) that were filed by or on behalf of Niagara Mohawk.  Documentation of such conveyance shall be in a form acceptable to </w:t>
      </w:r>
      <w:r>
        <w:t xml:space="preserve">both Parties.  </w:t>
      </w:r>
    </w:p>
    <w:p w:rsidR="00AC7AC7" w:rsidRDefault="00FA3DC7" w:rsidP="00AC7AC7">
      <w:pPr>
        <w:pStyle w:val="BodyText"/>
        <w:tabs>
          <w:tab w:val="left" w:pos="2160"/>
        </w:tabs>
        <w:ind w:left="2160" w:hanging="720"/>
      </w:pPr>
    </w:p>
    <w:p w:rsidR="00D24048" w:rsidRDefault="00FA3DC7" w:rsidP="00D24048">
      <w:pPr>
        <w:pStyle w:val="BodyText"/>
        <w:ind w:left="2160" w:hanging="720"/>
      </w:pPr>
      <w:r>
        <w:t xml:space="preserve">3.  </w:t>
      </w:r>
      <w:r>
        <w:tab/>
        <w:t xml:space="preserve">Niagara Mohawk agrees that, prior to the Transfer Date, it will make reasonable efforts to acquire, and will subsequently own and hold legal title to, all real property interests that are necessary for the construction, installation, </w:t>
      </w:r>
      <w:r>
        <w:t xml:space="preserve">testing, and operation of the SVCs and the New Line.  If requested to do so by Niagara Mohawk, the Power Authority agrees to assist Niagara Mohawk, including </w:t>
      </w:r>
      <w:r w:rsidRPr="005D4776">
        <w:rPr>
          <w:szCs w:val="24"/>
        </w:rPr>
        <w:t>through mapping, surveying, and title review</w:t>
      </w:r>
      <w:r>
        <w:rPr>
          <w:szCs w:val="24"/>
        </w:rPr>
        <w:t>,</w:t>
      </w:r>
      <w:r w:rsidRPr="005D4776">
        <w:rPr>
          <w:szCs w:val="24"/>
        </w:rPr>
        <w:t xml:space="preserve"> </w:t>
      </w:r>
      <w:r>
        <w:rPr>
          <w:szCs w:val="24"/>
        </w:rPr>
        <w:t xml:space="preserve">and testifying, </w:t>
      </w:r>
      <w:r>
        <w:t>in any eminent domain proceeding tha</w:t>
      </w:r>
      <w:r>
        <w:t>t may be necessary to obtain such interests.  Should any real property interests be contaminated by hazardous materials or not be attainable in or after eminent domain proceedings as provided above, the parties will work cooperatively to address the real p</w:t>
      </w:r>
      <w:r>
        <w:t>roperty concern.</w:t>
      </w:r>
    </w:p>
    <w:p w:rsidR="00897B51" w:rsidRDefault="00FA3DC7" w:rsidP="00D24048">
      <w:pPr>
        <w:pStyle w:val="BodyText"/>
        <w:ind w:left="2160" w:hanging="720"/>
      </w:pPr>
    </w:p>
    <w:p w:rsidR="00AC7AC7" w:rsidRDefault="00FA3DC7" w:rsidP="00353D93">
      <w:pPr>
        <w:pStyle w:val="BodyText"/>
        <w:tabs>
          <w:tab w:val="left" w:pos="2160"/>
        </w:tabs>
        <w:ind w:left="2160" w:hanging="720"/>
      </w:pPr>
      <w:r>
        <w:t>4.</w:t>
      </w:r>
      <w:r>
        <w:tab/>
        <w:t>Further rights and obligations of Niagara Mohawk and the Power Authority are as follows:</w:t>
      </w:r>
    </w:p>
    <w:p w:rsidR="00AC7AC7" w:rsidRDefault="00FA3DC7" w:rsidP="00AC7AC7">
      <w:pPr>
        <w:pStyle w:val="BodyText"/>
        <w:ind w:left="1440"/>
      </w:pPr>
    </w:p>
    <w:p w:rsidR="00AC7AC7" w:rsidRDefault="00FA3DC7" w:rsidP="00353D93">
      <w:pPr>
        <w:pStyle w:val="BodyText"/>
        <w:ind w:left="2880" w:hanging="720"/>
      </w:pPr>
      <w:r>
        <w:t>a.</w:t>
      </w:r>
      <w:r>
        <w:tab/>
        <w:t xml:space="preserve">The Power Authority further agrees that it will be responsible for obtaining any governmental permits or approvals required for the siting or </w:t>
      </w:r>
      <w:r>
        <w:t xml:space="preserve">construction of the New Line, and Niagara Mohawk agrees that it will be responsible for obtaining any governmental permits or approvals required for the siting or construction of the SVCs.  </w:t>
      </w:r>
      <w:r w:rsidRPr="00732A7F">
        <w:t>In the event an amendment to a permit or approval is required, res</w:t>
      </w:r>
      <w:r w:rsidRPr="00732A7F">
        <w:t>ponsibility for obtaining such amendment shall be borne by the Party initially responsible for obtaining the original permit or approval unless the purpose of the amendment is to add a Party to the permit or approval.</w:t>
      </w:r>
      <w:r>
        <w:t xml:space="preserve">  Each Party shall have the right to pa</w:t>
      </w:r>
      <w:r>
        <w:t xml:space="preserve">rticipate, informally or as a co-applicant, in obtaining permits or approvals that the other Party is responsible for obtaining.  </w:t>
      </w:r>
      <w:r w:rsidRPr="009C31E5">
        <w:t>The Parties agree to serve as co-applicants for permits or approvals and to include third parties as co-applicants where neces</w:t>
      </w:r>
      <w:r w:rsidRPr="009C31E5">
        <w:t>sary and appropriate.</w:t>
      </w:r>
      <w:r>
        <w:t xml:space="preserve">  It is the expectation of the Parties that such permits and approvals shall initially be issued to the Power Authority as the owner of the SVCs and the New Line Equipment. In permits and approvals issued to the Power Authority, the Po</w:t>
      </w:r>
      <w:r>
        <w:t>wer Authority shall endeavor to obtain express provisions authorizing their transfer to Niagara Mohawk</w:t>
      </w:r>
      <w:r>
        <w:t xml:space="preserve">. </w:t>
      </w:r>
      <w:r>
        <w:t>To the extent reasonabl</w:t>
      </w:r>
      <w:r>
        <w:t>y</w:t>
      </w:r>
      <w:r>
        <w:t xml:space="preserve"> possible, t</w:t>
      </w:r>
      <w:r>
        <w:t>he form and content of these permits or approvals shall be acceptable to both the Power Authority and Niagara Mohawk</w:t>
      </w:r>
      <w:r>
        <w:t xml:space="preserve">. </w:t>
      </w:r>
      <w:r w:rsidRPr="00732A7F">
        <w:t>The Power Authority shall endeavor to obtain</w:t>
      </w:r>
      <w:r w:rsidRPr="00732A7F">
        <w:t>,</w:t>
      </w:r>
      <w:r w:rsidRPr="00732A7F">
        <w:t xml:space="preserve"> and Niagara Mohawk will assist in obtaining</w:t>
      </w:r>
      <w:r w:rsidRPr="00732A7F">
        <w:t>,</w:t>
      </w:r>
      <w:r w:rsidRPr="00732A7F">
        <w:t xml:space="preserve"> permits or approvals in the name of Niagara Mohawk if such permits do not have express provisions authorizing their transfer to Niagara Mohawk, or are required to </w:t>
      </w:r>
      <w:r w:rsidRPr="00732A7F">
        <w:t xml:space="preserve">be in the name of </w:t>
      </w:r>
      <w:r>
        <w:t>Niagara Mohawk</w:t>
      </w:r>
      <w:r w:rsidRPr="00732A7F">
        <w:t xml:space="preserve"> </w:t>
      </w:r>
      <w:r w:rsidRPr="00732A7F">
        <w:t>to ensure timely completion of the Project.</w:t>
      </w:r>
      <w:r>
        <w:t xml:space="preserve"> All references in this Revised Agreement to permits and/or approvals shall be deemed to include amendments.  </w:t>
      </w:r>
    </w:p>
    <w:p w:rsidR="00AC7AC7" w:rsidRDefault="00FA3DC7" w:rsidP="00AC7AC7">
      <w:pPr>
        <w:pStyle w:val="BodyText"/>
        <w:ind w:left="1440"/>
      </w:pPr>
    </w:p>
    <w:p w:rsidR="00AC7AC7" w:rsidRDefault="00FA3DC7" w:rsidP="00353D93">
      <w:pPr>
        <w:pStyle w:val="BodyText"/>
        <w:ind w:left="2880" w:hanging="720"/>
      </w:pPr>
      <w:r>
        <w:t>b.</w:t>
      </w:r>
      <w:r>
        <w:tab/>
        <w:t>Niagara Mohawk grants the Power Authority a</w:t>
      </w:r>
      <w:r>
        <w:t xml:space="preserve"> </w:t>
      </w:r>
      <w:r>
        <w:t xml:space="preserve">temporary </w:t>
      </w:r>
      <w:r>
        <w:t>contract ri</w:t>
      </w:r>
      <w:r>
        <w:t xml:space="preserve">ght allowing the Power Authority, without cost, to connect its SVCs and </w:t>
      </w:r>
      <w:r>
        <w:t xml:space="preserve">the </w:t>
      </w:r>
      <w:r>
        <w:t xml:space="preserve">New Line Equipment to Niagara Mohawk’s equipment and to place </w:t>
      </w:r>
      <w:r>
        <w:t>the</w:t>
      </w:r>
      <w:r>
        <w:t xml:space="preserve"> SVCs and </w:t>
      </w:r>
      <w:r>
        <w:t xml:space="preserve">the </w:t>
      </w:r>
      <w:r>
        <w:t xml:space="preserve">New Line Equipment upon the real property in which Niagara Mohawk owns or acquires a fee, easement, </w:t>
      </w:r>
      <w:r>
        <w:t>or similar interest</w:t>
      </w:r>
      <w:r>
        <w:t xml:space="preserve"> until the Transfer Date</w:t>
      </w:r>
      <w:r>
        <w:t>.  The Power Authority grants Niagara Mohawk a</w:t>
      </w:r>
      <w:r>
        <w:t>n irrevocable</w:t>
      </w:r>
      <w:r>
        <w:t xml:space="preserve"> contract right allowing Niagara Mohawk, without cost, to connect its distribution lines and equipme</w:t>
      </w:r>
      <w:r>
        <w:t>nt with the New Line Equipment.</w:t>
      </w:r>
      <w:r>
        <w:t xml:space="preserve"> If, in order to effect</w:t>
      </w:r>
      <w:r>
        <w:t xml:space="preserve"> such connection, Niagara Mohawk is required to relocate any distribution lines and/or equipment, the costs of such relocation shall be added to and included in the Total Project Cost.</w:t>
      </w:r>
    </w:p>
    <w:p w:rsidR="00AC7AC7" w:rsidRDefault="00FA3DC7" w:rsidP="00AC7AC7">
      <w:pPr>
        <w:pStyle w:val="BodyText"/>
        <w:ind w:left="2160" w:hanging="720"/>
      </w:pPr>
      <w:r>
        <w:t xml:space="preserve"> </w:t>
      </w:r>
    </w:p>
    <w:p w:rsidR="00AC7AC7" w:rsidRDefault="00FA3DC7" w:rsidP="00353D93">
      <w:pPr>
        <w:pStyle w:val="BodyText"/>
        <w:ind w:left="2880" w:hanging="720"/>
      </w:pPr>
      <w:r>
        <w:t>c.</w:t>
      </w:r>
      <w:r>
        <w:tab/>
        <w:t>If installation of the New Line Equipment requires distribution po</w:t>
      </w:r>
      <w:r>
        <w:t>les jointly owned by Niagara Mohawk and Verizon to be relocated to certain Power Authority poles as pole attachments, the following shall apply.  First, the Power Authority agrees to negotiate a</w:t>
      </w:r>
      <w:r>
        <w:t xml:space="preserve"> separate </w:t>
      </w:r>
      <w:r>
        <w:t xml:space="preserve">attachment </w:t>
      </w:r>
      <w:r>
        <w:t>agreement</w:t>
      </w:r>
      <w:r>
        <w:t xml:space="preserve"> with Verizon </w:t>
      </w:r>
      <w:r>
        <w:t>acceptable to Niag</w:t>
      </w:r>
      <w:r>
        <w:t xml:space="preserve">ara Mohawk.  </w:t>
      </w:r>
      <w:r w:rsidRPr="00711E8F">
        <w:rPr>
          <w:rFonts w:cs="Arial"/>
          <w:szCs w:val="22"/>
        </w:rPr>
        <w:t>Second, any such cost of relocation shall be added to and included in Total Project Cost</w:t>
      </w:r>
      <w:r>
        <w:rPr>
          <w:rFonts w:cs="Arial"/>
          <w:szCs w:val="22"/>
        </w:rPr>
        <w:t>.</w:t>
      </w:r>
      <w:r w:rsidRPr="00711E8F">
        <w:rPr>
          <w:rFonts w:cs="Arial"/>
          <w:szCs w:val="22"/>
        </w:rPr>
        <w:t xml:space="preserve"> </w:t>
      </w:r>
      <w:r w:rsidRPr="00900DCD">
        <w:rPr>
          <w:rFonts w:cs="Arial"/>
          <w:szCs w:val="22"/>
        </w:rPr>
        <w:t>Third, Niagara Mohawk shall negotiate a</w:t>
      </w:r>
      <w:r w:rsidRPr="00900DCD">
        <w:rPr>
          <w:rFonts w:cs="Arial"/>
          <w:szCs w:val="22"/>
        </w:rPr>
        <w:t xml:space="preserve"> separate</w:t>
      </w:r>
      <w:r w:rsidRPr="00900DCD">
        <w:rPr>
          <w:rFonts w:cs="Arial"/>
          <w:szCs w:val="22"/>
        </w:rPr>
        <w:t xml:space="preserve"> agreement with Verizon with respect to their respective ownership rights in the approximately 294 </w:t>
      </w:r>
      <w:r w:rsidRPr="00900DCD">
        <w:rPr>
          <w:rFonts w:cs="Arial"/>
          <w:szCs w:val="22"/>
        </w:rPr>
        <w:t>distri</w:t>
      </w:r>
      <w:r w:rsidRPr="00900DCD">
        <w:rPr>
          <w:rFonts w:cs="Arial"/>
          <w:szCs w:val="22"/>
        </w:rPr>
        <w:t>bution poles</w:t>
      </w:r>
      <w:r w:rsidRPr="00900DCD">
        <w:rPr>
          <w:rFonts w:cs="Arial"/>
          <w:szCs w:val="22"/>
        </w:rPr>
        <w:t xml:space="preserve"> as of the Transfer Date</w:t>
      </w:r>
      <w:r w:rsidRPr="00900DCD">
        <w:rPr>
          <w:rFonts w:cs="Arial"/>
          <w:szCs w:val="22"/>
        </w:rPr>
        <w:t>. On the Transfer Date, the Power Authority shall relinquish its ownership interest in such poles according to the terms of such separate agreement between Niagara Mohawk and Verizon.</w:t>
      </w:r>
    </w:p>
    <w:p w:rsidR="00AC7AC7" w:rsidRDefault="00FA3DC7" w:rsidP="00AC7AC7">
      <w:pPr>
        <w:pStyle w:val="BodyText"/>
        <w:ind w:left="2160" w:hanging="720"/>
      </w:pPr>
    </w:p>
    <w:p w:rsidR="00AC7AC7" w:rsidRDefault="00FA3DC7" w:rsidP="00173A09">
      <w:pPr>
        <w:pStyle w:val="BodyText"/>
        <w:numPr>
          <w:ilvl w:val="0"/>
          <w:numId w:val="40"/>
        </w:numPr>
        <w:tabs>
          <w:tab w:val="clear" w:pos="2520"/>
          <w:tab w:val="num" w:pos="2880"/>
        </w:tabs>
        <w:ind w:left="2880" w:hanging="720"/>
      </w:pPr>
      <w:r>
        <w:t>Niagara Mohawk will obtain title in</w:t>
      </w:r>
      <w:r>
        <w:t>surance and an abstract of title for the real property interests necessary for construction and operation of the SVCs and the New Line in form and content satisfactory to Niagara Mohawk.  The Power Authority will obtain a title insurance policy insuring it</w:t>
      </w:r>
      <w:r>
        <w:t>s property interests in the Project, and agrees that it will not look to Niagara Mohawk as guarantor of its property rights.  Niagara Mohawk also will obtain such environmental reports, surveys, appraisals, and other information as it deems necessary (“Sit</w:t>
      </w:r>
      <w:r>
        <w:t xml:space="preserve">e Investigation Documents”) prior to obtaining title to the real property interests necessary for the SVCs and/or the New Line.  Each Party, upon request by the other Party, shall provide copies of any Site Investigation Documents it may possess.  </w:t>
      </w:r>
    </w:p>
    <w:p w:rsidR="000F30AD" w:rsidRDefault="00FA3DC7" w:rsidP="000F30AD">
      <w:pPr>
        <w:pStyle w:val="BodyText"/>
        <w:tabs>
          <w:tab w:val="left" w:pos="2610"/>
        </w:tabs>
      </w:pPr>
    </w:p>
    <w:p w:rsidR="000F30AD" w:rsidRDefault="00FA3DC7" w:rsidP="00FC380F">
      <w:pPr>
        <w:ind w:left="2160" w:hanging="720"/>
        <w:jc w:val="both"/>
      </w:pPr>
      <w:r>
        <w:t xml:space="preserve">5.   </w:t>
      </w:r>
      <w:r>
        <w:tab/>
      </w:r>
      <w:r>
        <w:t>The current cost estimate for the Project is $ 29.1 million (the “Estimated Project Cost”).</w:t>
      </w:r>
      <w:r>
        <w:rPr>
          <w:rStyle w:val="FootnoteReference"/>
        </w:rPr>
        <w:footnoteReference w:id="1"/>
      </w:r>
      <w:r>
        <w:t xml:space="preserve">  A breakdown of the costs of the various components of the Project is set forth in Exhibit A.  The Power Authority agrees that it will reimburse Niagara Mohawk for</w:t>
      </w:r>
      <w:r>
        <w:t xml:space="preserve"> all Project-related costs, including applicable overheads, incurred by Niagara Mohawk from the date of this Agreement until the Transfer Date</w:t>
      </w:r>
      <w:r>
        <w:t>.</w:t>
      </w:r>
      <w:r>
        <w:t xml:space="preserve">  Such costs shall include all costs associated with the licensing, permitting, design, engineering, procurement,</w:t>
      </w:r>
      <w:r>
        <w:t xml:space="preserve"> installation, construction, testing, and overall management of the Project.  On the Transfer Date Niagara Mohawk agrees to pay the Power Authority an amount equal to the Net Project Costs as defined in paragraph B.</w:t>
      </w:r>
      <w:r>
        <w:t>6</w:t>
      </w:r>
      <w:r>
        <w:t xml:space="preserve"> below.  Nothing in this Agreement shall</w:t>
      </w:r>
      <w:r>
        <w:t xml:space="preserve"> limit Niagara Mohawk’s right to recover the Net Project Cost in rates charged to all of its wholesale and retail customers, provided however that nothing in this Agreement shall be construed to limit in any way either Niagara Mohawk’s rights with respect </w:t>
      </w:r>
      <w:r>
        <w:t>to the recovery of all or any part of such costs from its retail customers or the authority of the New York State Public Service Commission (“the PSC”) to approve or establish tariff provisions providing for the recovery of all or any part of such costs fr</w:t>
      </w:r>
      <w:r>
        <w:t>om retail customers in New York State.</w:t>
      </w:r>
    </w:p>
    <w:p w:rsidR="00D020AD" w:rsidRDefault="00FA3DC7" w:rsidP="00D020AD">
      <w:pPr>
        <w:ind w:left="1440"/>
      </w:pPr>
    </w:p>
    <w:p w:rsidR="00A24542" w:rsidRDefault="00FA3DC7" w:rsidP="00FC380F">
      <w:pPr>
        <w:ind w:left="2160" w:hanging="720"/>
        <w:jc w:val="both"/>
      </w:pPr>
      <w:r>
        <w:t>6.</w:t>
      </w:r>
      <w:r>
        <w:tab/>
      </w:r>
      <w:r>
        <w:t>The Net Project Cost shall equal the Total Project Cost as defined herein less</w:t>
      </w:r>
      <w:r>
        <w:t xml:space="preserve"> the Project Credits</w:t>
      </w:r>
      <w:r>
        <w:t>, which is</w:t>
      </w:r>
      <w:r w:rsidRPr="001B441E">
        <w:t xml:space="preserve"> the </w:t>
      </w:r>
      <w:r>
        <w:t xml:space="preserve">portion of the Project Cost </w:t>
      </w:r>
      <w:r w:rsidRPr="001B441E">
        <w:t xml:space="preserve">borne by Tupper Lake </w:t>
      </w:r>
      <w:r>
        <w:t>(</w:t>
      </w:r>
      <w:r>
        <w:t xml:space="preserve">capped at </w:t>
      </w:r>
      <w:r>
        <w:t>$</w:t>
      </w:r>
      <w:r>
        <w:t> </w:t>
      </w:r>
      <w:r>
        <w:t>3.2 million</w:t>
      </w:r>
      <w:r>
        <w:t xml:space="preserve"> in 2004 dollars</w:t>
      </w:r>
      <w:r>
        <w:t xml:space="preserve">) </w:t>
      </w:r>
      <w:r w:rsidRPr="001B441E">
        <w:t xml:space="preserve">and Lake </w:t>
      </w:r>
      <w:r w:rsidRPr="001B441E">
        <w:t>Placid</w:t>
      </w:r>
      <w:r>
        <w:t xml:space="preserve"> (</w:t>
      </w:r>
      <w:r>
        <w:t xml:space="preserve">capped at </w:t>
      </w:r>
      <w:r>
        <w:t>$</w:t>
      </w:r>
      <w:r>
        <w:t> </w:t>
      </w:r>
      <w:r>
        <w:t>6.5 million</w:t>
      </w:r>
      <w:r>
        <w:t xml:space="preserve"> in 2004 dollars</w:t>
      </w:r>
      <w:r>
        <w:t>).</w:t>
      </w:r>
      <w:r>
        <w:t xml:space="preserve"> </w:t>
      </w:r>
      <w:r>
        <w:t xml:space="preserve"> </w:t>
      </w:r>
      <w:r>
        <w:t>The Power Authority</w:t>
      </w:r>
      <w:r>
        <w:t xml:space="preserve"> shall credit th</w:t>
      </w:r>
      <w:r>
        <w:t>e full</w:t>
      </w:r>
      <w:r>
        <w:t xml:space="preserve"> $ 9.7 million </w:t>
      </w:r>
      <w:r>
        <w:t xml:space="preserve">amount of the Project Credits </w:t>
      </w:r>
      <w:r>
        <w:t>to the Project as of</w:t>
      </w:r>
      <w:r>
        <w:t xml:space="preserve"> the Execution Date of this Agreement</w:t>
      </w:r>
      <w:r>
        <w:t xml:space="preserve"> </w:t>
      </w:r>
      <w:r>
        <w:t xml:space="preserve">and shall recover such amounts from the Villages as provided </w:t>
      </w:r>
      <w:r>
        <w:t>in Pa</w:t>
      </w:r>
      <w:r>
        <w:t>ragraph B.9</w:t>
      </w:r>
      <w:r>
        <w:t xml:space="preserve"> of this Agreement</w:t>
      </w:r>
      <w:r>
        <w:t>.</w:t>
      </w:r>
      <w:r>
        <w:t xml:space="preserve"> </w:t>
      </w:r>
      <w:r>
        <w:t xml:space="preserve"> </w:t>
      </w:r>
      <w:r>
        <w:t xml:space="preserve">The Project Credits shall be the first funds expended on the Project and the Power Authority shall not begin financing any part of the </w:t>
      </w:r>
      <w:r>
        <w:t xml:space="preserve">Net </w:t>
      </w:r>
      <w:r>
        <w:t xml:space="preserve">Project Cost until the Project Credits have been fully expended.  </w:t>
      </w:r>
      <w:r>
        <w:t>Until such tim</w:t>
      </w:r>
      <w:r>
        <w:t xml:space="preserve">e as the Project Credits are fully expended by the Power Authority, the Project Credits shall be increased </w:t>
      </w:r>
      <w:r>
        <w:t xml:space="preserve">monthly </w:t>
      </w:r>
      <w:r>
        <w:t xml:space="preserve">by an amount determined by multiplying the difference between the unused Project Credits at the beginning of </w:t>
      </w:r>
      <w:r>
        <w:t xml:space="preserve">each </w:t>
      </w:r>
      <w:r>
        <w:t>month</w:t>
      </w:r>
      <w:r>
        <w:t xml:space="preserve"> and the </w:t>
      </w:r>
      <w:r>
        <w:t>portion of th</w:t>
      </w:r>
      <w:r>
        <w:t>e Total Project Costs funded from the Project Credits</w:t>
      </w:r>
      <w:r>
        <w:t xml:space="preserve"> during such </w:t>
      </w:r>
      <w:r>
        <w:t xml:space="preserve">month </w:t>
      </w:r>
      <w:r>
        <w:t xml:space="preserve">by </w:t>
      </w:r>
      <w:r>
        <w:t>one-twelfth (1/12</w:t>
      </w:r>
      <w:r>
        <w:rPr>
          <w:vertAlign w:val="superscript"/>
        </w:rPr>
        <w:t>th</w:t>
      </w:r>
      <w:r>
        <w:t>) of the rate of inflation as measured by the United States Gross Domestic Product Deflator prepared by the Bureau of Economic Analysis of the United States Depar</w:t>
      </w:r>
      <w:r>
        <w:t>tment of Commerce for the most recent twelve month period for which such information is available</w:t>
      </w:r>
      <w:r>
        <w:t>.</w:t>
      </w:r>
      <w:r>
        <w:t xml:space="preserve"> </w:t>
      </w:r>
    </w:p>
    <w:p w:rsidR="00A24542" w:rsidRDefault="00FA3DC7" w:rsidP="00353D93">
      <w:pPr>
        <w:tabs>
          <w:tab w:val="num" w:pos="2160"/>
        </w:tabs>
        <w:ind w:left="2160" w:hanging="720"/>
        <w:jc w:val="both"/>
      </w:pPr>
    </w:p>
    <w:p w:rsidR="009519F4" w:rsidRDefault="00FA3DC7" w:rsidP="00353D93">
      <w:pPr>
        <w:tabs>
          <w:tab w:val="num" w:pos="2160"/>
        </w:tabs>
        <w:ind w:left="2160"/>
        <w:jc w:val="both"/>
      </w:pPr>
      <w:r>
        <w:t>The Total Project Cost shall equal the sum of:</w:t>
      </w:r>
    </w:p>
    <w:p w:rsidR="009519F4" w:rsidRDefault="00FA3DC7" w:rsidP="009519F4">
      <w:pPr>
        <w:ind w:left="1440"/>
      </w:pPr>
    </w:p>
    <w:p w:rsidR="009519F4" w:rsidRPr="008F71B6" w:rsidRDefault="00FA3DC7" w:rsidP="009519F4">
      <w:pPr>
        <w:numPr>
          <w:ilvl w:val="1"/>
          <w:numId w:val="27"/>
        </w:numPr>
        <w:jc w:val="both"/>
      </w:pPr>
      <w:r w:rsidRPr="00B42E37">
        <w:t xml:space="preserve">all costs initially incurred by Niagara Mohawk and </w:t>
      </w:r>
      <w:r>
        <w:t>reimbursed</w:t>
      </w:r>
      <w:r w:rsidRPr="00B42E37">
        <w:t xml:space="preserve"> by the Power Authority</w:t>
      </w:r>
      <w:r>
        <w:t>,</w:t>
      </w:r>
      <w:r w:rsidRPr="00B42E37">
        <w:t xml:space="preserve"> as set forth in </w:t>
      </w:r>
      <w:r w:rsidRPr="008F71B6">
        <w:t>parag</w:t>
      </w:r>
      <w:r w:rsidRPr="008F71B6">
        <w:t xml:space="preserve">raphs </w:t>
      </w:r>
      <w:r>
        <w:t>B</w:t>
      </w:r>
      <w:r>
        <w:t>.</w:t>
      </w:r>
      <w:r>
        <w:t>5</w:t>
      </w:r>
      <w:r>
        <w:t xml:space="preserve"> and</w:t>
      </w:r>
      <w:r w:rsidRPr="008F71B6">
        <w:t xml:space="preserve"> </w:t>
      </w:r>
      <w:r>
        <w:t>B</w:t>
      </w:r>
      <w:r>
        <w:t>.</w:t>
      </w:r>
      <w:r>
        <w:t>7</w:t>
      </w:r>
      <w:r w:rsidRPr="008F71B6">
        <w:t xml:space="preserve">, but excepting those costs excluded from the Total Project Cost by paragraphs </w:t>
      </w:r>
      <w:r>
        <w:t>B</w:t>
      </w:r>
      <w:r>
        <w:t>.</w:t>
      </w:r>
      <w:r>
        <w:t>7</w:t>
      </w:r>
      <w:r w:rsidRPr="008F71B6">
        <w:t xml:space="preserve"> </w:t>
      </w:r>
      <w:r>
        <w:t>B.</w:t>
      </w:r>
      <w:r>
        <w:t>10,</w:t>
      </w:r>
      <w:r>
        <w:t xml:space="preserve"> </w:t>
      </w:r>
      <w:r w:rsidRPr="008F71B6">
        <w:t xml:space="preserve">and </w:t>
      </w:r>
      <w:r>
        <w:t>B</w:t>
      </w:r>
      <w:r>
        <w:t>.</w:t>
      </w:r>
      <w:r w:rsidRPr="008F71B6">
        <w:t>1</w:t>
      </w:r>
      <w:r>
        <w:t>8</w:t>
      </w:r>
      <w:r w:rsidRPr="008F71B6">
        <w:t>; and</w:t>
      </w:r>
    </w:p>
    <w:p w:rsidR="009519F4" w:rsidRPr="00B42E37" w:rsidRDefault="00FA3DC7" w:rsidP="009519F4">
      <w:pPr>
        <w:ind w:left="2160"/>
      </w:pPr>
    </w:p>
    <w:p w:rsidR="009519F4" w:rsidRDefault="00FA3DC7" w:rsidP="00B42E37">
      <w:pPr>
        <w:numPr>
          <w:ilvl w:val="1"/>
          <w:numId w:val="27"/>
        </w:numPr>
        <w:jc w:val="both"/>
      </w:pPr>
      <w:r w:rsidRPr="00B42E37">
        <w:t>all costs</w:t>
      </w:r>
      <w:r>
        <w:t xml:space="preserve"> actually</w:t>
      </w:r>
      <w:r w:rsidRPr="00B42E37">
        <w:t xml:space="preserve"> incurred by the Power Authority with respect to the Project, including but not limited to, licensing, permitting, design, land acquisition, construction, insurance and all accumulated compounded financing costs incurred by the Power Authority in connectio</w:t>
      </w:r>
      <w:r w:rsidRPr="00B42E37">
        <w:t xml:space="preserve">n with the Project prior to the Transfer Date, </w:t>
      </w:r>
      <w:r w:rsidRPr="008F71B6">
        <w:t xml:space="preserve">but excepting those costs excluded from the Total Project Cost by paragraphs </w:t>
      </w:r>
      <w:r>
        <w:t>B</w:t>
      </w:r>
      <w:r>
        <w:t>.</w:t>
      </w:r>
      <w:r>
        <w:t>7</w:t>
      </w:r>
      <w:r w:rsidRPr="008F71B6">
        <w:t xml:space="preserve"> </w:t>
      </w:r>
      <w:r w:rsidRPr="008F71B6">
        <w:t xml:space="preserve">and </w:t>
      </w:r>
      <w:r>
        <w:t>B</w:t>
      </w:r>
      <w:r>
        <w:t>.</w:t>
      </w:r>
      <w:r w:rsidRPr="008F71B6">
        <w:t>1</w:t>
      </w:r>
      <w:r>
        <w:t>8</w:t>
      </w:r>
      <w:r>
        <w:t>.  The Power Authority’s actual costs shall include the Power Authority’s opportunity cost of capital on all funds actua</w:t>
      </w:r>
      <w:r>
        <w:t>lly expended by the Power Authority which are eligible for inclusion in the Total Project Costs, provided however that the Power Authority’s opportunity cost of capital with respect to any portion of the Total Project Cost funded by the Project Credits sha</w:t>
      </w:r>
      <w:r>
        <w:t>ll not be included in the Total Project Cost</w:t>
      </w:r>
      <w:r w:rsidRPr="008F71B6">
        <w:t>;</w:t>
      </w:r>
      <w:r w:rsidRPr="00B42E37">
        <w:t xml:space="preserve"> and</w:t>
      </w:r>
    </w:p>
    <w:p w:rsidR="007E326B" w:rsidRDefault="00FA3DC7" w:rsidP="007E326B">
      <w:pPr>
        <w:jc w:val="both"/>
      </w:pPr>
    </w:p>
    <w:p w:rsidR="007E326B" w:rsidRPr="00B42E37" w:rsidRDefault="00FA3DC7" w:rsidP="00B42E37">
      <w:pPr>
        <w:numPr>
          <w:ilvl w:val="1"/>
          <w:numId w:val="27"/>
        </w:numPr>
        <w:jc w:val="both"/>
      </w:pPr>
      <w:r>
        <w:t>any cost increases eligible for inclusion in Total Project Costs, as provided in paragraph B.7; any insurance costs, as provided in paragraph B.18.b(ii); or any Excess Costs as defined in paragraph B.18.c.</w:t>
      </w:r>
    </w:p>
    <w:p w:rsidR="00CC7D7C" w:rsidRDefault="00FA3DC7" w:rsidP="00CC7D7C">
      <w:pPr>
        <w:ind w:left="2160"/>
        <w:jc w:val="both"/>
      </w:pPr>
    </w:p>
    <w:p w:rsidR="00CC7D7C" w:rsidRDefault="00FA3DC7" w:rsidP="00FC380F">
      <w:pPr>
        <w:ind w:left="2160" w:hanging="720"/>
        <w:jc w:val="both"/>
      </w:pPr>
      <w:r>
        <w:t>7.</w:t>
      </w:r>
      <w:r>
        <w:tab/>
      </w:r>
      <w:r>
        <w:t>O</w:t>
      </w:r>
      <w:r>
        <w:t xml:space="preserve">ne-half of any </w:t>
      </w:r>
      <w:r>
        <w:t>increase in the cost of the New Line</w:t>
      </w:r>
      <w:r>
        <w:t xml:space="preserve"> above the $</w:t>
      </w:r>
      <w:r>
        <w:t> </w:t>
      </w:r>
      <w:r>
        <w:t>15.8</w:t>
      </w:r>
      <w:r>
        <w:t xml:space="preserve"> </w:t>
      </w:r>
      <w:r>
        <w:t>million estimate</w:t>
      </w:r>
      <w:r>
        <w:t xml:space="preserve"> </w:t>
      </w:r>
      <w:r>
        <w:t xml:space="preserve">shown on Exhibit </w:t>
      </w:r>
      <w:r>
        <w:t>A</w:t>
      </w:r>
      <w:r>
        <w:t xml:space="preserve"> </w:t>
      </w:r>
      <w:r>
        <w:t>shall be included in the Total Project Cost</w:t>
      </w:r>
      <w:r>
        <w:t>.</w:t>
      </w:r>
      <w:r>
        <w:t xml:space="preserve"> </w:t>
      </w:r>
      <w:r>
        <w:t xml:space="preserve"> </w:t>
      </w:r>
      <w:r>
        <w:t>The Power Authority</w:t>
      </w:r>
      <w:r>
        <w:t xml:space="preserve"> shall be responsible for carrying </w:t>
      </w:r>
      <w:r>
        <w:t>the</w:t>
      </w:r>
      <w:r>
        <w:t xml:space="preserve"> portion</w:t>
      </w:r>
      <w:r>
        <w:t xml:space="preserve"> of </w:t>
      </w:r>
      <w:r>
        <w:t>any such</w:t>
      </w:r>
      <w:r>
        <w:t xml:space="preserve"> </w:t>
      </w:r>
      <w:r>
        <w:t xml:space="preserve">increases </w:t>
      </w:r>
      <w:r>
        <w:t xml:space="preserve">in the cost of </w:t>
      </w:r>
      <w:r>
        <w:t>the New Line</w:t>
      </w:r>
      <w:r>
        <w:t xml:space="preserve"> </w:t>
      </w:r>
      <w:r>
        <w:t xml:space="preserve">that are </w:t>
      </w:r>
      <w:r>
        <w:t>includable</w:t>
      </w:r>
      <w:r>
        <w:t xml:space="preserve"> in the </w:t>
      </w:r>
      <w:r>
        <w:t xml:space="preserve">Total </w:t>
      </w:r>
      <w:r>
        <w:t xml:space="preserve">Project Cost </w:t>
      </w:r>
      <w:r>
        <w:t xml:space="preserve">until </w:t>
      </w:r>
      <w:r>
        <w:t>the transfer of the Project to Niagara Mohawk</w:t>
      </w:r>
      <w:r>
        <w:t xml:space="preserve">, whereupon Niagara Mohawk will reimburse </w:t>
      </w:r>
      <w:r>
        <w:t>t</w:t>
      </w:r>
      <w:r>
        <w:t>he Power Authority</w:t>
      </w:r>
      <w:r>
        <w:t xml:space="preserve"> for such costs, inclusive of any carrying costs associated therewith</w:t>
      </w:r>
      <w:r>
        <w:t xml:space="preserve"> </w:t>
      </w:r>
      <w:r>
        <w:t>as specified in paragraph B.</w:t>
      </w:r>
      <w:r>
        <w:t>6</w:t>
      </w:r>
      <w:r>
        <w:t xml:space="preserve"> of this Agreement</w:t>
      </w:r>
      <w:r>
        <w:t xml:space="preserve">.  </w:t>
      </w:r>
      <w:r>
        <w:t xml:space="preserve">The </w:t>
      </w:r>
      <w:r>
        <w:t>remaining portion</w:t>
      </w:r>
      <w:r>
        <w:t xml:space="preserve"> of </w:t>
      </w:r>
      <w:r>
        <w:t>any</w:t>
      </w:r>
      <w:r>
        <w:t xml:space="preserve"> cost</w:t>
      </w:r>
      <w:r>
        <w:t xml:space="preserve"> </w:t>
      </w:r>
      <w:r>
        <w:t xml:space="preserve">increases </w:t>
      </w:r>
      <w:r>
        <w:t xml:space="preserve">associated with the New Line shall </w:t>
      </w:r>
      <w:r>
        <w:t>not be included in the Total Project Cost, but shall</w:t>
      </w:r>
      <w:r>
        <w:t xml:space="preserve"> </w:t>
      </w:r>
      <w:r>
        <w:t xml:space="preserve">be </w:t>
      </w:r>
      <w:r>
        <w:t>absorbed by the Power Authority</w:t>
      </w:r>
      <w:r>
        <w:t xml:space="preserve"> and shall not be charged to Lake Placid</w:t>
      </w:r>
      <w:r>
        <w:t xml:space="preserve"> or Tupper Lake</w:t>
      </w:r>
      <w:r>
        <w:t>.</w:t>
      </w:r>
      <w:r>
        <w:t xml:space="preserve"> </w:t>
      </w:r>
      <w:r>
        <w:t xml:space="preserve"> </w:t>
      </w:r>
      <w:r>
        <w:t xml:space="preserve">Niagara Mohawk shall be solely responsible for </w:t>
      </w:r>
      <w:r>
        <w:t xml:space="preserve">any </w:t>
      </w:r>
      <w:r>
        <w:t xml:space="preserve">cost </w:t>
      </w:r>
      <w:r>
        <w:t xml:space="preserve">increases </w:t>
      </w:r>
      <w:r>
        <w:t>associated with the SVCs</w:t>
      </w:r>
      <w:r>
        <w:t xml:space="preserve"> and such amounts shall be included in the Total Project Cost</w:t>
      </w:r>
      <w:r>
        <w:t xml:space="preserve">.  </w:t>
      </w:r>
      <w:r>
        <w:t>Subject to the last sentence of Paragraph B.</w:t>
      </w:r>
      <w:r>
        <w:t>5</w:t>
      </w:r>
      <w:r>
        <w:t xml:space="preserve"> of this Agreement, n</w:t>
      </w:r>
      <w:r>
        <w:t>othing contained i</w:t>
      </w:r>
      <w:r>
        <w:t xml:space="preserve">n this </w:t>
      </w:r>
      <w:r>
        <w:t>Agreement</w:t>
      </w:r>
      <w:r>
        <w:t xml:space="preserve"> shall limit </w:t>
      </w:r>
      <w:r>
        <w:t>Niagara Mohawk’s</w:t>
      </w:r>
      <w:r>
        <w:t xml:space="preserve"> ability to </w:t>
      </w:r>
      <w:r>
        <w:t xml:space="preserve">recover </w:t>
      </w:r>
      <w:r>
        <w:t xml:space="preserve">any </w:t>
      </w:r>
      <w:r>
        <w:t xml:space="preserve">cost </w:t>
      </w:r>
      <w:r>
        <w:t>increases assigned to it under this Agreement</w:t>
      </w:r>
      <w:r>
        <w:t xml:space="preserve">, </w:t>
      </w:r>
      <w:r>
        <w:t>including without limitation</w:t>
      </w:r>
      <w:r>
        <w:t xml:space="preserve"> all applicable overheads, </w:t>
      </w:r>
      <w:r>
        <w:t>in its rates for retail or wholesale services</w:t>
      </w:r>
      <w:r>
        <w:t xml:space="preserve">. </w:t>
      </w:r>
    </w:p>
    <w:p w:rsidR="004567A7" w:rsidRDefault="00FA3DC7">
      <w:pPr>
        <w:ind w:left="1440"/>
        <w:jc w:val="both"/>
      </w:pPr>
    </w:p>
    <w:p w:rsidR="004567A7" w:rsidRDefault="00FA3DC7" w:rsidP="00FC380F">
      <w:pPr>
        <w:ind w:left="2160" w:hanging="720"/>
        <w:jc w:val="both"/>
      </w:pPr>
      <w:r>
        <w:rPr>
          <w:szCs w:val="24"/>
        </w:rPr>
        <w:t>8.</w:t>
      </w:r>
      <w:r>
        <w:rPr>
          <w:szCs w:val="24"/>
        </w:rPr>
        <w:tab/>
      </w:r>
      <w:r>
        <w:rPr>
          <w:szCs w:val="24"/>
        </w:rPr>
        <w:t xml:space="preserve">In recognition of the facts that (a) the New Line and the SVCs will be initially owned by </w:t>
      </w:r>
      <w:r>
        <w:rPr>
          <w:szCs w:val="24"/>
        </w:rPr>
        <w:t>t</w:t>
      </w:r>
      <w:r>
        <w:rPr>
          <w:szCs w:val="24"/>
        </w:rPr>
        <w:t>he Power Authority</w:t>
      </w:r>
      <w:r>
        <w:rPr>
          <w:szCs w:val="24"/>
        </w:rPr>
        <w:t>, and (b) Niagara Mohawk will be liable for applicable sales taxes</w:t>
      </w:r>
      <w:r>
        <w:rPr>
          <w:szCs w:val="24"/>
        </w:rPr>
        <w:t xml:space="preserve"> pursuant to </w:t>
      </w:r>
      <w:r>
        <w:rPr>
          <w:szCs w:val="24"/>
        </w:rPr>
        <w:t>its agreement(s) with its vendor(s)</w:t>
      </w:r>
      <w:r>
        <w:rPr>
          <w:szCs w:val="24"/>
        </w:rPr>
        <w:t xml:space="preserve">, the Parties agree to work to </w:t>
      </w:r>
      <w:r>
        <w:rPr>
          <w:szCs w:val="24"/>
        </w:rPr>
        <w:t>structure the various transactions and procurements required for the Project to minimize, consistent with the law and the parties' respective policies and procedures, the state and local sales taxes included in the overall Project cost.</w:t>
      </w:r>
    </w:p>
    <w:p w:rsidR="00CC7D7C" w:rsidRDefault="00FA3DC7" w:rsidP="00CC7D7C">
      <w:pPr>
        <w:ind w:left="1440"/>
        <w:jc w:val="both"/>
      </w:pPr>
    </w:p>
    <w:p w:rsidR="00A82DC0" w:rsidRDefault="00FA3DC7" w:rsidP="00FC380F">
      <w:pPr>
        <w:ind w:left="2070" w:hanging="630"/>
        <w:jc w:val="both"/>
      </w:pPr>
      <w:r>
        <w:t>9.</w:t>
      </w:r>
      <w:r>
        <w:tab/>
      </w:r>
      <w:r>
        <w:t xml:space="preserve">The respective </w:t>
      </w:r>
      <w:r>
        <w:t>contributions of each of the Villages to the Project Credits</w:t>
      </w:r>
      <w:r>
        <w:t xml:space="preserve"> shall be amortized </w:t>
      </w:r>
      <w:r>
        <w:t xml:space="preserve">by </w:t>
      </w:r>
      <w:r>
        <w:t>the Power Authority</w:t>
      </w:r>
      <w:r>
        <w:t xml:space="preserve"> over a period of twenty (20) years and collected by </w:t>
      </w:r>
      <w:r>
        <w:t>the Power Authority</w:t>
      </w:r>
      <w:r>
        <w:t xml:space="preserve"> as a monthly surcharge on each Village’s </w:t>
      </w:r>
      <w:r>
        <w:t>Power Authority wholesale</w:t>
      </w:r>
      <w:r>
        <w:t xml:space="preserve"> power bill</w:t>
      </w:r>
      <w:r>
        <w:t xml:space="preserve"> or </w:t>
      </w:r>
      <w:r>
        <w:t>by separate bill, as appropriate</w:t>
      </w:r>
      <w:r>
        <w:t xml:space="preserve">. </w:t>
      </w:r>
      <w:r>
        <w:t xml:space="preserve"> </w:t>
      </w:r>
      <w:r>
        <w:t>The monthly payments</w:t>
      </w:r>
      <w:r>
        <w:t>, which shall begin upon the receipt of the final major licenses and permits for the Project,</w:t>
      </w:r>
      <w:r>
        <w:t xml:space="preserve"> shall be set to be sufficient to reimburse </w:t>
      </w:r>
      <w:r>
        <w:t xml:space="preserve">the Power Authority </w:t>
      </w:r>
      <w:r>
        <w:t xml:space="preserve">for the principal amount of each Village’s </w:t>
      </w:r>
      <w:r>
        <w:t>p</w:t>
      </w:r>
      <w:r>
        <w:t>ortion of the Project Credits as set forth in Paragraph B.</w:t>
      </w:r>
      <w:r>
        <w:t>6</w:t>
      </w:r>
      <w:r>
        <w:t xml:space="preserve"> </w:t>
      </w:r>
      <w:r>
        <w:t>(as increased prior to expenditure as set forth in paragraph B.</w:t>
      </w:r>
      <w:r>
        <w:t>6</w:t>
      </w:r>
      <w:r>
        <w:t xml:space="preserve">) </w:t>
      </w:r>
      <w:r>
        <w:t xml:space="preserve">plus all accumulated compounded financing costs incurred by </w:t>
      </w:r>
      <w:r>
        <w:t>the Power Authority</w:t>
      </w:r>
      <w:r>
        <w:t xml:space="preserve"> (including </w:t>
      </w:r>
      <w:r>
        <w:t>the Power Authority</w:t>
      </w:r>
      <w:r>
        <w:t xml:space="preserve">’s opportunity cost </w:t>
      </w:r>
      <w:r>
        <w:t>of capital in the case of internal financing) with respect to such amounts.</w:t>
      </w:r>
      <w:r>
        <w:t xml:space="preserve"> </w:t>
      </w:r>
    </w:p>
    <w:p w:rsidR="007F2452" w:rsidRDefault="00FA3DC7" w:rsidP="007A20B3">
      <w:pPr>
        <w:ind w:left="2160"/>
        <w:jc w:val="both"/>
      </w:pPr>
    </w:p>
    <w:p w:rsidR="007E3156" w:rsidRDefault="00FA3DC7" w:rsidP="00FC380F">
      <w:pPr>
        <w:tabs>
          <w:tab w:val="left" w:pos="2160"/>
        </w:tabs>
        <w:ind w:left="2160" w:hanging="720"/>
        <w:jc w:val="both"/>
      </w:pPr>
      <w:r>
        <w:t>10.</w:t>
      </w:r>
      <w:r>
        <w:tab/>
        <w:t xml:space="preserve">At all times before and after </w:t>
      </w:r>
      <w:r>
        <w:t>the Transfer Date</w:t>
      </w:r>
      <w:r>
        <w:t>, Niagara Mohawk shall be solely responsible for the operation</w:t>
      </w:r>
      <w:r>
        <w:t xml:space="preserve">, </w:t>
      </w:r>
      <w:r>
        <w:t>maintenance</w:t>
      </w:r>
      <w:r>
        <w:t xml:space="preserve"> and repair</w:t>
      </w:r>
      <w:r>
        <w:t xml:space="preserve"> of the Project</w:t>
      </w:r>
      <w:r>
        <w:t>, provided, however that n</w:t>
      </w:r>
      <w:r>
        <w:t xml:space="preserve">othing contained in </w:t>
      </w:r>
      <w:r>
        <w:t>this Agreement</w:t>
      </w:r>
      <w:r>
        <w:t xml:space="preserve"> shall limit </w:t>
      </w:r>
      <w:r>
        <w:t xml:space="preserve">either: (a) </w:t>
      </w:r>
      <w:r>
        <w:t xml:space="preserve">Niagara Mohawk’s right to recover </w:t>
      </w:r>
      <w:r>
        <w:t xml:space="preserve">the </w:t>
      </w:r>
      <w:r>
        <w:t xml:space="preserve">costs </w:t>
      </w:r>
      <w:r>
        <w:t>of operating</w:t>
      </w:r>
      <w:r>
        <w:t>,</w:t>
      </w:r>
      <w:r>
        <w:t xml:space="preserve"> maintaining</w:t>
      </w:r>
      <w:r>
        <w:t>, and repairing</w:t>
      </w:r>
      <w:r>
        <w:t xml:space="preserve"> the Project</w:t>
      </w:r>
      <w:r>
        <w:t>, inclusive of applicable overheads,</w:t>
      </w:r>
      <w:r>
        <w:t xml:space="preserve"> </w:t>
      </w:r>
      <w:r>
        <w:t>in its rates for</w:t>
      </w:r>
      <w:r>
        <w:t xml:space="preserve"> </w:t>
      </w:r>
      <w:r>
        <w:t>retail or wholesale service</w:t>
      </w:r>
      <w:r>
        <w:t xml:space="preserve">; or (b) Niagara </w:t>
      </w:r>
      <w:r>
        <w:t>Mohawk’s right to turn over operational control of the facilities constituting the Project to the New York Independent System Operator, Inc. (“NYISO”)</w:t>
      </w:r>
      <w:r>
        <w:t>.</w:t>
      </w:r>
    </w:p>
    <w:p w:rsidR="00AD0FAA" w:rsidRDefault="00FA3DC7" w:rsidP="00A34EB7">
      <w:pPr>
        <w:pStyle w:val="BodyText"/>
        <w:ind w:left="1440"/>
      </w:pPr>
    </w:p>
    <w:p w:rsidR="00B929A9" w:rsidRDefault="00FA3DC7" w:rsidP="00FC380F">
      <w:pPr>
        <w:pStyle w:val="BodyText"/>
        <w:ind w:left="2160" w:hanging="720"/>
      </w:pPr>
      <w:r>
        <w:t>11.</w:t>
      </w:r>
      <w:r>
        <w:tab/>
      </w:r>
      <w:r>
        <w:t>Tupper Lake and Lake Placid</w:t>
      </w:r>
      <w:r>
        <w:t xml:space="preserve"> agree that </w:t>
      </w:r>
      <w:r>
        <w:t xml:space="preserve">they will be </w:t>
      </w:r>
      <w:r>
        <w:t>solely responsible for any and all costs of rec</w:t>
      </w:r>
      <w:r>
        <w:t>onfiguring the</w:t>
      </w:r>
      <w:r>
        <w:t xml:space="preserve">ir respective systems </w:t>
      </w:r>
      <w:r>
        <w:t xml:space="preserve">to accommodate the </w:t>
      </w:r>
      <w:r>
        <w:t>Project</w:t>
      </w:r>
      <w:r>
        <w:t xml:space="preserve">, </w:t>
      </w:r>
      <w:r>
        <w:t>which amounts shall not be included in the Total Project Cost.  N</w:t>
      </w:r>
      <w:r>
        <w:t xml:space="preserve">othing contained in </w:t>
      </w:r>
      <w:r>
        <w:t>this Agreement</w:t>
      </w:r>
      <w:r>
        <w:t xml:space="preserve"> shall </w:t>
      </w:r>
      <w:r>
        <w:t xml:space="preserve">limit the </w:t>
      </w:r>
      <w:r>
        <w:t>Villages’</w:t>
      </w:r>
      <w:r>
        <w:t xml:space="preserve"> right</w:t>
      </w:r>
      <w:r>
        <w:t xml:space="preserve"> to recover such costs</w:t>
      </w:r>
      <w:r>
        <w:t>, inclusive of all applicable overheads</w:t>
      </w:r>
      <w:r>
        <w:t>,</w:t>
      </w:r>
      <w:r>
        <w:t xml:space="preserve"> from </w:t>
      </w:r>
      <w:r>
        <w:t>their customers</w:t>
      </w:r>
      <w:r>
        <w:t>.</w:t>
      </w:r>
    </w:p>
    <w:p w:rsidR="00AD0FAA" w:rsidRDefault="00FA3DC7" w:rsidP="00A34EB7">
      <w:pPr>
        <w:pStyle w:val="BodyText"/>
        <w:ind w:left="1440"/>
      </w:pPr>
    </w:p>
    <w:p w:rsidR="001213A3" w:rsidRDefault="00FA3DC7" w:rsidP="00FC380F">
      <w:pPr>
        <w:pStyle w:val="BodyText"/>
        <w:ind w:left="2160" w:hanging="720"/>
      </w:pPr>
      <w:r>
        <w:t>12.</w:t>
      </w:r>
      <w:r>
        <w:tab/>
      </w:r>
      <w:r>
        <w:t xml:space="preserve">At all times before and after </w:t>
      </w:r>
      <w:r>
        <w:t>the Transfer Date</w:t>
      </w:r>
      <w:r>
        <w:t xml:space="preserve">, </w:t>
      </w:r>
      <w:r>
        <w:t xml:space="preserve">electricity delivered by NYISO in whole or in part from or through the Facilities to serve load in </w:t>
      </w:r>
      <w:r>
        <w:t>Niagara Mohawk</w:t>
      </w:r>
      <w:r>
        <w:t xml:space="preserve">’s Transmission District or for export from the New York Control </w:t>
      </w:r>
      <w:r>
        <w:t xml:space="preserve">Area shall be subject </w:t>
      </w:r>
      <w:r>
        <w:t xml:space="preserve">to </w:t>
      </w:r>
      <w:r>
        <w:t>Niagara Mohawk</w:t>
      </w:r>
      <w:r>
        <w:t xml:space="preserve">’s retail or wholesale TSC under NYISO’s Open Access Transmission Tariff (“OATT”) to the </w:t>
      </w:r>
      <w:r>
        <w:t>full</w:t>
      </w:r>
      <w:r>
        <w:t xml:space="preserve"> extent authorized by the NYISO OATT.  </w:t>
      </w:r>
      <w:r>
        <w:t>Niagara Mohawk</w:t>
      </w:r>
      <w:r>
        <w:t xml:space="preserve"> shall not be required to make an</w:t>
      </w:r>
      <w:r>
        <w:t>y</w:t>
      </w:r>
      <w:r>
        <w:t xml:space="preserve"> payment to </w:t>
      </w:r>
      <w:r>
        <w:t>the Power Authority</w:t>
      </w:r>
      <w:r>
        <w:t xml:space="preserve"> in co</w:t>
      </w:r>
      <w:r>
        <w:t xml:space="preserve">nnection with any such withdrawal to serve load or export other than the </w:t>
      </w:r>
      <w:r>
        <w:t>NYPA</w:t>
      </w:r>
      <w:r>
        <w:t xml:space="preserve"> </w:t>
      </w:r>
      <w:r>
        <w:t>Transmission Adjustment Charge established in the NYISO OATT.</w:t>
      </w:r>
      <w:r>
        <w:t xml:space="preserve"> </w:t>
      </w:r>
      <w:r>
        <w:t xml:space="preserve"> </w:t>
      </w:r>
    </w:p>
    <w:p w:rsidR="00D63F59" w:rsidRDefault="00FA3DC7" w:rsidP="00A34EB7">
      <w:pPr>
        <w:pStyle w:val="BodyText"/>
        <w:ind w:left="1440"/>
      </w:pPr>
    </w:p>
    <w:p w:rsidR="00D63F59" w:rsidRDefault="00FA3DC7" w:rsidP="00353D93">
      <w:pPr>
        <w:pStyle w:val="BodyText"/>
        <w:ind w:left="2160" w:hanging="720"/>
      </w:pPr>
      <w:r>
        <w:t>1</w:t>
      </w:r>
      <w:r>
        <w:t>3</w:t>
      </w:r>
      <w:r>
        <w:t>.</w:t>
      </w:r>
      <w:r>
        <w:tab/>
        <w:t>Nothing in th</w:t>
      </w:r>
      <w:r>
        <w:t>is Agreement</w:t>
      </w:r>
      <w:r>
        <w:t xml:space="preserve"> shall absolve the Power Authority of its </w:t>
      </w:r>
      <w:r>
        <w:t>responsibility to pay the rates establishe</w:t>
      </w:r>
      <w:r>
        <w:t xml:space="preserve">d in </w:t>
      </w:r>
      <w:r>
        <w:t>RS 204 and/or the NYISO OATT</w:t>
      </w:r>
      <w:r>
        <w:t>, as applicable, for service to its municipal customers</w:t>
      </w:r>
      <w:r>
        <w:t>, which amounts shall not be included in the Total Project Cost</w:t>
      </w:r>
      <w:r>
        <w:t>.</w:t>
      </w:r>
    </w:p>
    <w:p w:rsidR="001F2969" w:rsidRDefault="00FA3DC7" w:rsidP="001F2969">
      <w:pPr>
        <w:pStyle w:val="BodyText"/>
      </w:pPr>
    </w:p>
    <w:p w:rsidR="00B42E37" w:rsidRDefault="00FA3DC7" w:rsidP="00353D93">
      <w:pPr>
        <w:pStyle w:val="BodyText"/>
        <w:ind w:left="2160" w:hanging="720"/>
      </w:pPr>
      <w:r>
        <w:t>1</w:t>
      </w:r>
      <w:r>
        <w:t>4</w:t>
      </w:r>
      <w:r>
        <w:t>.</w:t>
      </w:r>
      <w:r>
        <w:tab/>
      </w:r>
      <w:r>
        <w:t xml:space="preserve">The Power Authority, Niagara Mohawk, Lake Placid and Tupper Lake agree to work cooperatively with respect to their licensing, permitting and land acquisition activities associated with the construction of the Project.   </w:t>
      </w:r>
    </w:p>
    <w:p w:rsidR="00EE0AF9" w:rsidRDefault="00FA3DC7" w:rsidP="00A34EB7">
      <w:pPr>
        <w:pStyle w:val="BodyText"/>
        <w:ind w:left="1440"/>
      </w:pPr>
    </w:p>
    <w:p w:rsidR="00EE0AF9" w:rsidRDefault="00FA3DC7" w:rsidP="00353D93">
      <w:pPr>
        <w:pStyle w:val="BodyText"/>
        <w:ind w:left="2160" w:hanging="720"/>
      </w:pPr>
      <w:r>
        <w:t>1</w:t>
      </w:r>
      <w:r>
        <w:t>5</w:t>
      </w:r>
      <w:r>
        <w:t>.</w:t>
      </w:r>
      <w:r>
        <w:tab/>
      </w:r>
      <w:r>
        <w:t>This Agreement</w:t>
      </w:r>
      <w:r>
        <w:t xml:space="preserve"> </w:t>
      </w:r>
      <w:r>
        <w:t>shall be</w:t>
      </w:r>
      <w:r>
        <w:t xml:space="preserve"> </w:t>
      </w:r>
      <w:r>
        <w:t xml:space="preserve">not </w:t>
      </w:r>
      <w:r>
        <w:t>become effective unless the New York State Department of Pu</w:t>
      </w:r>
      <w:r>
        <w:t>b</w:t>
      </w:r>
      <w:r>
        <w:t xml:space="preserve">lic Service </w:t>
      </w:r>
      <w:r>
        <w:t xml:space="preserve">(“DPS”) </w:t>
      </w:r>
      <w:r>
        <w:t xml:space="preserve">files comments in support thereof </w:t>
      </w:r>
      <w:r>
        <w:t>with the Federal Energy Regulatory Commission (“</w:t>
      </w:r>
      <w:r>
        <w:t>FERC</w:t>
      </w:r>
      <w:r>
        <w:t>”)</w:t>
      </w:r>
      <w:r>
        <w:t xml:space="preserve">.  </w:t>
      </w:r>
    </w:p>
    <w:p w:rsidR="00EE0AF9" w:rsidRDefault="00FA3DC7" w:rsidP="00A34EB7">
      <w:pPr>
        <w:pStyle w:val="BodyText"/>
        <w:ind w:left="1440"/>
      </w:pPr>
    </w:p>
    <w:p w:rsidR="00C01485" w:rsidRDefault="00FA3DC7" w:rsidP="00353D93">
      <w:pPr>
        <w:pStyle w:val="BodyText"/>
        <w:ind w:left="2160" w:hanging="720"/>
      </w:pPr>
      <w:r>
        <w:t>1</w:t>
      </w:r>
      <w:r>
        <w:t>6</w:t>
      </w:r>
      <w:r>
        <w:t>.</w:t>
      </w:r>
      <w:r>
        <w:tab/>
        <w:t xml:space="preserve">The Parties agree to </w:t>
      </w:r>
      <w:r>
        <w:t xml:space="preserve">terminate the portion of </w:t>
      </w:r>
      <w:r>
        <w:t>Niagara Mohawk</w:t>
      </w:r>
      <w:r>
        <w:t>’s</w:t>
      </w:r>
      <w:r>
        <w:t xml:space="preserve"> current “grandfa</w:t>
      </w:r>
      <w:r>
        <w:t xml:space="preserve">thered” wheeling agreement </w:t>
      </w:r>
      <w:r>
        <w:t xml:space="preserve">with the Power Authority </w:t>
      </w:r>
      <w:r>
        <w:t xml:space="preserve">under RS 204 </w:t>
      </w:r>
      <w:r>
        <w:t xml:space="preserve">as it relates to the </w:t>
      </w:r>
      <w:r>
        <w:t xml:space="preserve">delivery of Power Authority power to Tupper Lake and Lake Placid </w:t>
      </w:r>
      <w:r>
        <w:t xml:space="preserve">and to convert such deliveries </w:t>
      </w:r>
      <w:r>
        <w:t>to the NYISO OATT in accordance with an agreement for such conversion to b</w:t>
      </w:r>
      <w:r>
        <w:t xml:space="preserve">e negotiated by the Parties.  The Power Authority will also consent to the </w:t>
      </w:r>
      <w:r>
        <w:t xml:space="preserve">termination </w:t>
      </w:r>
      <w:r>
        <w:t xml:space="preserve">of its grandfathered wheeling agreement with the Villages to the NYISO OATT.  </w:t>
      </w:r>
      <w:r>
        <w:t>T</w:t>
      </w:r>
      <w:r>
        <w:t xml:space="preserve">he Villages will </w:t>
      </w:r>
      <w:r>
        <w:t xml:space="preserve">not </w:t>
      </w:r>
      <w:r>
        <w:t>be required to share any associated savings with either Niagara Mohaw</w:t>
      </w:r>
      <w:r>
        <w:t>k or the Power Authority</w:t>
      </w:r>
      <w:r>
        <w:t xml:space="preserve">, except as provided in paragraph </w:t>
      </w:r>
      <w:r>
        <w:t>B</w:t>
      </w:r>
      <w:r>
        <w:t>.</w:t>
      </w:r>
      <w:r>
        <w:t>17</w:t>
      </w:r>
      <w:r>
        <w:t xml:space="preserve"> below</w:t>
      </w:r>
      <w:r>
        <w:t>.</w:t>
      </w:r>
    </w:p>
    <w:p w:rsidR="004E1500" w:rsidRDefault="00FA3DC7" w:rsidP="00A34EB7">
      <w:pPr>
        <w:pStyle w:val="BodyText"/>
        <w:ind w:left="1440"/>
      </w:pPr>
    </w:p>
    <w:p w:rsidR="00163D04" w:rsidRDefault="00FA3DC7" w:rsidP="00353D93">
      <w:pPr>
        <w:pStyle w:val="BodyText"/>
        <w:ind w:left="2160" w:hanging="720"/>
      </w:pPr>
      <w:r>
        <w:t>1</w:t>
      </w:r>
      <w:r>
        <w:t>7</w:t>
      </w:r>
      <w:r>
        <w:t>.</w:t>
      </w:r>
      <w:r>
        <w:tab/>
        <w:t xml:space="preserve">The Parties agree </w:t>
      </w:r>
      <w:r>
        <w:t>to develop and implement</w:t>
      </w:r>
      <w:r>
        <w:t xml:space="preserve"> a targeted de</w:t>
      </w:r>
      <w:r>
        <w:t>mand-side management program</w:t>
      </w:r>
      <w:r>
        <w:t xml:space="preserve"> promp</w:t>
      </w:r>
      <w:r>
        <w:t>tly, using the resources of the Power Authority</w:t>
      </w:r>
      <w:r>
        <w:t xml:space="preserve"> and NYSERDA and in consultation with </w:t>
      </w:r>
      <w:r>
        <w:t xml:space="preserve">the </w:t>
      </w:r>
      <w:r>
        <w:t>Em</w:t>
      </w:r>
      <w:r>
        <w:t>pi</w:t>
      </w:r>
      <w:r>
        <w:t>re State Development</w:t>
      </w:r>
      <w:r>
        <w:t xml:space="preserve"> Corporation</w:t>
      </w:r>
      <w:r>
        <w:t>, in order to</w:t>
      </w:r>
      <w:r>
        <w:t xml:space="preserve"> minimize problems while the agreed-upon system upgrades are made and</w:t>
      </w:r>
      <w:r>
        <w:t xml:space="preserve"> to </w:t>
      </w:r>
      <w:r>
        <w:t>ensure</w:t>
      </w:r>
      <w:r>
        <w:t xml:space="preserve"> that </w:t>
      </w:r>
      <w:r>
        <w:t>electricity is u</w:t>
      </w:r>
      <w:r>
        <w:t>sed efficiently in the region over</w:t>
      </w:r>
      <w:r>
        <w:t xml:space="preserve"> the long term.</w:t>
      </w:r>
      <w:r>
        <w:t xml:space="preserve"> Lake Placid and Tupper Lake each agree to apply </w:t>
      </w:r>
      <w:r>
        <w:t xml:space="preserve">up to </w:t>
      </w:r>
      <w:r>
        <w:t xml:space="preserve">40% of the savings they receive </w:t>
      </w:r>
      <w:r>
        <w:t xml:space="preserve">through August 31, 2007 </w:t>
      </w:r>
      <w:r>
        <w:t xml:space="preserve">on account of the conversion of grandfathered wheeling agreements under paragraph </w:t>
      </w:r>
      <w:r>
        <w:t>B</w:t>
      </w:r>
      <w:r>
        <w:t>.</w:t>
      </w:r>
      <w:r>
        <w:t>1</w:t>
      </w:r>
      <w:r>
        <w:t>6</w:t>
      </w:r>
      <w:r>
        <w:t xml:space="preserve"> above to the cost of demand-side management</w:t>
      </w:r>
      <w:r>
        <w:t>, generation</w:t>
      </w:r>
      <w:r>
        <w:t xml:space="preserve"> and energy efficiency projects undertaken within their re</w:t>
      </w:r>
      <w:r>
        <w:t xml:space="preserve">spective service areas </w:t>
      </w:r>
      <w:r>
        <w:t xml:space="preserve">as provided in </w:t>
      </w:r>
      <w:r>
        <w:t>paragraph</w:t>
      </w:r>
      <w:r>
        <w:t xml:space="preserve"> </w:t>
      </w:r>
      <w:r>
        <w:t>A</w:t>
      </w:r>
      <w:r>
        <w:t>.</w:t>
      </w:r>
      <w:r>
        <w:t>2 herein.</w:t>
      </w:r>
    </w:p>
    <w:p w:rsidR="00BD0AC1" w:rsidRDefault="00FA3DC7" w:rsidP="00D076C6">
      <w:pPr>
        <w:pStyle w:val="BodyText"/>
        <w:ind w:left="1440"/>
      </w:pPr>
    </w:p>
    <w:p w:rsidR="00BF101F" w:rsidRDefault="00FA3DC7" w:rsidP="00353D93">
      <w:pPr>
        <w:pStyle w:val="BodyText"/>
        <w:ind w:left="1440"/>
      </w:pPr>
      <w:r>
        <w:t>1</w:t>
      </w:r>
      <w:r>
        <w:t>8</w:t>
      </w:r>
      <w:r>
        <w:t>.</w:t>
      </w:r>
      <w:r>
        <w:tab/>
        <w:t>Risk of loss shall be governed by the following:</w:t>
      </w:r>
    </w:p>
    <w:p w:rsidR="00BD0AC1" w:rsidRDefault="00FA3DC7" w:rsidP="00A34EB7">
      <w:pPr>
        <w:pStyle w:val="BodyText"/>
        <w:ind w:left="1440"/>
      </w:pPr>
    </w:p>
    <w:p w:rsidR="00BD0AC1" w:rsidRDefault="00FA3DC7" w:rsidP="00CC03F4">
      <w:pPr>
        <w:tabs>
          <w:tab w:val="left" w:pos="1080"/>
        </w:tabs>
        <w:ind w:left="2880" w:hanging="720"/>
      </w:pPr>
      <w:r>
        <w:t>a.</w:t>
      </w:r>
      <w:r>
        <w:tab/>
        <w:t>i.  Subject to the limitation set forth in subparagraph b.i below, Niagara Mohawk shall be responsible for all costs of Project repair and</w:t>
      </w:r>
      <w:r>
        <w:t xml:space="preserve"> replacement incurred prior to the Transfer Date that are classifiable as expense</w:t>
      </w:r>
      <w:r>
        <w:t>.</w:t>
      </w:r>
    </w:p>
    <w:p w:rsidR="00BD0AC1" w:rsidRDefault="00FA3DC7" w:rsidP="00BD0AC1">
      <w:pPr>
        <w:tabs>
          <w:tab w:val="left" w:pos="720"/>
          <w:tab w:val="left" w:pos="900"/>
        </w:tabs>
        <w:ind w:left="360"/>
      </w:pPr>
    </w:p>
    <w:p w:rsidR="00BD0AC1" w:rsidRDefault="00FA3DC7" w:rsidP="00CC03F4">
      <w:pPr>
        <w:tabs>
          <w:tab w:val="left" w:pos="900"/>
          <w:tab w:val="left" w:pos="2880"/>
        </w:tabs>
        <w:ind w:left="2880"/>
      </w:pPr>
      <w:r>
        <w:t>ii.</w:t>
      </w:r>
      <w:r>
        <w:t xml:space="preserve">  </w:t>
      </w:r>
      <w:r>
        <w:t>Subject to the limitations set forth in subparagraphs b.i and b.ii, below, Niagara Mohawk shall be responsible for all costs of Project repair and replacement incurred</w:t>
      </w:r>
      <w:r>
        <w:t xml:space="preserve"> prior to the Transfer Date that are classifiable as capital.  </w:t>
      </w:r>
    </w:p>
    <w:p w:rsidR="00BD0AC1" w:rsidRDefault="00FA3DC7" w:rsidP="00CC03F4">
      <w:pPr>
        <w:tabs>
          <w:tab w:val="left" w:pos="720"/>
          <w:tab w:val="left" w:pos="900"/>
        </w:tabs>
        <w:ind w:left="2880"/>
      </w:pPr>
    </w:p>
    <w:p w:rsidR="00BD0AC1" w:rsidRDefault="00FA3DC7" w:rsidP="00CC03F4">
      <w:pPr>
        <w:tabs>
          <w:tab w:val="left" w:pos="900"/>
          <w:tab w:val="left" w:pos="2790"/>
          <w:tab w:val="left" w:pos="2880"/>
        </w:tabs>
        <w:ind w:left="2880"/>
        <w:rPr>
          <w:b/>
          <w:i/>
        </w:rPr>
      </w:pPr>
      <w:r>
        <w:t>iii.</w:t>
      </w:r>
      <w:r>
        <w:t xml:space="preserve">  </w:t>
      </w:r>
      <w:r>
        <w:t>For the purposes of this Paragraph B.1</w:t>
      </w:r>
      <w:r>
        <w:t>8</w:t>
      </w:r>
      <w:r>
        <w:t>, the only cost classifications applicable to repairs or replacement are expense and capital. Cost classifications shall be determined in accordan</w:t>
      </w:r>
      <w:r>
        <w:t xml:space="preserve">ce with National Grid’s accounting standards in effect at the time of the failure or damage resulting in repair or replacement.  </w:t>
      </w:r>
    </w:p>
    <w:p w:rsidR="00BD0AC1" w:rsidRDefault="00FA3DC7" w:rsidP="00BD0AC1"/>
    <w:p w:rsidR="00BD0AC1" w:rsidRDefault="00FA3DC7" w:rsidP="00CC03F4">
      <w:pPr>
        <w:tabs>
          <w:tab w:val="left" w:pos="1080"/>
          <w:tab w:val="left" w:pos="2880"/>
        </w:tabs>
        <w:ind w:left="2880" w:hanging="720"/>
      </w:pPr>
      <w:r>
        <w:t>b.</w:t>
      </w:r>
      <w:r>
        <w:tab/>
        <w:t>i.</w:t>
      </w:r>
      <w:r>
        <w:t xml:space="preserve">  </w:t>
      </w:r>
      <w:r>
        <w:t xml:space="preserve">Niagara Mohawk shall assure that any contractor that is responsible for constructing a component of the Project shall </w:t>
      </w:r>
      <w:r>
        <w:t>be responsible for the risk of loss prior to final acceptance of the facilities it is constructing.  Niagara Mohawk shall not be responsible to the Power Authority for costs of Project repair or replacement incurred prior to final acceptance, regardless of</w:t>
      </w:r>
      <w:r>
        <w:t xml:space="preserve"> whether such costs are classified as expense or capital. The preceding sentence shall not</w:t>
      </w:r>
      <w:r w:rsidRPr="00D15A0E">
        <w:t xml:space="preserve"> </w:t>
      </w:r>
      <w:r>
        <w:t>apply if Niagara Mohawk fails to comply with the obligation set forth in the first sentence of this subparagraph i. or where Niagara Mohawk undertakes to construct a</w:t>
      </w:r>
      <w:r>
        <w:t xml:space="preserve"> component of the Project in lieu of hiring a contractor for that purpose.</w:t>
      </w:r>
    </w:p>
    <w:p w:rsidR="00BD0AC1" w:rsidRDefault="00FA3DC7" w:rsidP="00BD0AC1">
      <w:pPr>
        <w:tabs>
          <w:tab w:val="left" w:pos="720"/>
          <w:tab w:val="left" w:pos="1080"/>
        </w:tabs>
        <w:ind w:left="720" w:hanging="360"/>
      </w:pPr>
    </w:p>
    <w:p w:rsidR="00BD0AC1" w:rsidRDefault="00FA3DC7" w:rsidP="00CC03F4">
      <w:pPr>
        <w:tabs>
          <w:tab w:val="left" w:pos="1080"/>
          <w:tab w:val="left" w:pos="2880"/>
        </w:tabs>
        <w:ind w:left="2880"/>
        <w:rPr>
          <w:b/>
          <w:i/>
        </w:rPr>
      </w:pPr>
      <w:r>
        <w:t>ii.</w:t>
      </w:r>
      <w:r>
        <w:t xml:space="preserve">  </w:t>
      </w:r>
      <w:r>
        <w:t>From final acceptance of the facilities until the Transfer Date, the Power Authority shall maintain a property insurance policy that provides coverage for damage to the portio</w:t>
      </w:r>
      <w:r>
        <w:t xml:space="preserve">ns of the Project owned by the Power Authority, but not including the New Line. Such insurance policy shall be subject to a deductible not to exceed $1 million per occurrence.  The cost of such policy is includable in Total Project Cost </w:t>
      </w:r>
      <w:r>
        <w:t xml:space="preserve">in accordance with </w:t>
      </w:r>
      <w:r>
        <w:t>Paragraph B.6</w:t>
      </w:r>
      <w:r>
        <w:t xml:space="preserve"> of this Agreement.  Any modification to the property insurance coverage provided for by this subparagraph, including but not limited to modification of the deductible or the possible extension of coverage to the New Line portion of the Projec</w:t>
      </w:r>
      <w:r>
        <w:t xml:space="preserve">t, shall be subject to prior approval by Niagara Mohawk, which approval shall not be unreasonably withheld or delayed. </w:t>
      </w:r>
    </w:p>
    <w:p w:rsidR="00BD0AC1" w:rsidRDefault="00FA3DC7" w:rsidP="00BD0AC1">
      <w:pPr>
        <w:ind w:left="1440"/>
      </w:pPr>
      <w:r>
        <w:tab/>
      </w:r>
      <w:r>
        <w:tab/>
      </w:r>
    </w:p>
    <w:p w:rsidR="00346673" w:rsidRDefault="00FA3DC7" w:rsidP="0022427E">
      <w:pPr>
        <w:ind w:left="2880" w:hanging="1440"/>
      </w:pPr>
      <w:r>
        <w:tab/>
        <w:t>iii.</w:t>
      </w:r>
      <w:r>
        <w:t xml:space="preserve">  As used in subparagraphs (i) and (ii) above, a facility shall be finally </w:t>
      </w:r>
      <w:r>
        <w:t xml:space="preserve">accepted </w:t>
      </w:r>
      <w:r w:rsidRPr="00655D25">
        <w:t>upon</w:t>
      </w:r>
      <w:r>
        <w:t xml:space="preserve"> the satisfaction of all conditions requ</w:t>
      </w:r>
      <w:r>
        <w:t xml:space="preserve">ired for </w:t>
      </w:r>
      <w:r w:rsidRPr="00655D25">
        <w:t>acceptance</w:t>
      </w:r>
      <w:r>
        <w:t>, which conditions shall be mutually agreed upon for each facility by the Power Authority and Niagara Mohawk</w:t>
      </w:r>
    </w:p>
    <w:p w:rsidR="0022427E" w:rsidRDefault="00FA3DC7" w:rsidP="0022427E">
      <w:pPr>
        <w:ind w:left="2880" w:hanging="1440"/>
      </w:pPr>
      <w:r>
        <w:t xml:space="preserve"> </w:t>
      </w:r>
    </w:p>
    <w:p w:rsidR="00BD0AC1" w:rsidRDefault="00FA3DC7" w:rsidP="00CC03F4">
      <w:pPr>
        <w:ind w:left="2880" w:hanging="720"/>
      </w:pPr>
      <w:r>
        <w:t>c.</w:t>
      </w:r>
      <w:r>
        <w:tab/>
        <w:t>Once the aggregate costs for which Niagara Mohawk is liable under subparagraph a., above (net of any offsets under subparag</w:t>
      </w:r>
      <w:r>
        <w:t>raphs b.i and b.ii) reach $1 million, Niagara Mohawk shall have the right, but not the obligation, to receive reimbursement from the Power Authority for any costs in excess of that amount</w:t>
      </w:r>
      <w:r>
        <w:t xml:space="preserve"> (“Excess Costs”)</w:t>
      </w:r>
      <w:r>
        <w:t xml:space="preserve">.  Any </w:t>
      </w:r>
      <w:r>
        <w:t>Excess Costs</w:t>
      </w:r>
      <w:r>
        <w:t xml:space="preserve"> billed to and paid by the Power Authority shall be</w:t>
      </w:r>
      <w:r>
        <w:t xml:space="preserve"> included in Total Project Cost</w:t>
      </w:r>
      <w:r>
        <w:t xml:space="preserve">, as specified in paragraph B.6, and shall be </w:t>
      </w:r>
      <w:r>
        <w:t xml:space="preserve">subject to a carrying charge from the date payment is made to Niagara Mohawk. </w:t>
      </w:r>
    </w:p>
    <w:p w:rsidR="00BD0AC1" w:rsidRDefault="00FA3DC7" w:rsidP="00BD0AC1">
      <w:pPr>
        <w:ind w:left="360"/>
      </w:pPr>
    </w:p>
    <w:p w:rsidR="00BD0AC1" w:rsidRDefault="00FA3DC7" w:rsidP="00CC03F4">
      <w:pPr>
        <w:ind w:left="2880" w:hanging="720"/>
        <w:rPr>
          <w:b/>
          <w:i/>
        </w:rPr>
      </w:pPr>
      <w:r>
        <w:t>d.</w:t>
      </w:r>
      <w:r>
        <w:tab/>
        <w:t>Costs billed and paid under Paragraphs B.1</w:t>
      </w:r>
      <w:r>
        <w:t>8</w:t>
      </w:r>
      <w:r>
        <w:t>.a</w:t>
      </w:r>
      <w:r>
        <w:t>.i. and B.1</w:t>
      </w:r>
      <w:r>
        <w:t>8</w:t>
      </w:r>
      <w:r>
        <w:t xml:space="preserve">.a.ii. and any carrying charges thereon shall not be included when sharing or allocating cost increases under Paragraph </w:t>
      </w:r>
      <w:r w:rsidRPr="00C45B06">
        <w:t>B.</w:t>
      </w:r>
      <w:r>
        <w:t>7</w:t>
      </w:r>
      <w:r w:rsidRPr="00C45B06">
        <w:t>.</w:t>
      </w:r>
      <w:r>
        <w:t xml:space="preserve"> </w:t>
      </w:r>
    </w:p>
    <w:p w:rsidR="00BD0AC1" w:rsidRDefault="00FA3DC7" w:rsidP="00BD0AC1">
      <w:pPr>
        <w:ind w:left="360"/>
      </w:pPr>
    </w:p>
    <w:p w:rsidR="00BD0AC1" w:rsidRDefault="00FA3DC7" w:rsidP="00CC03F4">
      <w:pPr>
        <w:tabs>
          <w:tab w:val="left" w:pos="2880"/>
        </w:tabs>
        <w:ind w:left="2880" w:hanging="720"/>
      </w:pPr>
      <w:r>
        <w:t>e.</w:t>
      </w:r>
      <w:r>
        <w:tab/>
        <w:t>The Power Authority and Niagara Mohawk agree to cooperate fully in pursuing available claims under the Power Autho</w:t>
      </w:r>
      <w:r>
        <w:t xml:space="preserve">rity’s insurance coverage,  under any warranties,  or otherwise.  Any recoveries received by either Party, net of costs and expenses (including attorneys’ fees) shall be applied to offset the Total Project Cost.     </w:t>
      </w:r>
    </w:p>
    <w:p w:rsidR="00BD0AC1" w:rsidRDefault="00FA3DC7" w:rsidP="00BD0AC1">
      <w:r>
        <w:t xml:space="preserve"> </w:t>
      </w:r>
    </w:p>
    <w:p w:rsidR="00BD0AC1" w:rsidRDefault="00FA3DC7" w:rsidP="00CC03F4">
      <w:pPr>
        <w:ind w:left="2880" w:hanging="720"/>
      </w:pPr>
      <w:r>
        <w:t>f.</w:t>
      </w:r>
      <w:r>
        <w:tab/>
        <w:t>After the Transfer Date, Niagara M</w:t>
      </w:r>
      <w:r>
        <w:t>ohawk shall bear the full risk of loss with respect to the Project.</w:t>
      </w:r>
    </w:p>
    <w:p w:rsidR="00BD0AC1" w:rsidRDefault="00FA3DC7" w:rsidP="00BD0AC1"/>
    <w:p w:rsidR="00BD0AC1" w:rsidRDefault="00FA3DC7" w:rsidP="00CC03F4">
      <w:pPr>
        <w:ind w:left="2880" w:hanging="720"/>
      </w:pPr>
      <w:r>
        <w:t>g.</w:t>
      </w:r>
      <w:r>
        <w:tab/>
        <w:t>Nothing in this Agreement shall limit the right of Niagara Mohawk or the Power Authority to recover in rates charged to retail or wholesale customers the costs allocated in accordan</w:t>
      </w:r>
      <w:r>
        <w:t xml:space="preserve">ce </w:t>
      </w:r>
      <w:r>
        <w:t>with this Paragraph B.18</w:t>
      </w:r>
      <w:r>
        <w:t>.</w:t>
      </w:r>
    </w:p>
    <w:p w:rsidR="004567A7" w:rsidRDefault="00FA3DC7">
      <w:pPr>
        <w:pStyle w:val="BodyText"/>
        <w:tabs>
          <w:tab w:val="left" w:pos="1440"/>
        </w:tabs>
      </w:pPr>
    </w:p>
    <w:p w:rsidR="002D5380" w:rsidRDefault="00FA3DC7" w:rsidP="002D5380">
      <w:pPr>
        <w:pStyle w:val="BodyText"/>
        <w:rPr>
          <w:u w:val="single"/>
        </w:rPr>
      </w:pPr>
      <w:r>
        <w:t xml:space="preserve">         C.</w:t>
      </w:r>
      <w:r>
        <w:tab/>
      </w:r>
      <w:r w:rsidRPr="002D5380">
        <w:rPr>
          <w:u w:val="single"/>
        </w:rPr>
        <w:t>Other Matters</w:t>
      </w:r>
    </w:p>
    <w:p w:rsidR="002D5380" w:rsidRPr="002D5380" w:rsidRDefault="00FA3DC7" w:rsidP="002D5380">
      <w:pPr>
        <w:pStyle w:val="BodyText"/>
        <w:rPr>
          <w:b/>
          <w:u w:val="single"/>
        </w:rPr>
      </w:pPr>
    </w:p>
    <w:p w:rsidR="00D5107E" w:rsidRDefault="00FA3DC7" w:rsidP="001978BF">
      <w:pPr>
        <w:pStyle w:val="BodyText"/>
        <w:ind w:left="2160" w:hanging="720"/>
      </w:pPr>
      <w:r>
        <w:t xml:space="preserve">1.  </w:t>
      </w:r>
      <w:r>
        <w:tab/>
      </w:r>
      <w:r>
        <w:t xml:space="preserve">Absent the written agreement of </w:t>
      </w:r>
      <w:r>
        <w:t xml:space="preserve">all </w:t>
      </w:r>
      <w:r>
        <w:t xml:space="preserve">the Parties, the standard of review for changes to this Agreement proposed by a Party shall be the “public interest” standard of review set forth in </w:t>
      </w:r>
      <w:r>
        <w:rPr>
          <w:u w:val="single"/>
        </w:rPr>
        <w:t xml:space="preserve">United Gas </w:t>
      </w:r>
      <w:r>
        <w:rPr>
          <w:u w:val="single"/>
        </w:rPr>
        <w:t>Pipeline Co. v. Mobile Gas Services Corp</w:t>
      </w:r>
      <w:r>
        <w:t xml:space="preserve">., 350 U.S. 322 (1956), and </w:t>
      </w:r>
      <w:r>
        <w:rPr>
          <w:u w:val="single"/>
        </w:rPr>
        <w:t xml:space="preserve">Federal </w:t>
      </w:r>
      <w:r>
        <w:rPr>
          <w:u w:val="single"/>
        </w:rPr>
        <w:t xml:space="preserve">Power </w:t>
      </w:r>
      <w:r>
        <w:rPr>
          <w:u w:val="single"/>
        </w:rPr>
        <w:t>Commission v. Sierra Pacific Power Co</w:t>
      </w:r>
      <w:r>
        <w:t>., 350 U.S. 345 (1956)</w:t>
      </w:r>
      <w:r>
        <w:t xml:space="preserve"> </w:t>
      </w:r>
      <w:r>
        <w:t>(the “Mobile Sierra” doctrine).</w:t>
      </w:r>
    </w:p>
    <w:p w:rsidR="00D5107E" w:rsidRDefault="00FA3DC7" w:rsidP="002D5380">
      <w:pPr>
        <w:pStyle w:val="BodyText"/>
        <w:ind w:left="720"/>
      </w:pPr>
    </w:p>
    <w:p w:rsidR="00D5107E" w:rsidRDefault="00FA3DC7" w:rsidP="001978BF">
      <w:pPr>
        <w:pStyle w:val="BodyText"/>
        <w:ind w:left="2160" w:hanging="720"/>
      </w:pPr>
      <w:r>
        <w:t xml:space="preserve">2.  </w:t>
      </w:r>
      <w:r>
        <w:tab/>
      </w:r>
      <w:r>
        <w:t xml:space="preserve">The Parties agree to take all reasonable action to support </w:t>
      </w:r>
      <w:r>
        <w:t>this Agreement</w:t>
      </w:r>
      <w:r>
        <w:t xml:space="preserve"> an</w:t>
      </w:r>
      <w:r>
        <w:t xml:space="preserve">d its implementation and to cooperate in any proceedings before NYISO, the </w:t>
      </w:r>
      <w:r>
        <w:t>PSC</w:t>
      </w:r>
      <w:r>
        <w:t xml:space="preserve">, </w:t>
      </w:r>
      <w:r>
        <w:t>FERC</w:t>
      </w:r>
      <w:r>
        <w:t>, SEC</w:t>
      </w:r>
      <w:r>
        <w:t xml:space="preserve"> or any other regulatory or siting agency or authority to support the licensing, </w:t>
      </w:r>
      <w:r>
        <w:t>construction</w:t>
      </w:r>
      <w:r>
        <w:t xml:space="preserve">, operation, and cost recovery provided for herein.  </w:t>
      </w:r>
    </w:p>
    <w:p w:rsidR="000B1225" w:rsidRDefault="00FA3DC7" w:rsidP="005D6498">
      <w:pPr>
        <w:pStyle w:val="BodyText"/>
        <w:ind w:left="1530" w:hanging="810"/>
      </w:pPr>
    </w:p>
    <w:p w:rsidR="000B1225" w:rsidRDefault="00FA3DC7" w:rsidP="001978BF">
      <w:pPr>
        <w:pStyle w:val="BodyText"/>
        <w:ind w:left="2160" w:hanging="720"/>
      </w:pPr>
      <w:r>
        <w:t xml:space="preserve">3.  </w:t>
      </w:r>
      <w:r>
        <w:tab/>
      </w:r>
      <w:r w:rsidRPr="000B1225">
        <w:t xml:space="preserve">The Parties </w:t>
      </w:r>
      <w:r>
        <w:t xml:space="preserve">agree that they </w:t>
      </w:r>
      <w:r>
        <w:t>have all</w:t>
      </w:r>
      <w:r w:rsidRPr="000B1225">
        <w:t xml:space="preserve"> participated in the drafting of </w:t>
      </w:r>
      <w:r>
        <w:t>this Agreement</w:t>
      </w:r>
      <w:r>
        <w:t xml:space="preserve"> </w:t>
      </w:r>
      <w:r w:rsidRPr="000B1225">
        <w:t>and, therefore, no rule of construction should apply that would interpret this document more favorably to any Party.</w:t>
      </w:r>
    </w:p>
    <w:p w:rsidR="000B1225" w:rsidRDefault="00FA3DC7" w:rsidP="002D5380">
      <w:pPr>
        <w:pStyle w:val="BodyText"/>
        <w:ind w:left="720"/>
      </w:pPr>
    </w:p>
    <w:p w:rsidR="000B1225" w:rsidRDefault="00FA3DC7" w:rsidP="001978BF">
      <w:pPr>
        <w:pStyle w:val="BodyText"/>
        <w:ind w:left="2160" w:hanging="720"/>
      </w:pPr>
      <w:r>
        <w:t xml:space="preserve">4.  </w:t>
      </w:r>
      <w:r>
        <w:tab/>
      </w:r>
      <w:r w:rsidRPr="000B1225">
        <w:t xml:space="preserve">The rights conferred and obligations imposed on any Party by </w:t>
      </w:r>
      <w:r w:rsidRPr="000B1225">
        <w:t>th</w:t>
      </w:r>
      <w:r>
        <w:t>is Agreement</w:t>
      </w:r>
      <w:r w:rsidRPr="000B1225">
        <w:t xml:space="preserve"> shall inure to the benefit of or be binding on that Party’s successors in interest or assignees as if each such successor or assignee was itself a Party.</w:t>
      </w:r>
    </w:p>
    <w:p w:rsidR="003E09D0" w:rsidRPr="000B1225" w:rsidRDefault="00FA3DC7" w:rsidP="005D6498">
      <w:pPr>
        <w:pStyle w:val="BodyText"/>
        <w:ind w:left="1440" w:hanging="720"/>
      </w:pPr>
    </w:p>
    <w:p w:rsidR="000B1225" w:rsidRPr="000B1225" w:rsidRDefault="00FA3DC7" w:rsidP="001978BF">
      <w:pPr>
        <w:pStyle w:val="BodyText"/>
        <w:ind w:left="2160" w:hanging="720"/>
      </w:pPr>
      <w:r>
        <w:t xml:space="preserve">5.  </w:t>
      </w:r>
      <w:r>
        <w:tab/>
      </w:r>
      <w:r w:rsidRPr="000B1225">
        <w:t>Th</w:t>
      </w:r>
      <w:r>
        <w:t xml:space="preserve">is Agreement </w:t>
      </w:r>
      <w:r>
        <w:t xml:space="preserve">is </w:t>
      </w:r>
      <w:r>
        <w:t>made</w:t>
      </w:r>
      <w:r>
        <w:t xml:space="preserve"> </w:t>
      </w:r>
      <w:r w:rsidRPr="000B1225">
        <w:t xml:space="preserve">upon the express understanding </w:t>
      </w:r>
      <w:r>
        <w:t>between the P</w:t>
      </w:r>
      <w:r>
        <w:t xml:space="preserve">arties </w:t>
      </w:r>
      <w:r w:rsidRPr="000B1225">
        <w:t>that it</w:t>
      </w:r>
      <w:r w:rsidRPr="000B1225">
        <w:t xml:space="preserve"> constitutes a negotiated settlement and no person or Party shall be deemed to have approved, accepted, agreed to or otherwise consented to any ratemaking or tariff principle or methodology underlying or supposed to underlie any of the provisions herein.  </w:t>
      </w:r>
      <w:r w:rsidRPr="000B1225">
        <w:t>Th</w:t>
      </w:r>
      <w:r>
        <w:t>is Agreement</w:t>
      </w:r>
      <w:r w:rsidRPr="000B1225">
        <w:t xml:space="preserve"> </w:t>
      </w:r>
      <w:r w:rsidRPr="000B1225">
        <w:t xml:space="preserve">shall not be deemed to have established a “settled practice”, as that term is used in </w:t>
      </w:r>
      <w:r w:rsidRPr="000B1225">
        <w:rPr>
          <w:u w:val="single"/>
        </w:rPr>
        <w:t>Public Service Commission of New York v. FERC</w:t>
      </w:r>
      <w:r w:rsidRPr="000B1225">
        <w:t xml:space="preserve">, 642 F.2d 1335 (D.C. Cir. 1980), </w:t>
      </w:r>
      <w:r w:rsidRPr="000B1225">
        <w:rPr>
          <w:u w:val="single"/>
        </w:rPr>
        <w:t>cert. denied</w:t>
      </w:r>
      <w:r w:rsidRPr="000B1225">
        <w:t xml:space="preserve">, 454 </w:t>
      </w:r>
      <w:r>
        <w:t>U.S. 879 (1981), nor shall it</w:t>
      </w:r>
      <w:r w:rsidRPr="000B1225">
        <w:t xml:space="preserve"> be deemed in any respect to </w:t>
      </w:r>
      <w:r w:rsidRPr="000B1225">
        <w:t xml:space="preserve">constitute an admission by </w:t>
      </w:r>
      <w:r>
        <w:t xml:space="preserve">any </w:t>
      </w:r>
      <w:r w:rsidRPr="000B1225">
        <w:t xml:space="preserve">Party with respect to any allegation or contention.  </w:t>
      </w:r>
      <w:r>
        <w:t>FERC’s</w:t>
      </w:r>
      <w:r w:rsidRPr="000B1225">
        <w:t xml:space="preserve"> acceptance or approval of </w:t>
      </w:r>
      <w:r>
        <w:t>this Agreement</w:t>
      </w:r>
      <w:r>
        <w:t xml:space="preserve"> </w:t>
      </w:r>
      <w:r w:rsidRPr="000B1225">
        <w:t>shall</w:t>
      </w:r>
      <w:r>
        <w:t xml:space="preserve"> also</w:t>
      </w:r>
      <w:r w:rsidRPr="000B1225">
        <w:t xml:space="preserve"> not constitute approval of, or precedent regarding, any principle or issue.  </w:t>
      </w:r>
    </w:p>
    <w:p w:rsidR="000B1225" w:rsidRPr="00D5107E" w:rsidRDefault="00FA3DC7" w:rsidP="002D5380">
      <w:pPr>
        <w:pStyle w:val="BodyText"/>
        <w:ind w:left="720"/>
      </w:pPr>
    </w:p>
    <w:p w:rsidR="008656D6" w:rsidRDefault="00FA3DC7" w:rsidP="0078703F">
      <w:pPr>
        <w:pStyle w:val="BodyText"/>
        <w:ind w:left="2160" w:hanging="720"/>
      </w:pPr>
      <w:r>
        <w:t>6.</w:t>
      </w:r>
      <w:r>
        <w:t xml:space="preserve">  </w:t>
      </w:r>
      <w:r>
        <w:tab/>
      </w:r>
      <w:r w:rsidRPr="008656D6">
        <w:t>The discussions that have pro</w:t>
      </w:r>
      <w:r w:rsidRPr="008656D6">
        <w:t xml:space="preserve">duced </w:t>
      </w:r>
      <w:r w:rsidRPr="008656D6">
        <w:t>th</w:t>
      </w:r>
      <w:r>
        <w:t>is Agreement were</w:t>
      </w:r>
      <w:r>
        <w:t xml:space="preserve"> </w:t>
      </w:r>
      <w:r w:rsidRPr="008656D6">
        <w:t xml:space="preserve">conducted on the explicit understanding, pursuant to Rule 602 (e) of </w:t>
      </w:r>
      <w:r>
        <w:t>FERC’s</w:t>
      </w:r>
      <w:r w:rsidRPr="008656D6">
        <w:t xml:space="preserve"> Rules of Practice and Procedure, 18 C.F.R. § 385.602 (e) (</w:t>
      </w:r>
      <w:r w:rsidRPr="008656D6">
        <w:t>200</w:t>
      </w:r>
      <w:r>
        <w:t>6</w:t>
      </w:r>
      <w:r w:rsidRPr="008656D6">
        <w:t xml:space="preserve">), that neither </w:t>
      </w:r>
      <w:r>
        <w:t>this Agreement</w:t>
      </w:r>
      <w:r>
        <w:t xml:space="preserve">, </w:t>
      </w:r>
      <w:r w:rsidRPr="008656D6">
        <w:t xml:space="preserve"> nor any comment on </w:t>
      </w:r>
      <w:r>
        <w:t>this Agreement</w:t>
      </w:r>
      <w:r>
        <w:t xml:space="preserve"> in any regulatory </w:t>
      </w:r>
      <w:r>
        <w:t xml:space="preserve">or siting </w:t>
      </w:r>
      <w:r>
        <w:t>proceeding, shall be admissible in evidence against any Party, except in a</w:t>
      </w:r>
      <w:r w:rsidRPr="008656D6">
        <w:t xml:space="preserve"> proceeding to enforce </w:t>
      </w:r>
      <w:r>
        <w:t xml:space="preserve">the provisions of </w:t>
      </w:r>
      <w:r>
        <w:t>this Agreement</w:t>
      </w:r>
      <w:r w:rsidRPr="008656D6">
        <w:t xml:space="preserve">, and on the further explicit understanding that any discussions among the Parties with respect to </w:t>
      </w:r>
      <w:r>
        <w:t>this Agreement</w:t>
      </w:r>
      <w:r w:rsidRPr="008656D6">
        <w:t xml:space="preserve"> pri</w:t>
      </w:r>
      <w:r w:rsidRPr="008656D6">
        <w:t>or to the execution and filing thereof shall not be subject to discovery or admissible in evidence.</w:t>
      </w:r>
    </w:p>
    <w:p w:rsidR="003E09D0" w:rsidRPr="008656D6" w:rsidRDefault="00FA3DC7" w:rsidP="005D6498">
      <w:pPr>
        <w:pStyle w:val="BodyText"/>
        <w:ind w:left="1440" w:hanging="720"/>
      </w:pPr>
    </w:p>
    <w:p w:rsidR="008656D6" w:rsidRDefault="00FA3DC7" w:rsidP="001978BF">
      <w:pPr>
        <w:pStyle w:val="BodyText"/>
        <w:ind w:left="2160" w:hanging="720"/>
      </w:pPr>
      <w:r>
        <w:t xml:space="preserve">7.  </w:t>
      </w:r>
      <w:r>
        <w:tab/>
      </w:r>
      <w:r w:rsidRPr="008656D6">
        <w:t>Th</w:t>
      </w:r>
      <w:r>
        <w:t>e</w:t>
      </w:r>
      <w:r w:rsidRPr="008656D6">
        <w:t xml:space="preserve"> </w:t>
      </w:r>
      <w:r>
        <w:t>Parties</w:t>
      </w:r>
      <w:r>
        <w:t>’</w:t>
      </w:r>
      <w:r>
        <w:t xml:space="preserve"> obligations under this Agreement are</w:t>
      </w:r>
      <w:r w:rsidRPr="008656D6">
        <w:t xml:space="preserve"> </w:t>
      </w:r>
      <w:r w:rsidRPr="008656D6">
        <w:t xml:space="preserve">expressly conditioned upon </w:t>
      </w:r>
      <w:r>
        <w:t>the</w:t>
      </w:r>
      <w:r w:rsidRPr="008656D6">
        <w:t xml:space="preserve"> approval</w:t>
      </w:r>
      <w:r>
        <w:t xml:space="preserve"> or acceptance for filing</w:t>
      </w:r>
      <w:r w:rsidRPr="008656D6">
        <w:t xml:space="preserve"> by </w:t>
      </w:r>
      <w:r>
        <w:t>FERC</w:t>
      </w:r>
      <w:r w:rsidRPr="008656D6">
        <w:t xml:space="preserve"> of </w:t>
      </w:r>
      <w:r>
        <w:t>th</w:t>
      </w:r>
      <w:r>
        <w:t>is</w:t>
      </w:r>
      <w:r>
        <w:t xml:space="preserve"> Agreement without m</w:t>
      </w:r>
      <w:r>
        <w:t>odification or condition</w:t>
      </w:r>
      <w:r>
        <w:t>.</w:t>
      </w:r>
      <w:r>
        <w:t xml:space="preserve"> </w:t>
      </w:r>
      <w:r w:rsidRPr="008656D6">
        <w:t xml:space="preserve">In the event that </w:t>
      </w:r>
      <w:r>
        <w:t>FERC</w:t>
      </w:r>
      <w:r w:rsidRPr="008656D6">
        <w:t xml:space="preserve"> </w:t>
      </w:r>
      <w:r>
        <w:t xml:space="preserve">fails to grant any required approval or acceptance </w:t>
      </w:r>
      <w:r>
        <w:t>in its entirety and without modification or condition</w:t>
      </w:r>
      <w:r>
        <w:t>, the Parties agree to attempt in good faith to negotiate an amendment or amendments to address any mod</w:t>
      </w:r>
      <w:r>
        <w:t xml:space="preserve">ification or condition imposed by the FERC, provided that </w:t>
      </w:r>
      <w:r>
        <w:t xml:space="preserve">any Party may terminate </w:t>
      </w:r>
      <w:r>
        <w:t>this Agreement</w:t>
      </w:r>
      <w:r>
        <w:t xml:space="preserve"> by providing</w:t>
      </w:r>
      <w:r w:rsidRPr="008656D6">
        <w:t xml:space="preserve"> </w:t>
      </w:r>
      <w:r>
        <w:t>written notice to the other Parties</w:t>
      </w:r>
      <w:r w:rsidRPr="00076D71">
        <w:t xml:space="preserve"> </w:t>
      </w:r>
      <w:r>
        <w:t xml:space="preserve">within fifteen (15) days of the issuance of any order imposing such modification or condition, whereupon this </w:t>
      </w:r>
      <w:r>
        <w:t xml:space="preserve">Agreement </w:t>
      </w:r>
      <w:r w:rsidRPr="008656D6">
        <w:t xml:space="preserve">shall be deemed withdrawn and shall not constitute any part of the record in </w:t>
      </w:r>
      <w:r>
        <w:t>any</w:t>
      </w:r>
      <w:r w:rsidRPr="008656D6">
        <w:t xml:space="preserve"> </w:t>
      </w:r>
      <w:r w:rsidRPr="008656D6">
        <w:t>proceedings or be used for any other purpose, and each of its provisions shall be deemed null and void.</w:t>
      </w:r>
    </w:p>
    <w:p w:rsidR="00D947CA" w:rsidRPr="008656D6" w:rsidRDefault="00FA3DC7" w:rsidP="005D6498">
      <w:pPr>
        <w:pStyle w:val="BodyText"/>
        <w:ind w:left="1440" w:hanging="720"/>
      </w:pPr>
    </w:p>
    <w:p w:rsidR="00D947CA" w:rsidRDefault="00FA3DC7" w:rsidP="001978BF">
      <w:pPr>
        <w:pStyle w:val="BodyText"/>
        <w:ind w:left="2160" w:hanging="720"/>
      </w:pPr>
      <w:r>
        <w:t>8.</w:t>
      </w:r>
      <w:r>
        <w:tab/>
        <w:t>Niagara Mohawk shall have no obligation under this Agreem</w:t>
      </w:r>
      <w:r>
        <w:t xml:space="preserve">ent to proceed with construction of </w:t>
      </w:r>
      <w:r>
        <w:t xml:space="preserve">the New Line unless and until all </w:t>
      </w:r>
      <w:r>
        <w:t xml:space="preserve">siting approvals </w:t>
      </w:r>
      <w:r>
        <w:t xml:space="preserve">required for </w:t>
      </w:r>
      <w:r>
        <w:t>the New Line</w:t>
      </w:r>
      <w:r>
        <w:t xml:space="preserve"> </w:t>
      </w:r>
      <w:r>
        <w:t xml:space="preserve">have been obtained.  </w:t>
      </w:r>
      <w:r>
        <w:t xml:space="preserve">Niagara Mohawk shall have no obligation under this Agreement to proceed with construction of any SVC unless and until all siting approvals required for such SVC have been obtained.  </w:t>
      </w:r>
    </w:p>
    <w:p w:rsidR="00D947CA" w:rsidRDefault="00FA3DC7" w:rsidP="00D947CA">
      <w:pPr>
        <w:pStyle w:val="BodyText"/>
        <w:ind w:left="1440"/>
      </w:pPr>
    </w:p>
    <w:p w:rsidR="00D947CA" w:rsidRDefault="00FA3DC7" w:rsidP="001978BF">
      <w:pPr>
        <w:pStyle w:val="BodyText"/>
        <w:numPr>
          <w:ilvl w:val="0"/>
          <w:numId w:val="34"/>
        </w:numPr>
        <w:tabs>
          <w:tab w:val="clear" w:pos="1800"/>
          <w:tab w:val="num" w:pos="2160"/>
        </w:tabs>
        <w:ind w:left="2160" w:hanging="720"/>
      </w:pPr>
      <w:r>
        <w:t xml:space="preserve">The Parties’ obligations under this Agreement are further conditioned upon: </w:t>
      </w:r>
    </w:p>
    <w:p w:rsidR="00D947CA" w:rsidRDefault="00FA3DC7" w:rsidP="00D947CA">
      <w:pPr>
        <w:pStyle w:val="BodyText"/>
        <w:ind w:left="1440"/>
      </w:pPr>
    </w:p>
    <w:p w:rsidR="00D947CA" w:rsidRDefault="00FA3DC7" w:rsidP="0078703F">
      <w:pPr>
        <w:pStyle w:val="BodyText"/>
        <w:numPr>
          <w:ilvl w:val="1"/>
          <w:numId w:val="34"/>
        </w:numPr>
      </w:pPr>
      <w:r>
        <w:t>the adoption by the Trustees of the Power Authority of a resolution approving this Agreement as the lawful and binding obligation of the Power Authority and ratifying the executi</w:t>
      </w:r>
      <w:r>
        <w:t xml:space="preserve">on of this Agreement by the Power Authority’s representative; and </w:t>
      </w:r>
    </w:p>
    <w:p w:rsidR="00D947CA" w:rsidRDefault="00FA3DC7" w:rsidP="00D947CA">
      <w:pPr>
        <w:pStyle w:val="BodyText"/>
        <w:ind w:left="2160"/>
      </w:pPr>
    </w:p>
    <w:p w:rsidR="00D947CA" w:rsidRDefault="00FA3DC7" w:rsidP="00D947CA">
      <w:pPr>
        <w:pStyle w:val="BodyText"/>
        <w:numPr>
          <w:ilvl w:val="1"/>
          <w:numId w:val="34"/>
        </w:numPr>
      </w:pPr>
      <w:r>
        <w:t>the adoption by the Village Board of each of the Villages of a resolution approving this Agreement as the lawful and binding obligation of their respective Villages and ratifying the execu</w:t>
      </w:r>
      <w:r>
        <w:t xml:space="preserve">tion of this Agreement by the Mayors of their respective Villages.  </w:t>
      </w:r>
    </w:p>
    <w:p w:rsidR="00D947CA" w:rsidRDefault="00FA3DC7" w:rsidP="00D947CA">
      <w:pPr>
        <w:pStyle w:val="BodyText"/>
        <w:ind w:left="2160"/>
      </w:pPr>
    </w:p>
    <w:p w:rsidR="00D947CA" w:rsidRDefault="00FA3DC7" w:rsidP="001978BF">
      <w:pPr>
        <w:pStyle w:val="BodyText"/>
        <w:ind w:left="2160"/>
      </w:pPr>
      <w:r>
        <w:t xml:space="preserve">In the event that the Trustees of the Power Authority or either of the Village Boards fails to approve and ratify this Agreement in its entirety and without condition as provided herein </w:t>
      </w:r>
      <w:r>
        <w:t>within sixty (60) days of the Execution Date, this Agreement shall be deemed withdrawn and shall not constitute any part of the record in any proceedings or be used for any other purpose, and each of its provisions shall be null and void.</w:t>
      </w:r>
    </w:p>
    <w:p w:rsidR="00294693" w:rsidRDefault="00FA3DC7" w:rsidP="001978BF">
      <w:pPr>
        <w:pStyle w:val="BodyText"/>
        <w:ind w:left="2160"/>
      </w:pPr>
    </w:p>
    <w:p w:rsidR="00375BC3" w:rsidRPr="006D6302" w:rsidRDefault="00FA3DC7" w:rsidP="002F54A3">
      <w:pPr>
        <w:autoSpaceDE w:val="0"/>
        <w:autoSpaceDN w:val="0"/>
        <w:adjustRightInd w:val="0"/>
        <w:ind w:left="2160" w:hanging="720"/>
        <w:jc w:val="both"/>
        <w:rPr>
          <w:szCs w:val="24"/>
          <w:lang w:val="en-CA"/>
        </w:rPr>
      </w:pPr>
      <w:r w:rsidRPr="00AD03E0">
        <w:rPr>
          <w:szCs w:val="24"/>
          <w:lang w:val="en-CA"/>
        </w:rPr>
        <w:t>10.</w:t>
      </w:r>
      <w:r w:rsidRPr="00AD03E0">
        <w:rPr>
          <w:szCs w:val="24"/>
          <w:lang w:val="en-CA"/>
        </w:rPr>
        <w:tab/>
      </w:r>
      <w:r w:rsidRPr="006D6302">
        <w:rPr>
          <w:szCs w:val="24"/>
          <w:lang w:val="en-CA"/>
        </w:rPr>
        <w:t>Invoicing an</w:t>
      </w:r>
      <w:r w:rsidRPr="006D6302">
        <w:rPr>
          <w:szCs w:val="24"/>
          <w:lang w:val="en-CA"/>
        </w:rPr>
        <w:t>d Payment.</w:t>
      </w:r>
    </w:p>
    <w:p w:rsidR="00375BC3" w:rsidRDefault="00FA3DC7" w:rsidP="002F54A3">
      <w:pPr>
        <w:autoSpaceDE w:val="0"/>
        <w:autoSpaceDN w:val="0"/>
        <w:adjustRightInd w:val="0"/>
        <w:ind w:left="2160" w:hanging="720"/>
        <w:jc w:val="both"/>
        <w:rPr>
          <w:szCs w:val="24"/>
          <w:u w:val="single"/>
          <w:lang w:val="en-CA"/>
        </w:rPr>
      </w:pPr>
    </w:p>
    <w:p w:rsidR="00294693" w:rsidRDefault="00FA3DC7" w:rsidP="008C35AF">
      <w:pPr>
        <w:tabs>
          <w:tab w:val="left" w:pos="2880"/>
        </w:tabs>
        <w:autoSpaceDE w:val="0"/>
        <w:autoSpaceDN w:val="0"/>
        <w:adjustRightInd w:val="0"/>
        <w:ind w:left="2160" w:hanging="720"/>
        <w:jc w:val="both"/>
        <w:rPr>
          <w:color w:val="000000"/>
          <w:szCs w:val="24"/>
          <w:lang w:val="en-CA"/>
        </w:rPr>
      </w:pPr>
      <w:r w:rsidRPr="006D6302">
        <w:rPr>
          <w:szCs w:val="24"/>
          <w:lang w:val="en-CA"/>
        </w:rPr>
        <w:tab/>
      </w:r>
      <w:r w:rsidRPr="008C35AF">
        <w:rPr>
          <w:szCs w:val="24"/>
          <w:lang w:val="en-CA"/>
        </w:rPr>
        <w:t>a.</w:t>
      </w:r>
      <w:r>
        <w:rPr>
          <w:szCs w:val="24"/>
          <w:lang w:val="en-CA"/>
        </w:rPr>
        <w:t xml:space="preserve">  </w:t>
      </w:r>
      <w:r>
        <w:rPr>
          <w:szCs w:val="24"/>
          <w:lang w:val="en-CA"/>
        </w:rPr>
        <w:tab/>
        <w:t>Invoicing</w:t>
      </w:r>
      <w:r>
        <w:rPr>
          <w:color w:val="000000"/>
          <w:szCs w:val="24"/>
          <w:lang w:val="en-CA"/>
        </w:rPr>
        <w:t xml:space="preserve"> and payment under th</w:t>
      </w:r>
      <w:r>
        <w:rPr>
          <w:color w:val="000000"/>
          <w:szCs w:val="24"/>
          <w:lang w:val="en-CA"/>
        </w:rPr>
        <w:t>is</w:t>
      </w:r>
      <w:r>
        <w:rPr>
          <w:color w:val="000000"/>
          <w:szCs w:val="24"/>
          <w:lang w:val="en-CA"/>
        </w:rPr>
        <w:t xml:space="preserve"> Agreement shall be governed by </w:t>
      </w:r>
      <w:r>
        <w:rPr>
          <w:color w:val="000000"/>
          <w:szCs w:val="24"/>
          <w:lang w:val="en-CA"/>
        </w:rPr>
        <w:t>S</w:t>
      </w:r>
      <w:r>
        <w:rPr>
          <w:color w:val="000000"/>
          <w:szCs w:val="24"/>
          <w:lang w:val="en-CA"/>
        </w:rPr>
        <w:t>ection 2</w:t>
      </w:r>
      <w:r>
        <w:rPr>
          <w:color w:val="000000"/>
          <w:szCs w:val="24"/>
          <w:lang w:val="en-CA"/>
        </w:rPr>
        <w:t>8</w:t>
      </w:r>
      <w:r>
        <w:rPr>
          <w:color w:val="000000"/>
          <w:szCs w:val="24"/>
          <w:lang w:val="en-CA"/>
        </w:rPr>
        <w:t xml:space="preserve">80 of the New York Public Authorities Law </w:t>
      </w:r>
      <w:r>
        <w:rPr>
          <w:color w:val="000000"/>
          <w:szCs w:val="24"/>
          <w:lang w:val="en-CA"/>
        </w:rPr>
        <w:t xml:space="preserve">(“Prompt Payment”) </w:t>
      </w:r>
      <w:r>
        <w:rPr>
          <w:color w:val="000000"/>
          <w:szCs w:val="24"/>
          <w:lang w:val="en-CA"/>
        </w:rPr>
        <w:t xml:space="preserve">and </w:t>
      </w:r>
      <w:r>
        <w:rPr>
          <w:color w:val="000000"/>
          <w:szCs w:val="24"/>
          <w:lang w:val="en-CA"/>
        </w:rPr>
        <w:t xml:space="preserve">its </w:t>
      </w:r>
      <w:r>
        <w:rPr>
          <w:color w:val="000000"/>
          <w:szCs w:val="24"/>
          <w:lang w:val="en-CA"/>
        </w:rPr>
        <w:t xml:space="preserve">regulations contained in </w:t>
      </w:r>
      <w:r>
        <w:rPr>
          <w:color w:val="000000"/>
          <w:szCs w:val="24"/>
          <w:lang w:val="en-CA"/>
        </w:rPr>
        <w:t xml:space="preserve">21 </w:t>
      </w:r>
      <w:r>
        <w:rPr>
          <w:color w:val="000000"/>
          <w:szCs w:val="24"/>
          <w:lang w:val="en-CA"/>
        </w:rPr>
        <w:t>Part 463, New York Codes, Rules and Regulations.  As provided</w:t>
      </w:r>
      <w:r>
        <w:rPr>
          <w:color w:val="000000"/>
          <w:szCs w:val="24"/>
          <w:lang w:val="en-CA"/>
        </w:rPr>
        <w:t xml:space="preserve"> in th</w:t>
      </w:r>
      <w:r>
        <w:rPr>
          <w:color w:val="000000"/>
          <w:szCs w:val="24"/>
          <w:lang w:val="en-CA"/>
        </w:rPr>
        <w:t xml:space="preserve">e </w:t>
      </w:r>
      <w:r>
        <w:rPr>
          <w:color w:val="000000"/>
          <w:szCs w:val="24"/>
          <w:lang w:val="en-CA"/>
        </w:rPr>
        <w:t>p</w:t>
      </w:r>
      <w:r>
        <w:rPr>
          <w:color w:val="000000"/>
          <w:szCs w:val="24"/>
          <w:lang w:val="en-CA"/>
        </w:rPr>
        <w:t xml:space="preserve">rompt </w:t>
      </w:r>
      <w:r>
        <w:rPr>
          <w:color w:val="000000"/>
          <w:szCs w:val="24"/>
          <w:lang w:val="en-CA"/>
        </w:rPr>
        <w:t>p</w:t>
      </w:r>
      <w:r>
        <w:rPr>
          <w:color w:val="000000"/>
          <w:szCs w:val="24"/>
          <w:lang w:val="en-CA"/>
        </w:rPr>
        <w:t xml:space="preserve">ayment law, </w:t>
      </w:r>
      <w:r>
        <w:rPr>
          <w:color w:val="000000"/>
          <w:szCs w:val="24"/>
          <w:lang w:val="en-CA"/>
        </w:rPr>
        <w:t xml:space="preserve">after </w:t>
      </w:r>
      <w:r>
        <w:rPr>
          <w:color w:val="000000"/>
          <w:szCs w:val="24"/>
          <w:lang w:val="en-CA"/>
        </w:rPr>
        <w:t>N</w:t>
      </w:r>
      <w:r>
        <w:rPr>
          <w:color w:val="000000"/>
          <w:szCs w:val="24"/>
          <w:lang w:val="en-CA"/>
        </w:rPr>
        <w:t>iagara Mohawk provide</w:t>
      </w:r>
      <w:r>
        <w:rPr>
          <w:color w:val="000000"/>
          <w:szCs w:val="24"/>
          <w:lang w:val="en-CA"/>
        </w:rPr>
        <w:t>s</w:t>
      </w:r>
      <w:r>
        <w:rPr>
          <w:color w:val="000000"/>
          <w:szCs w:val="24"/>
          <w:lang w:val="en-CA"/>
        </w:rPr>
        <w:t xml:space="preserve"> </w:t>
      </w:r>
      <w:r>
        <w:rPr>
          <w:color w:val="000000"/>
          <w:szCs w:val="24"/>
          <w:lang w:val="en-CA"/>
        </w:rPr>
        <w:t>a “</w:t>
      </w:r>
      <w:r>
        <w:rPr>
          <w:color w:val="000000"/>
          <w:szCs w:val="24"/>
          <w:lang w:val="en-CA"/>
        </w:rPr>
        <w:t>p</w:t>
      </w:r>
      <w:r>
        <w:rPr>
          <w:color w:val="000000"/>
          <w:szCs w:val="24"/>
          <w:lang w:val="en-CA"/>
        </w:rPr>
        <w:t xml:space="preserve">roper </w:t>
      </w:r>
      <w:r>
        <w:rPr>
          <w:color w:val="000000"/>
          <w:szCs w:val="24"/>
          <w:lang w:val="en-CA"/>
        </w:rPr>
        <w:t>i</w:t>
      </w:r>
      <w:r>
        <w:rPr>
          <w:color w:val="000000"/>
          <w:szCs w:val="24"/>
          <w:lang w:val="en-CA"/>
        </w:rPr>
        <w:t>nvoice”</w:t>
      </w:r>
      <w:r>
        <w:rPr>
          <w:color w:val="000000"/>
          <w:szCs w:val="24"/>
          <w:lang w:val="en-CA"/>
        </w:rPr>
        <w:t xml:space="preserve"> in support of </w:t>
      </w:r>
      <w:r>
        <w:rPr>
          <w:color w:val="000000"/>
          <w:szCs w:val="24"/>
          <w:lang w:val="en-CA"/>
        </w:rPr>
        <w:t>its charges</w:t>
      </w:r>
      <w:r>
        <w:rPr>
          <w:color w:val="000000"/>
          <w:szCs w:val="24"/>
          <w:lang w:val="en-CA"/>
        </w:rPr>
        <w:t xml:space="preserve">, </w:t>
      </w:r>
      <w:r>
        <w:rPr>
          <w:color w:val="000000"/>
          <w:szCs w:val="24"/>
          <w:lang w:val="en-CA"/>
        </w:rPr>
        <w:t xml:space="preserve"> the Power Authority is obligated to </w:t>
      </w:r>
      <w:r>
        <w:rPr>
          <w:color w:val="000000"/>
          <w:szCs w:val="24"/>
          <w:lang w:val="en-CA"/>
        </w:rPr>
        <w:t xml:space="preserve">remit </w:t>
      </w:r>
      <w:r>
        <w:rPr>
          <w:color w:val="000000"/>
          <w:szCs w:val="24"/>
          <w:lang w:val="en-CA"/>
        </w:rPr>
        <w:t>pay</w:t>
      </w:r>
      <w:r>
        <w:rPr>
          <w:color w:val="000000"/>
          <w:szCs w:val="24"/>
          <w:lang w:val="en-CA"/>
        </w:rPr>
        <w:t xml:space="preserve">ment </w:t>
      </w:r>
      <w:r>
        <w:rPr>
          <w:color w:val="000000"/>
          <w:szCs w:val="24"/>
          <w:lang w:val="en-CA"/>
        </w:rPr>
        <w:t>within 30 days</w:t>
      </w:r>
      <w:r>
        <w:rPr>
          <w:color w:val="000000"/>
          <w:szCs w:val="24"/>
          <w:lang w:val="en-CA"/>
        </w:rPr>
        <w:t xml:space="preserve"> (excluding legal holidays)</w:t>
      </w:r>
      <w:r>
        <w:rPr>
          <w:color w:val="000000"/>
          <w:szCs w:val="24"/>
          <w:lang w:val="en-CA"/>
        </w:rPr>
        <w:t xml:space="preserve"> of </w:t>
      </w:r>
      <w:r>
        <w:rPr>
          <w:color w:val="000000"/>
          <w:szCs w:val="24"/>
          <w:lang w:val="en-CA"/>
        </w:rPr>
        <w:t>receipt</w:t>
      </w:r>
      <w:r>
        <w:rPr>
          <w:color w:val="000000"/>
          <w:szCs w:val="24"/>
          <w:lang w:val="en-CA"/>
        </w:rPr>
        <w:t xml:space="preserve"> of such invoice</w:t>
      </w:r>
      <w:r>
        <w:rPr>
          <w:color w:val="000000"/>
          <w:szCs w:val="24"/>
          <w:lang w:val="en-CA"/>
        </w:rPr>
        <w:t>.</w:t>
      </w:r>
      <w:r>
        <w:rPr>
          <w:color w:val="000000"/>
          <w:szCs w:val="24"/>
          <w:lang w:val="en-CA"/>
        </w:rPr>
        <w:t xml:space="preserve"> </w:t>
      </w:r>
      <w:r>
        <w:rPr>
          <w:color w:val="000000"/>
          <w:szCs w:val="24"/>
          <w:lang w:val="en-CA"/>
        </w:rPr>
        <w:t xml:space="preserve">The Power Authority is only required </w:t>
      </w:r>
      <w:r>
        <w:rPr>
          <w:color w:val="000000"/>
          <w:szCs w:val="24"/>
          <w:lang w:val="en-CA"/>
        </w:rPr>
        <w:t>to make</w:t>
      </w:r>
      <w:r>
        <w:rPr>
          <w:color w:val="000000"/>
          <w:szCs w:val="24"/>
          <w:lang w:val="en-CA"/>
        </w:rPr>
        <w:t xml:space="preserve"> prompt pa</w:t>
      </w:r>
      <w:r>
        <w:rPr>
          <w:color w:val="000000"/>
          <w:szCs w:val="24"/>
          <w:lang w:val="en-CA"/>
        </w:rPr>
        <w:t>yment for that portion of the invoice for which proper documentation has been submitted</w:t>
      </w:r>
      <w:r>
        <w:rPr>
          <w:color w:val="000000"/>
          <w:szCs w:val="24"/>
          <w:lang w:val="en-CA"/>
        </w:rPr>
        <w:t xml:space="preserve">. The Power Authority shall </w:t>
      </w:r>
      <w:r>
        <w:rPr>
          <w:color w:val="000000"/>
          <w:szCs w:val="24"/>
          <w:lang w:val="en-CA"/>
        </w:rPr>
        <w:t>notify Niagara Mohawk of the reasons for withholding payment for the remaining items for which documentation is insufficient</w:t>
      </w:r>
      <w:r>
        <w:rPr>
          <w:color w:val="000000"/>
          <w:szCs w:val="24"/>
          <w:lang w:val="en-CA"/>
        </w:rPr>
        <w:t xml:space="preserve">. </w:t>
      </w:r>
      <w:r>
        <w:rPr>
          <w:color w:val="000000"/>
          <w:szCs w:val="24"/>
          <w:lang w:val="en-CA"/>
        </w:rPr>
        <w:t>The requirements of a “</w:t>
      </w:r>
      <w:r>
        <w:rPr>
          <w:color w:val="000000"/>
          <w:szCs w:val="24"/>
          <w:lang w:val="en-CA"/>
        </w:rPr>
        <w:t>p</w:t>
      </w:r>
      <w:r>
        <w:rPr>
          <w:color w:val="000000"/>
          <w:szCs w:val="24"/>
          <w:lang w:val="en-CA"/>
        </w:rPr>
        <w:t xml:space="preserve">roper </w:t>
      </w:r>
      <w:r>
        <w:rPr>
          <w:color w:val="000000"/>
          <w:szCs w:val="24"/>
          <w:lang w:val="en-CA"/>
        </w:rPr>
        <w:t>i</w:t>
      </w:r>
      <w:r>
        <w:rPr>
          <w:color w:val="000000"/>
          <w:szCs w:val="24"/>
          <w:lang w:val="en-CA"/>
        </w:rPr>
        <w:t xml:space="preserve">nvoice” are set forth in subsection b., below. </w:t>
      </w:r>
    </w:p>
    <w:p w:rsidR="00BF5609" w:rsidRDefault="00FA3DC7" w:rsidP="002F54A3">
      <w:pPr>
        <w:autoSpaceDE w:val="0"/>
        <w:autoSpaceDN w:val="0"/>
        <w:adjustRightInd w:val="0"/>
        <w:ind w:left="2160" w:hanging="720"/>
        <w:jc w:val="both"/>
        <w:rPr>
          <w:color w:val="000000"/>
          <w:szCs w:val="24"/>
          <w:lang w:val="en-CA"/>
        </w:rPr>
      </w:pPr>
    </w:p>
    <w:p w:rsidR="00FB7D04" w:rsidRDefault="00FA3DC7" w:rsidP="008C35AF">
      <w:pPr>
        <w:tabs>
          <w:tab w:val="left" w:pos="2880"/>
        </w:tabs>
        <w:autoSpaceDE w:val="0"/>
        <w:autoSpaceDN w:val="0"/>
        <w:adjustRightInd w:val="0"/>
        <w:ind w:left="2160" w:hanging="720"/>
        <w:jc w:val="both"/>
        <w:rPr>
          <w:color w:val="000000"/>
          <w:szCs w:val="24"/>
          <w:lang w:val="en-CA"/>
        </w:rPr>
      </w:pPr>
      <w:r>
        <w:rPr>
          <w:color w:val="000000"/>
          <w:szCs w:val="24"/>
          <w:lang w:val="en-CA"/>
        </w:rPr>
        <w:tab/>
      </w:r>
      <w:r>
        <w:rPr>
          <w:color w:val="000000"/>
          <w:szCs w:val="24"/>
          <w:lang w:val="en-CA"/>
        </w:rPr>
        <w:t>b.</w:t>
      </w:r>
      <w:r>
        <w:rPr>
          <w:color w:val="000000"/>
          <w:szCs w:val="24"/>
          <w:lang w:val="en-CA"/>
        </w:rPr>
        <w:tab/>
        <w:t>The Parties agree that e</w:t>
      </w:r>
      <w:r>
        <w:rPr>
          <w:color w:val="000000"/>
          <w:szCs w:val="24"/>
          <w:lang w:val="en-CA"/>
        </w:rPr>
        <w:t xml:space="preserve">ach </w:t>
      </w:r>
      <w:r>
        <w:rPr>
          <w:color w:val="000000"/>
          <w:szCs w:val="24"/>
          <w:lang w:val="en-CA"/>
        </w:rPr>
        <w:t xml:space="preserve">invoice submitted for </w:t>
      </w:r>
      <w:r>
        <w:rPr>
          <w:color w:val="000000"/>
          <w:szCs w:val="24"/>
          <w:lang w:val="en-CA"/>
        </w:rPr>
        <w:t>an SVC or New Line</w:t>
      </w:r>
      <w:r>
        <w:rPr>
          <w:color w:val="000000"/>
          <w:szCs w:val="24"/>
          <w:lang w:val="en-CA"/>
        </w:rPr>
        <w:t xml:space="preserve"> Total </w:t>
      </w:r>
      <w:r>
        <w:rPr>
          <w:color w:val="000000"/>
          <w:szCs w:val="24"/>
          <w:lang w:val="en-CA"/>
        </w:rPr>
        <w:t xml:space="preserve">Project </w:t>
      </w:r>
      <w:r>
        <w:rPr>
          <w:color w:val="000000"/>
          <w:szCs w:val="24"/>
          <w:lang w:val="en-CA"/>
        </w:rPr>
        <w:t>C</w:t>
      </w:r>
      <w:r>
        <w:rPr>
          <w:color w:val="000000"/>
          <w:szCs w:val="24"/>
          <w:lang w:val="en-CA"/>
        </w:rPr>
        <w:t>ost</w:t>
      </w:r>
      <w:r>
        <w:rPr>
          <w:color w:val="000000"/>
          <w:szCs w:val="24"/>
          <w:lang w:val="en-CA"/>
        </w:rPr>
        <w:t xml:space="preserve"> item(s)</w:t>
      </w:r>
      <w:r>
        <w:rPr>
          <w:color w:val="000000"/>
          <w:szCs w:val="24"/>
          <w:lang w:val="en-CA"/>
        </w:rPr>
        <w:t xml:space="preserve"> </w:t>
      </w:r>
      <w:r>
        <w:rPr>
          <w:color w:val="000000"/>
          <w:szCs w:val="24"/>
          <w:lang w:val="en-CA"/>
        </w:rPr>
        <w:t>shall</w:t>
      </w:r>
      <w:r>
        <w:rPr>
          <w:color w:val="000000"/>
          <w:szCs w:val="24"/>
          <w:lang w:val="en-CA"/>
        </w:rPr>
        <w:t xml:space="preserve"> contain the </w:t>
      </w:r>
      <w:r>
        <w:rPr>
          <w:color w:val="000000"/>
          <w:szCs w:val="24"/>
          <w:lang w:val="en-CA"/>
        </w:rPr>
        <w:t>i</w:t>
      </w:r>
      <w:r>
        <w:rPr>
          <w:color w:val="000000"/>
          <w:szCs w:val="24"/>
          <w:lang w:val="en-CA"/>
        </w:rPr>
        <w:t xml:space="preserve">nformation and </w:t>
      </w:r>
      <w:r>
        <w:rPr>
          <w:color w:val="000000"/>
          <w:szCs w:val="24"/>
          <w:lang w:val="en-CA"/>
        </w:rPr>
        <w:t xml:space="preserve">shall </w:t>
      </w:r>
      <w:r>
        <w:rPr>
          <w:color w:val="000000"/>
          <w:szCs w:val="24"/>
          <w:lang w:val="en-CA"/>
        </w:rPr>
        <w:t xml:space="preserve">be accompanied by </w:t>
      </w:r>
      <w:r>
        <w:rPr>
          <w:color w:val="000000"/>
          <w:szCs w:val="24"/>
          <w:lang w:val="en-CA"/>
        </w:rPr>
        <w:t>appropriate d</w:t>
      </w:r>
      <w:r>
        <w:rPr>
          <w:color w:val="000000"/>
          <w:szCs w:val="24"/>
          <w:lang w:val="en-CA"/>
        </w:rPr>
        <w:t>ocumentation</w:t>
      </w:r>
      <w:r>
        <w:rPr>
          <w:color w:val="000000"/>
          <w:szCs w:val="24"/>
          <w:lang w:val="en-CA"/>
        </w:rPr>
        <w:t xml:space="preserve"> </w:t>
      </w:r>
      <w:r>
        <w:rPr>
          <w:color w:val="000000"/>
          <w:szCs w:val="24"/>
          <w:lang w:val="en-CA"/>
        </w:rPr>
        <w:t>substantiating</w:t>
      </w:r>
      <w:r>
        <w:rPr>
          <w:color w:val="000000"/>
          <w:szCs w:val="24"/>
          <w:lang w:val="en-CA"/>
        </w:rPr>
        <w:t xml:space="preserve"> contractor and/or subcontractor invoices, Niagara Mohawk</w:t>
      </w:r>
      <w:r>
        <w:rPr>
          <w:color w:val="000000"/>
          <w:szCs w:val="24"/>
          <w:lang w:val="en-CA"/>
        </w:rPr>
        <w:t>’s</w:t>
      </w:r>
      <w:r>
        <w:rPr>
          <w:color w:val="000000"/>
          <w:szCs w:val="24"/>
          <w:lang w:val="en-CA"/>
        </w:rPr>
        <w:t xml:space="preserve"> direct labor charges</w:t>
      </w:r>
      <w:r>
        <w:rPr>
          <w:color w:val="000000"/>
          <w:szCs w:val="24"/>
          <w:lang w:val="en-CA"/>
        </w:rPr>
        <w:t xml:space="preserve"> (including </w:t>
      </w:r>
      <w:r>
        <w:rPr>
          <w:color w:val="000000"/>
          <w:szCs w:val="24"/>
          <w:lang w:val="en-CA"/>
        </w:rPr>
        <w:t xml:space="preserve">any indirect charges </w:t>
      </w:r>
      <w:r>
        <w:rPr>
          <w:color w:val="000000"/>
          <w:szCs w:val="24"/>
          <w:lang w:val="en-CA"/>
        </w:rPr>
        <w:t xml:space="preserve">such as </w:t>
      </w:r>
      <w:r>
        <w:rPr>
          <w:color w:val="000000"/>
          <w:szCs w:val="24"/>
          <w:lang w:val="en-CA"/>
        </w:rPr>
        <w:t>fringe benefits</w:t>
      </w:r>
      <w:r>
        <w:rPr>
          <w:color w:val="000000"/>
          <w:szCs w:val="24"/>
          <w:lang w:val="en-CA"/>
        </w:rPr>
        <w:t xml:space="preserve"> and overhead), all direct and indirect land acquisition costs, and any other</w:t>
      </w:r>
      <w:r>
        <w:rPr>
          <w:color w:val="000000"/>
          <w:szCs w:val="24"/>
          <w:lang w:val="en-CA"/>
        </w:rPr>
        <w:t xml:space="preserve"> expenses</w:t>
      </w:r>
      <w:r>
        <w:rPr>
          <w:color w:val="000000"/>
          <w:szCs w:val="24"/>
          <w:lang w:val="en-CA"/>
        </w:rPr>
        <w:t xml:space="preserve"> and ch</w:t>
      </w:r>
      <w:r>
        <w:rPr>
          <w:color w:val="000000"/>
          <w:szCs w:val="24"/>
          <w:lang w:val="en-CA"/>
        </w:rPr>
        <w:t>arges submitted as Total Project Cost items.</w:t>
      </w:r>
      <w:r>
        <w:rPr>
          <w:color w:val="000000"/>
          <w:szCs w:val="24"/>
          <w:lang w:val="en-CA"/>
        </w:rPr>
        <w:t xml:space="preserve"> </w:t>
      </w:r>
      <w:r>
        <w:rPr>
          <w:color w:val="000000"/>
          <w:szCs w:val="24"/>
          <w:lang w:val="en-CA"/>
        </w:rPr>
        <w:t xml:space="preserve"> </w:t>
      </w:r>
    </w:p>
    <w:p w:rsidR="00FB7D04" w:rsidRDefault="00FA3DC7" w:rsidP="008C35AF">
      <w:pPr>
        <w:tabs>
          <w:tab w:val="left" w:pos="2880"/>
        </w:tabs>
        <w:autoSpaceDE w:val="0"/>
        <w:autoSpaceDN w:val="0"/>
        <w:adjustRightInd w:val="0"/>
        <w:ind w:left="2160" w:hanging="720"/>
        <w:jc w:val="both"/>
        <w:rPr>
          <w:color w:val="000000"/>
          <w:szCs w:val="24"/>
          <w:lang w:val="en-CA"/>
        </w:rPr>
      </w:pPr>
    </w:p>
    <w:p w:rsidR="008C35AF" w:rsidRDefault="00FA3DC7" w:rsidP="008C35AF">
      <w:pPr>
        <w:tabs>
          <w:tab w:val="left" w:pos="2880"/>
        </w:tabs>
        <w:autoSpaceDE w:val="0"/>
        <w:autoSpaceDN w:val="0"/>
        <w:adjustRightInd w:val="0"/>
        <w:ind w:left="2160" w:hanging="720"/>
        <w:jc w:val="both"/>
        <w:rPr>
          <w:color w:val="000000"/>
          <w:szCs w:val="24"/>
          <w:lang w:val="en-CA"/>
        </w:rPr>
      </w:pPr>
      <w:r>
        <w:rPr>
          <w:color w:val="000000"/>
          <w:szCs w:val="24"/>
          <w:lang w:val="en-CA"/>
        </w:rPr>
        <w:tab/>
        <w:t>c.</w:t>
      </w:r>
      <w:r>
        <w:rPr>
          <w:color w:val="000000"/>
          <w:szCs w:val="24"/>
          <w:lang w:val="en-CA"/>
        </w:rPr>
        <w:tab/>
        <w:t>Niagara Mohawk shall submit its invoices to Power Authority monthly. Each invoice shall separately track the costs and charges for the SVCs and the New Line,</w:t>
      </w:r>
      <w:r>
        <w:rPr>
          <w:color w:val="000000"/>
          <w:szCs w:val="24"/>
          <w:lang w:val="en-CA"/>
        </w:rPr>
        <w:t xml:space="preserve"> including change orders and percentage of work</w:t>
      </w:r>
      <w:r>
        <w:rPr>
          <w:color w:val="000000"/>
          <w:szCs w:val="24"/>
          <w:lang w:val="en-CA"/>
        </w:rPr>
        <w:t xml:space="preserve"> complete</w:t>
      </w:r>
      <w:r>
        <w:rPr>
          <w:color w:val="000000"/>
          <w:szCs w:val="24"/>
          <w:lang w:val="en-CA"/>
        </w:rPr>
        <w:t>.</w:t>
      </w:r>
      <w:r>
        <w:rPr>
          <w:color w:val="000000"/>
          <w:szCs w:val="24"/>
          <w:lang w:val="en-CA"/>
        </w:rPr>
        <w:t xml:space="preserve"> The invoices will also clearly reflect the relationship between budget and current monthly and cumulative expenditures.  </w:t>
      </w:r>
      <w:r>
        <w:rPr>
          <w:color w:val="000000"/>
          <w:szCs w:val="24"/>
          <w:lang w:val="en-CA"/>
        </w:rPr>
        <w:t xml:space="preserve"> </w:t>
      </w:r>
    </w:p>
    <w:p w:rsidR="00294693" w:rsidRDefault="00FA3DC7" w:rsidP="00294693">
      <w:pPr>
        <w:tabs>
          <w:tab w:val="left" w:pos="720"/>
        </w:tabs>
        <w:autoSpaceDE w:val="0"/>
        <w:autoSpaceDN w:val="0"/>
        <w:adjustRightInd w:val="0"/>
        <w:ind w:left="360"/>
        <w:rPr>
          <w:color w:val="000000"/>
          <w:szCs w:val="24"/>
          <w:lang w:val="en-CA"/>
        </w:rPr>
      </w:pPr>
    </w:p>
    <w:p w:rsidR="00294693" w:rsidRDefault="00FA3DC7" w:rsidP="00294693">
      <w:pPr>
        <w:pStyle w:val="BodyText"/>
        <w:ind w:left="2160" w:hanging="720"/>
        <w:rPr>
          <w:i/>
          <w:color w:val="000000"/>
          <w:szCs w:val="24"/>
          <w:lang w:val="en-CA"/>
        </w:rPr>
      </w:pPr>
      <w:r w:rsidRPr="006D6302">
        <w:rPr>
          <w:color w:val="000000"/>
          <w:szCs w:val="24"/>
          <w:lang w:val="en-CA"/>
        </w:rPr>
        <w:t>11.</w:t>
      </w:r>
      <w:r w:rsidRPr="006D6302">
        <w:rPr>
          <w:color w:val="000000"/>
          <w:szCs w:val="24"/>
          <w:lang w:val="en-CA"/>
        </w:rPr>
        <w:tab/>
        <w:t>Audit</w:t>
      </w:r>
      <w:r w:rsidRPr="00447E79">
        <w:rPr>
          <w:color w:val="000000"/>
          <w:szCs w:val="24"/>
          <w:lang w:val="en-CA"/>
        </w:rPr>
        <w:t xml:space="preserve">. </w:t>
      </w:r>
      <w:r>
        <w:rPr>
          <w:color w:val="000000"/>
          <w:szCs w:val="24"/>
          <w:lang w:val="en-CA"/>
        </w:rPr>
        <w:t xml:space="preserve">Until </w:t>
      </w:r>
      <w:r>
        <w:rPr>
          <w:color w:val="000000"/>
          <w:szCs w:val="24"/>
          <w:lang w:val="en-CA"/>
        </w:rPr>
        <w:t>no less than</w:t>
      </w:r>
      <w:r>
        <w:rPr>
          <w:color w:val="000000"/>
          <w:szCs w:val="24"/>
          <w:lang w:val="en-CA"/>
        </w:rPr>
        <w:t xml:space="preserve"> two years after the Transfer Date, e</w:t>
      </w:r>
      <w:r>
        <w:rPr>
          <w:color w:val="000000"/>
          <w:szCs w:val="24"/>
          <w:lang w:val="en-CA"/>
        </w:rPr>
        <w:t xml:space="preserve">ach Party shall keep complete and accurate records, data and other documentation as may be necessary to verify that its charges or invoices are </w:t>
      </w:r>
      <w:r w:rsidRPr="009E7C3E">
        <w:rPr>
          <w:color w:val="000000"/>
          <w:szCs w:val="24"/>
          <w:lang w:val="en-CA"/>
        </w:rPr>
        <w:t>Project</w:t>
      </w:r>
      <w:r>
        <w:rPr>
          <w:color w:val="000000"/>
          <w:szCs w:val="24"/>
          <w:lang w:val="en-CA"/>
        </w:rPr>
        <w:t>-related costs</w:t>
      </w:r>
      <w:r w:rsidRPr="009E7C3E">
        <w:rPr>
          <w:color w:val="000000"/>
          <w:szCs w:val="24"/>
          <w:lang w:val="en-CA"/>
        </w:rPr>
        <w:t>.</w:t>
      </w:r>
      <w:r>
        <w:rPr>
          <w:color w:val="000000"/>
          <w:szCs w:val="24"/>
          <w:lang w:val="en-CA"/>
        </w:rPr>
        <w:t xml:space="preserve"> </w:t>
      </w:r>
      <w:r>
        <w:rPr>
          <w:color w:val="000000"/>
          <w:szCs w:val="24"/>
          <w:lang w:val="en-CA"/>
        </w:rPr>
        <w:t>Each</w:t>
      </w:r>
      <w:r w:rsidRPr="005C5E8A">
        <w:rPr>
          <w:color w:val="000000"/>
          <w:szCs w:val="24"/>
          <w:lang w:val="en-CA"/>
        </w:rPr>
        <w:t xml:space="preserve"> Party shall have the right, at its own expense, upon reasonable notice and at reason</w:t>
      </w:r>
      <w:r w:rsidRPr="005C5E8A">
        <w:rPr>
          <w:color w:val="000000"/>
          <w:szCs w:val="24"/>
          <w:lang w:val="en-CA"/>
        </w:rPr>
        <w:t xml:space="preserve">able times, to examine the books and records of the other Party </w:t>
      </w:r>
      <w:r>
        <w:rPr>
          <w:color w:val="000000"/>
          <w:szCs w:val="24"/>
          <w:lang w:val="en-CA"/>
        </w:rPr>
        <w:t>to</w:t>
      </w:r>
      <w:r w:rsidRPr="005C5E8A">
        <w:rPr>
          <w:color w:val="000000"/>
          <w:szCs w:val="24"/>
          <w:lang w:val="en-CA"/>
        </w:rPr>
        <w:t xml:space="preserve"> </w:t>
      </w:r>
      <w:r>
        <w:rPr>
          <w:color w:val="000000"/>
          <w:szCs w:val="24"/>
          <w:lang w:val="en-CA"/>
        </w:rPr>
        <w:t xml:space="preserve">verify </w:t>
      </w:r>
      <w:r w:rsidRPr="005C5E8A">
        <w:rPr>
          <w:color w:val="000000"/>
          <w:szCs w:val="24"/>
          <w:lang w:val="en-CA"/>
        </w:rPr>
        <w:t xml:space="preserve">any statement, charge, payment, or computation made under </w:t>
      </w:r>
      <w:r>
        <w:rPr>
          <w:color w:val="000000"/>
          <w:szCs w:val="24"/>
          <w:lang w:val="en-CA"/>
        </w:rPr>
        <w:t>this</w:t>
      </w:r>
      <w:r>
        <w:rPr>
          <w:color w:val="000000"/>
          <w:szCs w:val="24"/>
          <w:lang w:val="en-CA"/>
        </w:rPr>
        <w:t xml:space="preserve"> </w:t>
      </w:r>
      <w:r w:rsidRPr="005C5E8A">
        <w:rPr>
          <w:color w:val="000000"/>
          <w:szCs w:val="24"/>
          <w:lang w:val="en-CA"/>
        </w:rPr>
        <w:t>Agreement.  Th</w:t>
      </w:r>
      <w:r>
        <w:rPr>
          <w:color w:val="000000"/>
          <w:szCs w:val="24"/>
          <w:lang w:val="en-CA"/>
        </w:rPr>
        <w:t xml:space="preserve">e examining </w:t>
      </w:r>
      <w:r>
        <w:rPr>
          <w:color w:val="000000"/>
          <w:szCs w:val="24"/>
          <w:lang w:val="en-CA"/>
        </w:rPr>
        <w:t>P</w:t>
      </w:r>
      <w:r>
        <w:rPr>
          <w:color w:val="000000"/>
          <w:szCs w:val="24"/>
          <w:lang w:val="en-CA"/>
        </w:rPr>
        <w:t>arty shall take all reasonably necessary precautions to prevent the disclosure of informatio</w:t>
      </w:r>
      <w:r>
        <w:rPr>
          <w:color w:val="000000"/>
          <w:szCs w:val="24"/>
          <w:lang w:val="en-CA"/>
        </w:rPr>
        <w:t xml:space="preserve">n that is proprietary or otherwise confidential and that is made available for examination under this provision.  </w:t>
      </w:r>
      <w:r w:rsidRPr="005C5E8A">
        <w:rPr>
          <w:color w:val="000000"/>
          <w:szCs w:val="24"/>
          <w:lang w:val="en-CA"/>
        </w:rPr>
        <w:t xml:space="preserve">All invoices and billings shall be conclusively presumed final and accurate unless objected </w:t>
      </w:r>
      <w:r w:rsidRPr="00901AB8">
        <w:rPr>
          <w:color w:val="000000"/>
          <w:szCs w:val="24"/>
          <w:lang w:val="en-CA"/>
        </w:rPr>
        <w:t>to in writing, with adequate explanation and/or do</w:t>
      </w:r>
      <w:r w:rsidRPr="00901AB8">
        <w:rPr>
          <w:color w:val="000000"/>
          <w:szCs w:val="24"/>
          <w:lang w:val="en-CA"/>
        </w:rPr>
        <w:t xml:space="preserve">cumentation, within two </w:t>
      </w:r>
      <w:r w:rsidRPr="00F50724">
        <w:rPr>
          <w:color w:val="000000"/>
          <w:szCs w:val="24"/>
          <w:lang w:val="en-CA"/>
        </w:rPr>
        <w:t>years</w:t>
      </w:r>
      <w:r>
        <w:rPr>
          <w:szCs w:val="24"/>
          <w:lang w:val="en-CA"/>
        </w:rPr>
        <w:t xml:space="preserve"> </w:t>
      </w:r>
      <w:r w:rsidRPr="005C5E8A">
        <w:rPr>
          <w:color w:val="000000"/>
          <w:szCs w:val="24"/>
          <w:lang w:val="en-CA"/>
        </w:rPr>
        <w:t>from the date of any invoice.  The Party owing payment as a result of a Part</w:t>
      </w:r>
      <w:r>
        <w:rPr>
          <w:color w:val="000000"/>
          <w:szCs w:val="24"/>
          <w:lang w:val="en-CA"/>
        </w:rPr>
        <w:t>y’s</w:t>
      </w:r>
      <w:r w:rsidRPr="005C5E8A">
        <w:rPr>
          <w:color w:val="000000"/>
          <w:szCs w:val="24"/>
          <w:lang w:val="en-CA"/>
        </w:rPr>
        <w:t xml:space="preserve"> objection and substantiation of any inaccuracy shall pay or reimburse all retroactive adjustments in full within thirty (30) </w:t>
      </w:r>
      <w:r>
        <w:rPr>
          <w:color w:val="000000"/>
          <w:szCs w:val="24"/>
          <w:lang w:val="en-CA"/>
        </w:rPr>
        <w:t>d</w:t>
      </w:r>
      <w:r w:rsidRPr="005C5E8A">
        <w:rPr>
          <w:color w:val="000000"/>
          <w:szCs w:val="24"/>
          <w:lang w:val="en-CA"/>
        </w:rPr>
        <w:t xml:space="preserve">ays of notice and </w:t>
      </w:r>
      <w:r w:rsidRPr="005C5E8A">
        <w:rPr>
          <w:color w:val="000000"/>
          <w:szCs w:val="24"/>
          <w:lang w:val="en-CA"/>
        </w:rPr>
        <w:t>substantiation of such inaccuracy</w:t>
      </w:r>
      <w:r>
        <w:rPr>
          <w:color w:val="000000"/>
          <w:szCs w:val="24"/>
          <w:lang w:val="en-CA"/>
        </w:rPr>
        <w:t xml:space="preserve">.    </w:t>
      </w:r>
      <w:r>
        <w:rPr>
          <w:color w:val="000000"/>
          <w:szCs w:val="24"/>
          <w:lang w:val="en-CA"/>
        </w:rPr>
        <w:t xml:space="preserve">   </w:t>
      </w:r>
    </w:p>
    <w:p w:rsidR="00294693" w:rsidRDefault="00FA3DC7" w:rsidP="00294693">
      <w:pPr>
        <w:pStyle w:val="BodyText"/>
        <w:rPr>
          <w:color w:val="000000"/>
          <w:szCs w:val="24"/>
          <w:lang w:val="en-CA"/>
        </w:rPr>
      </w:pPr>
    </w:p>
    <w:p w:rsidR="00447E79" w:rsidRDefault="00FA3DC7" w:rsidP="00447E79">
      <w:pPr>
        <w:pStyle w:val="BodyText"/>
        <w:tabs>
          <w:tab w:val="left" w:pos="2160"/>
          <w:tab w:val="left" w:pos="2880"/>
        </w:tabs>
        <w:ind w:left="2880" w:hanging="1440"/>
        <w:rPr>
          <w:color w:val="000000"/>
          <w:szCs w:val="24"/>
          <w:lang w:val="en-CA"/>
        </w:rPr>
      </w:pPr>
      <w:r w:rsidRPr="00AD03E0">
        <w:rPr>
          <w:color w:val="000000"/>
          <w:szCs w:val="24"/>
          <w:lang w:val="en-CA"/>
        </w:rPr>
        <w:t>12.</w:t>
      </w:r>
      <w:r w:rsidRPr="00AD03E0">
        <w:rPr>
          <w:color w:val="000000"/>
          <w:szCs w:val="24"/>
          <w:lang w:val="en-CA"/>
        </w:rPr>
        <w:tab/>
        <w:t xml:space="preserve">Project Oversight by </w:t>
      </w:r>
      <w:r>
        <w:rPr>
          <w:color w:val="000000"/>
          <w:szCs w:val="24"/>
          <w:lang w:val="en-CA"/>
        </w:rPr>
        <w:t>t</w:t>
      </w:r>
      <w:r w:rsidRPr="00AD03E0">
        <w:rPr>
          <w:color w:val="000000"/>
          <w:szCs w:val="24"/>
          <w:lang w:val="en-CA"/>
        </w:rPr>
        <w:t>he Power Authority</w:t>
      </w:r>
      <w:r w:rsidRPr="00447E79">
        <w:rPr>
          <w:color w:val="000000"/>
          <w:szCs w:val="24"/>
          <w:lang w:val="en-CA"/>
        </w:rPr>
        <w:t>.</w:t>
      </w:r>
    </w:p>
    <w:p w:rsidR="001B65B3" w:rsidRDefault="00FA3DC7" w:rsidP="00447E79">
      <w:pPr>
        <w:pStyle w:val="BodyText"/>
        <w:tabs>
          <w:tab w:val="left" w:pos="2160"/>
          <w:tab w:val="left" w:pos="2880"/>
        </w:tabs>
        <w:ind w:left="2880" w:hanging="1440"/>
        <w:rPr>
          <w:color w:val="000000"/>
          <w:szCs w:val="24"/>
          <w:lang w:val="en-CA"/>
        </w:rPr>
      </w:pPr>
    </w:p>
    <w:p w:rsidR="00294693" w:rsidRDefault="00FA3DC7" w:rsidP="00375BC3">
      <w:pPr>
        <w:pStyle w:val="BodyText"/>
        <w:tabs>
          <w:tab w:val="left" w:pos="2160"/>
          <w:tab w:val="left" w:pos="2880"/>
        </w:tabs>
        <w:ind w:left="2880" w:hanging="1440"/>
        <w:rPr>
          <w:color w:val="000000"/>
          <w:szCs w:val="24"/>
          <w:lang w:val="en-CA"/>
        </w:rPr>
      </w:pPr>
      <w:r>
        <w:rPr>
          <w:color w:val="000000"/>
          <w:szCs w:val="24"/>
          <w:lang w:val="en-CA"/>
        </w:rPr>
        <w:tab/>
        <w:t xml:space="preserve">a. </w:t>
      </w:r>
      <w:r>
        <w:rPr>
          <w:color w:val="000000"/>
          <w:szCs w:val="24"/>
          <w:lang w:val="en-CA"/>
        </w:rPr>
        <w:tab/>
      </w:r>
      <w:r>
        <w:rPr>
          <w:color w:val="000000"/>
          <w:szCs w:val="24"/>
          <w:lang w:val="en-CA"/>
        </w:rPr>
        <w:t>The Power Authority shall have the right to observe the performance of engineering and construction work.  During such observations</w:t>
      </w:r>
      <w:r>
        <w:rPr>
          <w:color w:val="000000"/>
          <w:szCs w:val="24"/>
          <w:lang w:val="en-CA"/>
        </w:rPr>
        <w:t>,</w:t>
      </w:r>
      <w:r>
        <w:rPr>
          <w:color w:val="000000"/>
          <w:szCs w:val="24"/>
          <w:lang w:val="en-CA"/>
        </w:rPr>
        <w:t xml:space="preserve"> Power Authority’s</w:t>
      </w:r>
      <w:r>
        <w:rPr>
          <w:color w:val="000000"/>
          <w:szCs w:val="24"/>
          <w:lang w:val="en-CA"/>
        </w:rPr>
        <w:t xml:space="preserve"> agents and</w:t>
      </w:r>
      <w:r>
        <w:rPr>
          <w:color w:val="000000"/>
          <w:szCs w:val="24"/>
          <w:lang w:val="en-CA"/>
        </w:rPr>
        <w:t xml:space="preserve"> r</w:t>
      </w:r>
      <w:r>
        <w:rPr>
          <w:color w:val="000000"/>
          <w:szCs w:val="24"/>
          <w:lang w:val="en-CA"/>
        </w:rPr>
        <w:t>epresentative</w:t>
      </w:r>
      <w:r>
        <w:rPr>
          <w:color w:val="000000"/>
          <w:szCs w:val="24"/>
          <w:lang w:val="en-CA"/>
        </w:rPr>
        <w:t>s</w:t>
      </w:r>
      <w:r>
        <w:rPr>
          <w:color w:val="000000"/>
          <w:szCs w:val="24"/>
          <w:lang w:val="en-CA"/>
        </w:rPr>
        <w:t xml:space="preserve"> shall follow Niagara Mohawk’s safety protocols.  Project observations by </w:t>
      </w:r>
      <w:r>
        <w:rPr>
          <w:color w:val="000000"/>
          <w:szCs w:val="24"/>
          <w:lang w:val="en-CA"/>
        </w:rPr>
        <w:t>t</w:t>
      </w:r>
      <w:r>
        <w:rPr>
          <w:color w:val="000000"/>
          <w:szCs w:val="24"/>
          <w:lang w:val="en-CA"/>
        </w:rPr>
        <w:t xml:space="preserve">he Power Authority </w:t>
      </w:r>
      <w:r>
        <w:rPr>
          <w:color w:val="000000"/>
          <w:szCs w:val="24"/>
          <w:lang w:val="en-CA"/>
        </w:rPr>
        <w:t>agents and r</w:t>
      </w:r>
      <w:r>
        <w:rPr>
          <w:color w:val="000000"/>
          <w:szCs w:val="24"/>
          <w:lang w:val="en-CA"/>
        </w:rPr>
        <w:t>epresentative</w:t>
      </w:r>
      <w:r>
        <w:rPr>
          <w:color w:val="000000"/>
          <w:szCs w:val="24"/>
          <w:lang w:val="en-CA"/>
        </w:rPr>
        <w:t>s</w:t>
      </w:r>
      <w:r>
        <w:rPr>
          <w:color w:val="000000"/>
          <w:szCs w:val="24"/>
          <w:lang w:val="en-CA"/>
        </w:rPr>
        <w:t xml:space="preserve"> shall be scheduled in advance through Niagara Mohawk’s Project Manager</w:t>
      </w:r>
      <w:r>
        <w:rPr>
          <w:color w:val="000000"/>
          <w:szCs w:val="24"/>
          <w:lang w:val="en-CA"/>
        </w:rPr>
        <w:t xml:space="preserve"> or his designee</w:t>
      </w:r>
      <w:r>
        <w:rPr>
          <w:color w:val="000000"/>
          <w:szCs w:val="24"/>
          <w:lang w:val="en-CA"/>
        </w:rPr>
        <w:t>.</w:t>
      </w:r>
    </w:p>
    <w:p w:rsidR="00294693" w:rsidRDefault="00FA3DC7" w:rsidP="00294693">
      <w:pPr>
        <w:pStyle w:val="BodyText"/>
        <w:ind w:left="1080"/>
        <w:rPr>
          <w:color w:val="000000"/>
          <w:szCs w:val="24"/>
          <w:lang w:val="en-CA"/>
        </w:rPr>
      </w:pPr>
    </w:p>
    <w:p w:rsidR="00294693" w:rsidRDefault="00FA3DC7" w:rsidP="00375BC3">
      <w:pPr>
        <w:pStyle w:val="BodyText"/>
        <w:ind w:left="2880" w:hanging="720"/>
        <w:rPr>
          <w:color w:val="000000"/>
          <w:szCs w:val="24"/>
          <w:lang w:val="en-CA"/>
        </w:rPr>
      </w:pPr>
      <w:r>
        <w:rPr>
          <w:color w:val="000000"/>
          <w:szCs w:val="24"/>
          <w:lang w:val="en-CA"/>
        </w:rPr>
        <w:t>b.</w:t>
      </w:r>
      <w:r>
        <w:rPr>
          <w:color w:val="000000"/>
          <w:szCs w:val="24"/>
          <w:lang w:val="en-CA"/>
        </w:rPr>
        <w:tab/>
        <w:t>The Power Authority shall h</w:t>
      </w:r>
      <w:r>
        <w:rPr>
          <w:color w:val="000000"/>
          <w:szCs w:val="24"/>
          <w:lang w:val="en-CA"/>
        </w:rPr>
        <w:t xml:space="preserve">ave the right to review and </w:t>
      </w:r>
      <w:r>
        <w:rPr>
          <w:color w:val="000000"/>
          <w:szCs w:val="24"/>
          <w:lang w:val="en-CA"/>
        </w:rPr>
        <w:t xml:space="preserve">comment on </w:t>
      </w:r>
      <w:r>
        <w:rPr>
          <w:color w:val="000000"/>
          <w:szCs w:val="24"/>
          <w:lang w:val="en-CA"/>
        </w:rPr>
        <w:t xml:space="preserve">functional </w:t>
      </w:r>
      <w:r>
        <w:rPr>
          <w:color w:val="000000"/>
          <w:szCs w:val="24"/>
          <w:lang w:val="en-CA"/>
        </w:rPr>
        <w:t>s</w:t>
      </w:r>
      <w:r>
        <w:rPr>
          <w:color w:val="000000"/>
          <w:szCs w:val="24"/>
          <w:lang w:val="en-CA"/>
        </w:rPr>
        <w:t xml:space="preserve">pecifications/strategy papers </w:t>
      </w:r>
      <w:r>
        <w:rPr>
          <w:color w:val="000000"/>
          <w:szCs w:val="24"/>
          <w:lang w:val="en-CA"/>
        </w:rPr>
        <w:t xml:space="preserve">(“Specifications”) </w:t>
      </w:r>
      <w:r>
        <w:rPr>
          <w:color w:val="000000"/>
          <w:szCs w:val="24"/>
          <w:lang w:val="en-CA"/>
        </w:rPr>
        <w:t>for the SVCs and the New Line</w:t>
      </w:r>
      <w:r>
        <w:rPr>
          <w:color w:val="000000"/>
          <w:szCs w:val="24"/>
          <w:lang w:val="en-CA"/>
        </w:rPr>
        <w:t xml:space="preserve"> </w:t>
      </w:r>
      <w:r>
        <w:rPr>
          <w:color w:val="000000"/>
          <w:szCs w:val="24"/>
          <w:lang w:val="en-CA"/>
        </w:rPr>
        <w:t xml:space="preserve">before such </w:t>
      </w:r>
      <w:r>
        <w:rPr>
          <w:color w:val="000000"/>
          <w:szCs w:val="24"/>
          <w:lang w:val="en-CA"/>
        </w:rPr>
        <w:t>S</w:t>
      </w:r>
      <w:r>
        <w:rPr>
          <w:color w:val="000000"/>
          <w:szCs w:val="24"/>
          <w:lang w:val="en-CA"/>
        </w:rPr>
        <w:t>pecifications are released for translation into final engineering drawings</w:t>
      </w:r>
      <w:r w:rsidRPr="00513F9E">
        <w:rPr>
          <w:color w:val="000000"/>
          <w:szCs w:val="24"/>
          <w:lang w:val="en-CA"/>
        </w:rPr>
        <w:t xml:space="preserve">. Upon receipt of </w:t>
      </w:r>
      <w:r>
        <w:rPr>
          <w:color w:val="000000"/>
          <w:szCs w:val="24"/>
          <w:lang w:val="en-CA"/>
        </w:rPr>
        <w:t>S</w:t>
      </w:r>
      <w:r w:rsidRPr="00513F9E">
        <w:rPr>
          <w:color w:val="000000"/>
          <w:szCs w:val="24"/>
          <w:lang w:val="en-CA"/>
        </w:rPr>
        <w:t xml:space="preserve">pecifications, </w:t>
      </w:r>
      <w:r>
        <w:rPr>
          <w:color w:val="000000"/>
          <w:szCs w:val="24"/>
          <w:lang w:val="en-CA"/>
        </w:rPr>
        <w:t>t</w:t>
      </w:r>
      <w:r>
        <w:rPr>
          <w:color w:val="000000"/>
          <w:szCs w:val="24"/>
          <w:lang w:val="en-CA"/>
        </w:rPr>
        <w:t xml:space="preserve">he Power Authority </w:t>
      </w:r>
      <w:r w:rsidRPr="00513F9E">
        <w:rPr>
          <w:color w:val="000000"/>
          <w:szCs w:val="24"/>
          <w:lang w:val="en-CA"/>
        </w:rPr>
        <w:t xml:space="preserve">will have </w:t>
      </w:r>
      <w:r>
        <w:rPr>
          <w:color w:val="000000"/>
          <w:szCs w:val="24"/>
          <w:lang w:val="en-CA"/>
        </w:rPr>
        <w:t>ten (</w:t>
      </w:r>
      <w:r w:rsidRPr="00513F9E">
        <w:rPr>
          <w:color w:val="000000"/>
          <w:szCs w:val="24"/>
          <w:lang w:val="en-CA"/>
        </w:rPr>
        <w:t>10</w:t>
      </w:r>
      <w:r>
        <w:rPr>
          <w:color w:val="000000"/>
          <w:szCs w:val="24"/>
          <w:lang w:val="en-CA"/>
        </w:rPr>
        <w:t>)</w:t>
      </w:r>
      <w:r w:rsidRPr="00513F9E">
        <w:rPr>
          <w:color w:val="000000"/>
          <w:szCs w:val="24"/>
          <w:lang w:val="en-CA"/>
        </w:rPr>
        <w:t xml:space="preserve"> business days to provide written comments </w:t>
      </w:r>
      <w:r>
        <w:rPr>
          <w:color w:val="000000"/>
          <w:szCs w:val="24"/>
          <w:lang w:val="en-CA"/>
        </w:rPr>
        <w:t>t</w:t>
      </w:r>
      <w:r w:rsidRPr="00513F9E">
        <w:rPr>
          <w:color w:val="000000"/>
          <w:szCs w:val="24"/>
          <w:lang w:val="en-CA"/>
        </w:rPr>
        <w:t xml:space="preserve">o </w:t>
      </w:r>
      <w:r>
        <w:rPr>
          <w:color w:val="000000"/>
          <w:szCs w:val="24"/>
          <w:lang w:val="en-CA"/>
        </w:rPr>
        <w:t>Niagara Mohawk</w:t>
      </w:r>
      <w:r w:rsidRPr="00513F9E">
        <w:rPr>
          <w:color w:val="000000"/>
          <w:szCs w:val="24"/>
          <w:lang w:val="en-CA"/>
        </w:rPr>
        <w:t xml:space="preserve">.  If </w:t>
      </w:r>
      <w:r>
        <w:rPr>
          <w:color w:val="000000"/>
          <w:szCs w:val="24"/>
          <w:lang w:val="en-CA"/>
        </w:rPr>
        <w:t>t</w:t>
      </w:r>
      <w:r>
        <w:rPr>
          <w:color w:val="000000"/>
          <w:szCs w:val="24"/>
          <w:lang w:val="en-CA"/>
        </w:rPr>
        <w:t xml:space="preserve">he Power Authority </w:t>
      </w:r>
      <w:r w:rsidRPr="00513F9E">
        <w:rPr>
          <w:color w:val="000000"/>
          <w:szCs w:val="24"/>
          <w:lang w:val="en-CA"/>
        </w:rPr>
        <w:t xml:space="preserve">does not make written comments to </w:t>
      </w:r>
      <w:r>
        <w:rPr>
          <w:color w:val="000000"/>
          <w:szCs w:val="24"/>
          <w:lang w:val="en-CA"/>
        </w:rPr>
        <w:t>Niagara Mohawk</w:t>
      </w:r>
      <w:r w:rsidRPr="00513F9E">
        <w:rPr>
          <w:color w:val="000000"/>
          <w:szCs w:val="24"/>
          <w:lang w:val="en-CA"/>
        </w:rPr>
        <w:t xml:space="preserve"> during </w:t>
      </w:r>
      <w:r>
        <w:rPr>
          <w:color w:val="000000"/>
          <w:szCs w:val="24"/>
          <w:lang w:val="en-CA"/>
        </w:rPr>
        <w:t>this  ten (10) business day</w:t>
      </w:r>
      <w:r w:rsidRPr="00513F9E">
        <w:rPr>
          <w:color w:val="000000"/>
          <w:szCs w:val="24"/>
          <w:lang w:val="en-CA"/>
        </w:rPr>
        <w:t xml:space="preserve"> period, </w:t>
      </w:r>
      <w:r>
        <w:rPr>
          <w:color w:val="000000"/>
          <w:szCs w:val="24"/>
          <w:lang w:val="en-CA"/>
        </w:rPr>
        <w:t>t</w:t>
      </w:r>
      <w:r>
        <w:rPr>
          <w:color w:val="000000"/>
          <w:szCs w:val="24"/>
          <w:lang w:val="en-CA"/>
        </w:rPr>
        <w:t>he Power Authority shall be deemed to ha</w:t>
      </w:r>
      <w:r>
        <w:rPr>
          <w:color w:val="000000"/>
          <w:szCs w:val="24"/>
          <w:lang w:val="en-CA"/>
        </w:rPr>
        <w:t>ve waived its right to provide comments</w:t>
      </w:r>
      <w:r w:rsidRPr="00513F9E">
        <w:rPr>
          <w:color w:val="000000"/>
          <w:szCs w:val="24"/>
          <w:lang w:val="en-CA"/>
        </w:rPr>
        <w:t>.</w:t>
      </w:r>
      <w:r>
        <w:rPr>
          <w:i/>
          <w:color w:val="000000"/>
          <w:szCs w:val="24"/>
          <w:lang w:val="en-CA"/>
        </w:rPr>
        <w:t xml:space="preserve"> </w:t>
      </w:r>
      <w:r>
        <w:rPr>
          <w:color w:val="000000"/>
          <w:szCs w:val="24"/>
          <w:lang w:val="en-CA"/>
        </w:rPr>
        <w:t xml:space="preserve"> If </w:t>
      </w:r>
      <w:r>
        <w:rPr>
          <w:color w:val="000000"/>
          <w:szCs w:val="24"/>
          <w:lang w:val="en-CA"/>
        </w:rPr>
        <w:t>t</w:t>
      </w:r>
      <w:r>
        <w:rPr>
          <w:color w:val="000000"/>
          <w:szCs w:val="24"/>
          <w:lang w:val="en-CA"/>
        </w:rPr>
        <w:t xml:space="preserve">he Power Authority and </w:t>
      </w:r>
      <w:r>
        <w:rPr>
          <w:color w:val="000000"/>
          <w:szCs w:val="24"/>
          <w:lang w:val="en-CA"/>
        </w:rPr>
        <w:t xml:space="preserve">Niagara Mohawk </w:t>
      </w:r>
      <w:r>
        <w:rPr>
          <w:color w:val="000000"/>
          <w:szCs w:val="24"/>
          <w:lang w:val="en-CA"/>
        </w:rPr>
        <w:t xml:space="preserve">cannot agree on the content of </w:t>
      </w:r>
      <w:r>
        <w:rPr>
          <w:color w:val="000000"/>
          <w:szCs w:val="24"/>
          <w:lang w:val="en-CA"/>
        </w:rPr>
        <w:t>S</w:t>
      </w:r>
      <w:r>
        <w:rPr>
          <w:color w:val="000000"/>
          <w:szCs w:val="24"/>
          <w:lang w:val="en-CA"/>
        </w:rPr>
        <w:t>pecification</w:t>
      </w:r>
      <w:r>
        <w:rPr>
          <w:color w:val="000000"/>
          <w:szCs w:val="24"/>
          <w:lang w:val="en-CA"/>
        </w:rPr>
        <w:t>s</w:t>
      </w:r>
      <w:r>
        <w:rPr>
          <w:color w:val="000000"/>
          <w:szCs w:val="24"/>
          <w:lang w:val="en-CA"/>
        </w:rPr>
        <w:t xml:space="preserve">, either </w:t>
      </w:r>
      <w:r>
        <w:rPr>
          <w:color w:val="000000"/>
          <w:szCs w:val="24"/>
          <w:lang w:val="en-CA"/>
        </w:rPr>
        <w:t>P</w:t>
      </w:r>
      <w:r>
        <w:rPr>
          <w:color w:val="000000"/>
          <w:szCs w:val="24"/>
          <w:lang w:val="en-CA"/>
        </w:rPr>
        <w:t>arty may invoke the dispute resolut</w:t>
      </w:r>
      <w:r>
        <w:rPr>
          <w:color w:val="000000"/>
          <w:szCs w:val="24"/>
          <w:lang w:val="en-CA"/>
        </w:rPr>
        <w:t xml:space="preserve">ion provisions of Paragraph </w:t>
      </w:r>
      <w:r w:rsidRPr="00A636D7">
        <w:rPr>
          <w:color w:val="000000"/>
          <w:szCs w:val="24"/>
          <w:lang w:val="en-CA"/>
        </w:rPr>
        <w:t>C.15</w:t>
      </w:r>
      <w:r w:rsidRPr="00A636D7">
        <w:rPr>
          <w:color w:val="000000"/>
          <w:szCs w:val="24"/>
          <w:lang w:val="en-CA"/>
        </w:rPr>
        <w:t>.</w:t>
      </w:r>
      <w:r>
        <w:rPr>
          <w:color w:val="000000"/>
          <w:szCs w:val="24"/>
          <w:lang w:val="en-CA"/>
        </w:rPr>
        <w:t xml:space="preserve">  </w:t>
      </w:r>
    </w:p>
    <w:p w:rsidR="00294693" w:rsidRDefault="00FA3DC7" w:rsidP="00294693">
      <w:pPr>
        <w:pStyle w:val="BodyText"/>
        <w:ind w:left="1080"/>
        <w:rPr>
          <w:color w:val="000000"/>
          <w:szCs w:val="24"/>
          <w:lang w:val="en-CA"/>
        </w:rPr>
      </w:pPr>
    </w:p>
    <w:p w:rsidR="00294693" w:rsidRDefault="00FA3DC7" w:rsidP="00375BC3">
      <w:pPr>
        <w:pStyle w:val="BodyText"/>
        <w:ind w:left="2880" w:hanging="720"/>
        <w:rPr>
          <w:color w:val="000000"/>
          <w:szCs w:val="24"/>
          <w:lang w:val="en-CA"/>
        </w:rPr>
      </w:pPr>
      <w:r>
        <w:rPr>
          <w:color w:val="000000"/>
          <w:szCs w:val="24"/>
          <w:lang w:val="en-CA"/>
        </w:rPr>
        <w:t>c.</w:t>
      </w:r>
      <w:r>
        <w:rPr>
          <w:color w:val="000000"/>
          <w:szCs w:val="24"/>
          <w:lang w:val="en-CA"/>
        </w:rPr>
        <w:tab/>
      </w:r>
      <w:r>
        <w:rPr>
          <w:color w:val="000000"/>
          <w:szCs w:val="24"/>
          <w:lang w:val="en-CA"/>
        </w:rPr>
        <w:t xml:space="preserve">The Power Authority shall have the right to review and </w:t>
      </w:r>
      <w:r>
        <w:rPr>
          <w:color w:val="000000"/>
          <w:szCs w:val="24"/>
          <w:lang w:val="en-CA"/>
        </w:rPr>
        <w:t xml:space="preserve">comment on </w:t>
      </w:r>
      <w:r>
        <w:rPr>
          <w:color w:val="000000"/>
          <w:szCs w:val="24"/>
          <w:lang w:val="en-CA"/>
        </w:rPr>
        <w:t xml:space="preserve">final </w:t>
      </w:r>
      <w:r>
        <w:rPr>
          <w:color w:val="000000"/>
          <w:szCs w:val="24"/>
          <w:lang w:val="en-CA"/>
        </w:rPr>
        <w:t>c</w:t>
      </w:r>
      <w:r>
        <w:rPr>
          <w:color w:val="000000"/>
          <w:szCs w:val="24"/>
          <w:lang w:val="en-CA"/>
        </w:rPr>
        <w:t>onstruction drawings/specifications (“</w:t>
      </w:r>
      <w:r>
        <w:rPr>
          <w:color w:val="000000"/>
          <w:szCs w:val="24"/>
          <w:lang w:val="en-CA"/>
        </w:rPr>
        <w:t>L</w:t>
      </w:r>
      <w:r>
        <w:rPr>
          <w:color w:val="000000"/>
          <w:szCs w:val="24"/>
          <w:lang w:val="en-CA"/>
        </w:rPr>
        <w:t xml:space="preserve">ine </w:t>
      </w:r>
      <w:r>
        <w:rPr>
          <w:color w:val="000000"/>
          <w:szCs w:val="24"/>
          <w:lang w:val="en-CA"/>
        </w:rPr>
        <w:t>C</w:t>
      </w:r>
      <w:r>
        <w:rPr>
          <w:color w:val="000000"/>
          <w:szCs w:val="24"/>
          <w:lang w:val="en-CA"/>
        </w:rPr>
        <w:t xml:space="preserve">onstruction </w:t>
      </w:r>
      <w:r>
        <w:rPr>
          <w:color w:val="000000"/>
          <w:szCs w:val="24"/>
          <w:lang w:val="en-CA"/>
        </w:rPr>
        <w:t>D</w:t>
      </w:r>
      <w:r>
        <w:rPr>
          <w:color w:val="000000"/>
          <w:szCs w:val="24"/>
          <w:lang w:val="en-CA"/>
        </w:rPr>
        <w:t xml:space="preserve">ocuments”) for the New Line.  Upon receipt of final </w:t>
      </w:r>
      <w:r>
        <w:rPr>
          <w:color w:val="000000"/>
          <w:szCs w:val="24"/>
          <w:lang w:val="en-CA"/>
        </w:rPr>
        <w:t>L</w:t>
      </w:r>
      <w:r>
        <w:rPr>
          <w:color w:val="000000"/>
          <w:szCs w:val="24"/>
          <w:lang w:val="en-CA"/>
        </w:rPr>
        <w:t xml:space="preserve">ine </w:t>
      </w:r>
      <w:r>
        <w:rPr>
          <w:color w:val="000000"/>
          <w:szCs w:val="24"/>
          <w:lang w:val="en-CA"/>
        </w:rPr>
        <w:t>C</w:t>
      </w:r>
      <w:r>
        <w:rPr>
          <w:color w:val="000000"/>
          <w:szCs w:val="24"/>
          <w:lang w:val="en-CA"/>
        </w:rPr>
        <w:t xml:space="preserve">onstruction </w:t>
      </w:r>
      <w:r>
        <w:rPr>
          <w:color w:val="000000"/>
          <w:szCs w:val="24"/>
          <w:lang w:val="en-CA"/>
        </w:rPr>
        <w:t>D</w:t>
      </w:r>
      <w:r>
        <w:rPr>
          <w:color w:val="000000"/>
          <w:szCs w:val="24"/>
          <w:lang w:val="en-CA"/>
        </w:rPr>
        <w:t xml:space="preserve">ocuments for the New Line, </w:t>
      </w:r>
      <w:r>
        <w:rPr>
          <w:color w:val="000000"/>
          <w:szCs w:val="24"/>
          <w:lang w:val="en-CA"/>
        </w:rPr>
        <w:t>t</w:t>
      </w:r>
      <w:r>
        <w:rPr>
          <w:color w:val="000000"/>
          <w:szCs w:val="24"/>
          <w:lang w:val="en-CA"/>
        </w:rPr>
        <w:t>he Power Authority</w:t>
      </w:r>
      <w:r w:rsidRPr="00513F9E">
        <w:rPr>
          <w:color w:val="000000"/>
          <w:szCs w:val="24"/>
          <w:lang w:val="en-CA"/>
        </w:rPr>
        <w:t xml:space="preserve"> will hav</w:t>
      </w:r>
      <w:r w:rsidRPr="00513F9E">
        <w:rPr>
          <w:color w:val="000000"/>
          <w:szCs w:val="24"/>
          <w:lang w:val="en-CA"/>
        </w:rPr>
        <w:t xml:space="preserve">e </w:t>
      </w:r>
      <w:r>
        <w:rPr>
          <w:color w:val="000000"/>
          <w:szCs w:val="24"/>
          <w:lang w:val="en-CA"/>
        </w:rPr>
        <w:t>ten (</w:t>
      </w:r>
      <w:r w:rsidRPr="00513F9E">
        <w:rPr>
          <w:color w:val="000000"/>
          <w:szCs w:val="24"/>
          <w:lang w:val="en-CA"/>
        </w:rPr>
        <w:t>10</w:t>
      </w:r>
      <w:r>
        <w:rPr>
          <w:color w:val="000000"/>
          <w:szCs w:val="24"/>
          <w:lang w:val="en-CA"/>
        </w:rPr>
        <w:t>)</w:t>
      </w:r>
      <w:r w:rsidRPr="00513F9E">
        <w:rPr>
          <w:color w:val="000000"/>
          <w:szCs w:val="24"/>
          <w:lang w:val="en-CA"/>
        </w:rPr>
        <w:t xml:space="preserve"> business days to provide written comments to N</w:t>
      </w:r>
      <w:r>
        <w:rPr>
          <w:color w:val="000000"/>
          <w:szCs w:val="24"/>
          <w:lang w:val="en-CA"/>
        </w:rPr>
        <w:t>iagara Mohawk</w:t>
      </w:r>
      <w:r w:rsidRPr="00513F9E">
        <w:rPr>
          <w:color w:val="000000"/>
          <w:szCs w:val="24"/>
          <w:lang w:val="en-CA"/>
        </w:rPr>
        <w:t xml:space="preserve">.  </w:t>
      </w:r>
      <w:r>
        <w:rPr>
          <w:color w:val="000000"/>
          <w:szCs w:val="24"/>
          <w:lang w:val="en-CA"/>
        </w:rPr>
        <w:t xml:space="preserve"> </w:t>
      </w:r>
      <w:r w:rsidRPr="00513F9E">
        <w:rPr>
          <w:color w:val="000000"/>
          <w:szCs w:val="24"/>
          <w:lang w:val="en-CA"/>
        </w:rPr>
        <w:t xml:space="preserve">If </w:t>
      </w:r>
      <w:r>
        <w:rPr>
          <w:color w:val="000000"/>
          <w:szCs w:val="24"/>
          <w:lang w:val="en-CA"/>
        </w:rPr>
        <w:t>t</w:t>
      </w:r>
      <w:r>
        <w:rPr>
          <w:color w:val="000000"/>
          <w:szCs w:val="24"/>
          <w:lang w:val="en-CA"/>
        </w:rPr>
        <w:t xml:space="preserve">he Power Authority </w:t>
      </w:r>
      <w:r w:rsidRPr="00513F9E">
        <w:rPr>
          <w:color w:val="000000"/>
          <w:szCs w:val="24"/>
          <w:lang w:val="en-CA"/>
        </w:rPr>
        <w:t>does not make written comments to N</w:t>
      </w:r>
      <w:r>
        <w:rPr>
          <w:color w:val="000000"/>
          <w:szCs w:val="24"/>
          <w:lang w:val="en-CA"/>
        </w:rPr>
        <w:t>iagara Mohawk</w:t>
      </w:r>
      <w:r w:rsidRPr="00513F9E">
        <w:rPr>
          <w:color w:val="000000"/>
          <w:szCs w:val="24"/>
          <w:lang w:val="en-CA"/>
        </w:rPr>
        <w:t xml:space="preserve"> during th</w:t>
      </w:r>
      <w:r>
        <w:rPr>
          <w:color w:val="000000"/>
          <w:szCs w:val="24"/>
          <w:lang w:val="en-CA"/>
        </w:rPr>
        <w:t xml:space="preserve">is ten (10) business day </w:t>
      </w:r>
      <w:r w:rsidRPr="00513F9E">
        <w:rPr>
          <w:color w:val="000000"/>
          <w:szCs w:val="24"/>
          <w:lang w:val="en-CA"/>
        </w:rPr>
        <w:t xml:space="preserve">period, </w:t>
      </w:r>
      <w:r>
        <w:rPr>
          <w:color w:val="000000"/>
          <w:szCs w:val="24"/>
          <w:lang w:val="en-CA"/>
        </w:rPr>
        <w:t>t</w:t>
      </w:r>
      <w:r>
        <w:rPr>
          <w:color w:val="000000"/>
          <w:szCs w:val="24"/>
          <w:lang w:val="en-CA"/>
        </w:rPr>
        <w:t>he Power Authority shall be deemed to have waived its right to prov</w:t>
      </w:r>
      <w:r>
        <w:rPr>
          <w:color w:val="000000"/>
          <w:szCs w:val="24"/>
          <w:lang w:val="en-CA"/>
        </w:rPr>
        <w:t xml:space="preserve">ide comments.  If </w:t>
      </w:r>
      <w:r>
        <w:rPr>
          <w:color w:val="000000"/>
          <w:szCs w:val="24"/>
          <w:lang w:val="en-CA"/>
        </w:rPr>
        <w:t>t</w:t>
      </w:r>
      <w:r>
        <w:rPr>
          <w:color w:val="000000"/>
          <w:szCs w:val="24"/>
          <w:lang w:val="en-CA"/>
        </w:rPr>
        <w:t>he Power Authority and N</w:t>
      </w:r>
      <w:r>
        <w:rPr>
          <w:color w:val="000000"/>
          <w:szCs w:val="24"/>
          <w:lang w:val="en-CA"/>
        </w:rPr>
        <w:t xml:space="preserve">iagara Mohawk </w:t>
      </w:r>
      <w:r>
        <w:rPr>
          <w:color w:val="000000"/>
          <w:szCs w:val="24"/>
          <w:lang w:val="en-CA"/>
        </w:rPr>
        <w:t xml:space="preserve">cannot agree on the content of final </w:t>
      </w:r>
      <w:r>
        <w:rPr>
          <w:color w:val="000000"/>
          <w:szCs w:val="24"/>
          <w:lang w:val="en-CA"/>
        </w:rPr>
        <w:t>L</w:t>
      </w:r>
      <w:r>
        <w:rPr>
          <w:color w:val="000000"/>
          <w:szCs w:val="24"/>
          <w:lang w:val="en-CA"/>
        </w:rPr>
        <w:t xml:space="preserve">ine </w:t>
      </w:r>
      <w:r>
        <w:rPr>
          <w:color w:val="000000"/>
          <w:szCs w:val="24"/>
          <w:lang w:val="en-CA"/>
        </w:rPr>
        <w:t>C</w:t>
      </w:r>
      <w:r>
        <w:rPr>
          <w:color w:val="000000"/>
          <w:szCs w:val="24"/>
          <w:lang w:val="en-CA"/>
        </w:rPr>
        <w:t xml:space="preserve">onstruction </w:t>
      </w:r>
      <w:r>
        <w:rPr>
          <w:color w:val="000000"/>
          <w:szCs w:val="24"/>
          <w:lang w:val="en-CA"/>
        </w:rPr>
        <w:t>D</w:t>
      </w:r>
      <w:r>
        <w:rPr>
          <w:color w:val="000000"/>
          <w:szCs w:val="24"/>
          <w:lang w:val="en-CA"/>
        </w:rPr>
        <w:t xml:space="preserve">ocuments, either </w:t>
      </w:r>
      <w:r>
        <w:rPr>
          <w:color w:val="000000"/>
          <w:szCs w:val="24"/>
          <w:lang w:val="en-CA"/>
        </w:rPr>
        <w:t>P</w:t>
      </w:r>
      <w:r>
        <w:rPr>
          <w:color w:val="000000"/>
          <w:szCs w:val="24"/>
          <w:lang w:val="en-CA"/>
        </w:rPr>
        <w:t xml:space="preserve">arty may invoke the dispute resolution provisions of Paragraph </w:t>
      </w:r>
      <w:r w:rsidRPr="00A636D7">
        <w:rPr>
          <w:color w:val="000000"/>
          <w:szCs w:val="24"/>
          <w:lang w:val="en-CA"/>
        </w:rPr>
        <w:t>C.1</w:t>
      </w:r>
      <w:r w:rsidRPr="00A636D7">
        <w:rPr>
          <w:color w:val="000000"/>
          <w:szCs w:val="24"/>
          <w:lang w:val="en-CA"/>
        </w:rPr>
        <w:t>5</w:t>
      </w:r>
      <w:r w:rsidRPr="00A636D7">
        <w:rPr>
          <w:color w:val="000000"/>
          <w:szCs w:val="24"/>
          <w:lang w:val="en-CA"/>
        </w:rPr>
        <w:t>.</w:t>
      </w:r>
    </w:p>
    <w:p w:rsidR="00294693" w:rsidRDefault="00FA3DC7" w:rsidP="00294693">
      <w:pPr>
        <w:pStyle w:val="BodyText"/>
        <w:rPr>
          <w:color w:val="000000"/>
          <w:szCs w:val="24"/>
          <w:lang w:val="en-CA"/>
        </w:rPr>
      </w:pPr>
    </w:p>
    <w:p w:rsidR="00294693" w:rsidRDefault="00FA3DC7" w:rsidP="00375BC3">
      <w:pPr>
        <w:pStyle w:val="BodyText"/>
        <w:ind w:left="2880" w:hanging="720"/>
        <w:rPr>
          <w:color w:val="000000"/>
          <w:szCs w:val="24"/>
          <w:lang w:val="en-CA"/>
        </w:rPr>
      </w:pPr>
      <w:r>
        <w:rPr>
          <w:color w:val="000000"/>
          <w:szCs w:val="24"/>
          <w:lang w:val="en-CA"/>
        </w:rPr>
        <w:t>d.</w:t>
      </w:r>
      <w:r>
        <w:rPr>
          <w:color w:val="000000"/>
          <w:szCs w:val="24"/>
          <w:lang w:val="en-CA"/>
        </w:rPr>
        <w:tab/>
        <w:t xml:space="preserve">Upon </w:t>
      </w:r>
      <w:r>
        <w:rPr>
          <w:color w:val="000000"/>
          <w:szCs w:val="24"/>
          <w:lang w:val="en-CA"/>
        </w:rPr>
        <w:t>t</w:t>
      </w:r>
      <w:r>
        <w:rPr>
          <w:color w:val="000000"/>
          <w:szCs w:val="24"/>
          <w:lang w:val="en-CA"/>
        </w:rPr>
        <w:t>he Power Authority’s request N</w:t>
      </w:r>
      <w:r>
        <w:rPr>
          <w:color w:val="000000"/>
          <w:szCs w:val="24"/>
          <w:lang w:val="en-CA"/>
        </w:rPr>
        <w:t>iagara Mohawk</w:t>
      </w:r>
      <w:r>
        <w:rPr>
          <w:color w:val="000000"/>
          <w:szCs w:val="24"/>
          <w:lang w:val="en-CA"/>
        </w:rPr>
        <w:t xml:space="preserve"> wi</w:t>
      </w:r>
      <w:r>
        <w:rPr>
          <w:color w:val="000000"/>
          <w:szCs w:val="24"/>
          <w:lang w:val="en-CA"/>
        </w:rPr>
        <w:t xml:space="preserve">ll provide copies of SVC </w:t>
      </w:r>
      <w:r>
        <w:rPr>
          <w:color w:val="000000"/>
          <w:szCs w:val="24"/>
          <w:lang w:val="en-CA"/>
        </w:rPr>
        <w:t>c</w:t>
      </w:r>
      <w:r>
        <w:rPr>
          <w:color w:val="000000"/>
          <w:szCs w:val="24"/>
          <w:lang w:val="en-CA"/>
        </w:rPr>
        <w:t xml:space="preserve">onstruction documents to </w:t>
      </w:r>
      <w:r>
        <w:rPr>
          <w:color w:val="000000"/>
          <w:szCs w:val="24"/>
          <w:lang w:val="en-CA"/>
        </w:rPr>
        <w:t>t</w:t>
      </w:r>
      <w:r>
        <w:rPr>
          <w:color w:val="000000"/>
          <w:szCs w:val="24"/>
          <w:lang w:val="en-CA"/>
        </w:rPr>
        <w:t xml:space="preserve">he Power Authority during the course of the SVC construction.  However, since the SVC project is a “turn key project” where design/drawings are completed in phases, </w:t>
      </w:r>
      <w:r>
        <w:rPr>
          <w:color w:val="000000"/>
          <w:szCs w:val="24"/>
          <w:lang w:val="en-CA"/>
        </w:rPr>
        <w:t>t</w:t>
      </w:r>
      <w:r>
        <w:rPr>
          <w:color w:val="000000"/>
          <w:szCs w:val="24"/>
          <w:lang w:val="en-CA"/>
        </w:rPr>
        <w:t xml:space="preserve">he Power Authority’s comments must be </w:t>
      </w:r>
      <w:r>
        <w:rPr>
          <w:color w:val="000000"/>
          <w:szCs w:val="24"/>
          <w:lang w:val="en-CA"/>
        </w:rPr>
        <w:t>made to N</w:t>
      </w:r>
      <w:r>
        <w:rPr>
          <w:color w:val="000000"/>
          <w:szCs w:val="24"/>
          <w:lang w:val="en-CA"/>
        </w:rPr>
        <w:t>iagara Mohawk</w:t>
      </w:r>
      <w:r>
        <w:rPr>
          <w:color w:val="000000"/>
          <w:szCs w:val="24"/>
          <w:lang w:val="en-CA"/>
        </w:rPr>
        <w:t xml:space="preserve"> within </w:t>
      </w:r>
      <w:r>
        <w:rPr>
          <w:color w:val="000000"/>
          <w:szCs w:val="24"/>
          <w:lang w:val="en-CA"/>
        </w:rPr>
        <w:t>five</w:t>
      </w:r>
      <w:r>
        <w:rPr>
          <w:color w:val="000000"/>
          <w:szCs w:val="24"/>
          <w:lang w:val="en-CA"/>
        </w:rPr>
        <w:t xml:space="preserve"> (5)</w:t>
      </w:r>
      <w:r>
        <w:rPr>
          <w:color w:val="000000"/>
          <w:szCs w:val="24"/>
          <w:lang w:val="en-CA"/>
        </w:rPr>
        <w:t xml:space="preserve"> business days of receipt of </w:t>
      </w:r>
      <w:r>
        <w:rPr>
          <w:color w:val="000000"/>
          <w:szCs w:val="24"/>
          <w:lang w:val="en-CA"/>
        </w:rPr>
        <w:t>the design/drawings</w:t>
      </w:r>
      <w:r>
        <w:rPr>
          <w:color w:val="000000"/>
          <w:szCs w:val="24"/>
          <w:lang w:val="en-CA"/>
        </w:rPr>
        <w:t>.  Because the SVC schedule is of utmost importance, it is understood that N</w:t>
      </w:r>
      <w:r>
        <w:rPr>
          <w:color w:val="000000"/>
          <w:szCs w:val="24"/>
          <w:lang w:val="en-CA"/>
        </w:rPr>
        <w:t>iagara Mohawk</w:t>
      </w:r>
      <w:r>
        <w:rPr>
          <w:color w:val="000000"/>
          <w:szCs w:val="24"/>
          <w:lang w:val="en-CA"/>
        </w:rPr>
        <w:t xml:space="preserve"> may issue construction drawings </w:t>
      </w:r>
      <w:r>
        <w:rPr>
          <w:color w:val="000000"/>
          <w:szCs w:val="24"/>
          <w:lang w:val="en-CA"/>
        </w:rPr>
        <w:t>in</w:t>
      </w:r>
      <w:r>
        <w:rPr>
          <w:color w:val="000000"/>
          <w:szCs w:val="24"/>
          <w:lang w:val="en-CA"/>
        </w:rPr>
        <w:t xml:space="preserve"> the field in parallel with any drawings that are requested by </w:t>
      </w:r>
      <w:r>
        <w:rPr>
          <w:color w:val="000000"/>
          <w:szCs w:val="24"/>
          <w:lang w:val="en-CA"/>
        </w:rPr>
        <w:t>t</w:t>
      </w:r>
      <w:r>
        <w:rPr>
          <w:color w:val="000000"/>
          <w:szCs w:val="24"/>
          <w:lang w:val="en-CA"/>
        </w:rPr>
        <w:t xml:space="preserve">he Power Authority.  </w:t>
      </w:r>
    </w:p>
    <w:p w:rsidR="00294693" w:rsidRDefault="00FA3DC7" w:rsidP="00294693">
      <w:pPr>
        <w:pStyle w:val="BodyText"/>
        <w:rPr>
          <w:color w:val="000000"/>
          <w:szCs w:val="24"/>
          <w:lang w:val="en-CA"/>
        </w:rPr>
      </w:pPr>
    </w:p>
    <w:p w:rsidR="003A295C" w:rsidRPr="00D54195" w:rsidRDefault="00FA3DC7" w:rsidP="003A295C">
      <w:pPr>
        <w:ind w:left="2880" w:hanging="720"/>
        <w:rPr>
          <w:b/>
          <w:highlight w:val="yellow"/>
        </w:rPr>
      </w:pPr>
      <w:r>
        <w:rPr>
          <w:color w:val="000000"/>
          <w:szCs w:val="24"/>
          <w:lang w:val="en-CA"/>
        </w:rPr>
        <w:t>e.</w:t>
      </w:r>
      <w:r>
        <w:rPr>
          <w:color w:val="000000"/>
          <w:szCs w:val="24"/>
          <w:lang w:val="en-CA"/>
        </w:rPr>
        <w:tab/>
        <w:t>Niagara</w:t>
      </w:r>
      <w:r>
        <w:rPr>
          <w:color w:val="000000"/>
          <w:szCs w:val="24"/>
          <w:lang w:val="en-CA"/>
        </w:rPr>
        <w:t xml:space="preserve"> </w:t>
      </w:r>
      <w:r>
        <w:rPr>
          <w:color w:val="000000"/>
          <w:szCs w:val="24"/>
          <w:lang w:val="en-CA"/>
        </w:rPr>
        <w:t xml:space="preserve">Mohawk shall provide </w:t>
      </w:r>
      <w:r>
        <w:rPr>
          <w:color w:val="000000"/>
          <w:szCs w:val="24"/>
          <w:lang w:val="en-CA"/>
        </w:rPr>
        <w:t>t</w:t>
      </w:r>
      <w:r>
        <w:rPr>
          <w:color w:val="000000"/>
          <w:szCs w:val="24"/>
          <w:lang w:val="en-CA"/>
        </w:rPr>
        <w:t xml:space="preserve">he Power Authority  with a monthly report on the progress of the Project, including information on </w:t>
      </w:r>
      <w:r>
        <w:rPr>
          <w:color w:val="000000"/>
          <w:szCs w:val="24"/>
          <w:lang w:val="en-CA"/>
        </w:rPr>
        <w:t xml:space="preserve">schedule, </w:t>
      </w:r>
      <w:r>
        <w:rPr>
          <w:color w:val="000000"/>
          <w:szCs w:val="24"/>
          <w:lang w:val="en-CA"/>
        </w:rPr>
        <w:t>costs and variances from bu</w:t>
      </w:r>
      <w:r>
        <w:rPr>
          <w:color w:val="000000"/>
          <w:szCs w:val="24"/>
          <w:lang w:val="en-CA"/>
        </w:rPr>
        <w:t>dget.</w:t>
      </w:r>
      <w:r>
        <w:rPr>
          <w:color w:val="000000"/>
          <w:szCs w:val="24"/>
          <w:lang w:val="en-CA"/>
        </w:rPr>
        <w:t xml:space="preserve"> </w:t>
      </w:r>
      <w:r>
        <w:rPr>
          <w:color w:val="000000"/>
          <w:szCs w:val="24"/>
          <w:lang w:val="en-CA"/>
        </w:rPr>
        <w:t xml:space="preserve"> Such monthly report shall be in </w:t>
      </w:r>
      <w:r>
        <w:rPr>
          <w:color w:val="000000"/>
          <w:szCs w:val="24"/>
          <w:lang w:val="en-CA"/>
        </w:rPr>
        <w:t>sufficient detail to verify the validity of each charge on the monthly invoice and shall include adequate information on each work task so that the Power Authority is fully aware of construction progress and can verif</w:t>
      </w:r>
      <w:r>
        <w:rPr>
          <w:color w:val="000000"/>
          <w:szCs w:val="24"/>
          <w:lang w:val="en-CA"/>
        </w:rPr>
        <w:t xml:space="preserve">y the validity of each charge on the monthly invoice. The monthly report </w:t>
      </w:r>
      <w:r>
        <w:rPr>
          <w:color w:val="000000"/>
          <w:szCs w:val="24"/>
          <w:lang w:val="en-CA"/>
        </w:rPr>
        <w:t xml:space="preserve">shall </w:t>
      </w:r>
      <w:r>
        <w:rPr>
          <w:color w:val="000000"/>
          <w:szCs w:val="24"/>
          <w:lang w:val="en-CA"/>
        </w:rPr>
        <w:t>be sent with each monthly invoice.</w:t>
      </w:r>
      <w:r w:rsidRPr="00D54195">
        <w:rPr>
          <w:b/>
          <w:highlight w:val="yellow"/>
        </w:rPr>
        <w:t xml:space="preserve"> </w:t>
      </w:r>
    </w:p>
    <w:p w:rsidR="00316588" w:rsidRDefault="00FA3DC7" w:rsidP="00316588">
      <w:pPr>
        <w:pStyle w:val="BodyText"/>
        <w:ind w:left="2880" w:hanging="720"/>
        <w:rPr>
          <w:color w:val="000000"/>
          <w:szCs w:val="24"/>
          <w:lang w:val="en-CA"/>
        </w:rPr>
      </w:pPr>
    </w:p>
    <w:p w:rsidR="00456E92" w:rsidRDefault="00FA3DC7" w:rsidP="00DF1C63">
      <w:pPr>
        <w:pStyle w:val="BodyText"/>
        <w:ind w:left="2880" w:hanging="720"/>
        <w:rPr>
          <w:color w:val="000000"/>
          <w:szCs w:val="24"/>
          <w:lang w:val="en-CA"/>
        </w:rPr>
      </w:pPr>
      <w:r>
        <w:rPr>
          <w:color w:val="000000"/>
          <w:szCs w:val="24"/>
          <w:lang w:val="en-CA"/>
        </w:rPr>
        <w:t>f</w:t>
      </w:r>
      <w:r>
        <w:rPr>
          <w:color w:val="000000"/>
          <w:szCs w:val="24"/>
          <w:lang w:val="en-CA"/>
        </w:rPr>
        <w:t>.</w:t>
      </w:r>
      <w:r>
        <w:rPr>
          <w:color w:val="000000"/>
          <w:szCs w:val="24"/>
          <w:lang w:val="en-CA"/>
        </w:rPr>
        <w:tab/>
      </w:r>
      <w:r>
        <w:rPr>
          <w:color w:val="000000"/>
          <w:szCs w:val="24"/>
          <w:lang w:val="en-CA"/>
        </w:rPr>
        <w:t xml:space="preserve">(1)  Niagara Mohawk and the Power Authority shall work together to develop a mutually agreeable testing and acceptance protocol (“Protocol”) for the SVCs and the New Line. Each facility shall, at a minimum, be required to meet </w:t>
      </w:r>
      <w:r>
        <w:rPr>
          <w:color w:val="000000"/>
          <w:szCs w:val="24"/>
          <w:lang w:val="en-CA"/>
        </w:rPr>
        <w:t>the operability parameters se</w:t>
      </w:r>
      <w:r>
        <w:rPr>
          <w:color w:val="000000"/>
          <w:szCs w:val="24"/>
          <w:lang w:val="en-CA"/>
        </w:rPr>
        <w:t xml:space="preserve">t forth in </w:t>
      </w:r>
      <w:r>
        <w:rPr>
          <w:color w:val="000000"/>
          <w:szCs w:val="24"/>
          <w:lang w:val="en-CA"/>
        </w:rPr>
        <w:t xml:space="preserve">the </w:t>
      </w:r>
      <w:r>
        <w:rPr>
          <w:color w:val="000000"/>
          <w:szCs w:val="24"/>
          <w:lang w:val="en-CA"/>
        </w:rPr>
        <w:t>functional specification</w:t>
      </w:r>
      <w:r>
        <w:rPr>
          <w:color w:val="000000"/>
          <w:szCs w:val="24"/>
          <w:lang w:val="en-CA"/>
        </w:rPr>
        <w:t>s</w:t>
      </w:r>
      <w:r>
        <w:rPr>
          <w:color w:val="000000"/>
          <w:szCs w:val="24"/>
          <w:lang w:val="en-CA"/>
        </w:rPr>
        <w:t xml:space="preserve"> and the performance warranties provided by </w:t>
      </w:r>
      <w:r>
        <w:rPr>
          <w:color w:val="000000"/>
          <w:szCs w:val="24"/>
          <w:lang w:val="en-CA"/>
        </w:rPr>
        <w:t>equipment</w:t>
      </w:r>
      <w:r>
        <w:rPr>
          <w:color w:val="000000"/>
          <w:szCs w:val="24"/>
          <w:lang w:val="en-CA"/>
        </w:rPr>
        <w:t xml:space="preserve"> vendor</w:t>
      </w:r>
      <w:r>
        <w:rPr>
          <w:color w:val="000000"/>
          <w:szCs w:val="24"/>
          <w:lang w:val="en-CA"/>
        </w:rPr>
        <w:t>s</w:t>
      </w:r>
      <w:r>
        <w:rPr>
          <w:color w:val="000000"/>
          <w:szCs w:val="24"/>
          <w:lang w:val="en-CA"/>
        </w:rPr>
        <w:t>.</w:t>
      </w:r>
      <w:r>
        <w:rPr>
          <w:color w:val="000000"/>
          <w:szCs w:val="24"/>
          <w:lang w:val="en-CA"/>
        </w:rPr>
        <w:t xml:space="preserve"> </w:t>
      </w:r>
    </w:p>
    <w:p w:rsidR="00456E92" w:rsidRDefault="00FA3DC7" w:rsidP="00DF1C63">
      <w:pPr>
        <w:pStyle w:val="BodyText"/>
        <w:ind w:left="2880" w:hanging="720"/>
        <w:rPr>
          <w:color w:val="000000"/>
          <w:szCs w:val="24"/>
          <w:lang w:val="en-CA"/>
        </w:rPr>
      </w:pPr>
      <w:r>
        <w:rPr>
          <w:color w:val="000000"/>
          <w:szCs w:val="24"/>
          <w:lang w:val="en-CA"/>
        </w:rPr>
        <w:tab/>
      </w:r>
    </w:p>
    <w:p w:rsidR="00DF1C63" w:rsidRDefault="00FA3DC7" w:rsidP="00DF1C63">
      <w:pPr>
        <w:pStyle w:val="BodyText"/>
        <w:ind w:left="2880" w:hanging="720"/>
        <w:rPr>
          <w:color w:val="000000"/>
          <w:szCs w:val="24"/>
          <w:lang w:val="en-CA"/>
        </w:rPr>
      </w:pPr>
      <w:r>
        <w:rPr>
          <w:color w:val="000000"/>
          <w:szCs w:val="24"/>
          <w:lang w:val="en-CA"/>
        </w:rPr>
        <w:tab/>
        <w:t xml:space="preserve">(2) After completion of construction of each facility, </w:t>
      </w:r>
      <w:r>
        <w:rPr>
          <w:color w:val="000000"/>
          <w:szCs w:val="24"/>
          <w:lang w:val="en-CA"/>
        </w:rPr>
        <w:t xml:space="preserve">Niagara Mohawk shall </w:t>
      </w:r>
      <w:r>
        <w:rPr>
          <w:color w:val="000000"/>
          <w:szCs w:val="24"/>
          <w:lang w:val="en-CA"/>
        </w:rPr>
        <w:t xml:space="preserve">perform testing in accordance with the Protocol and shall </w:t>
      </w:r>
      <w:r>
        <w:rPr>
          <w:color w:val="000000"/>
          <w:szCs w:val="24"/>
          <w:lang w:val="en-CA"/>
        </w:rPr>
        <w:t xml:space="preserve">provide the </w:t>
      </w:r>
      <w:r>
        <w:rPr>
          <w:color w:val="000000"/>
          <w:szCs w:val="24"/>
          <w:lang w:val="en-CA"/>
        </w:rPr>
        <w:t>Power Authority with all written testing results and related documentation</w:t>
      </w:r>
      <w:r>
        <w:rPr>
          <w:color w:val="000000"/>
          <w:szCs w:val="24"/>
          <w:lang w:val="en-CA"/>
        </w:rPr>
        <w:t xml:space="preserve">. Niagara Mohawk shall promptly identify </w:t>
      </w:r>
      <w:r>
        <w:rPr>
          <w:color w:val="000000"/>
          <w:szCs w:val="24"/>
          <w:lang w:val="en-CA"/>
        </w:rPr>
        <w:t>any deviation</w:t>
      </w:r>
      <w:r>
        <w:rPr>
          <w:color w:val="000000"/>
          <w:szCs w:val="24"/>
          <w:lang w:val="en-CA"/>
        </w:rPr>
        <w:t>(s)</w:t>
      </w:r>
      <w:r>
        <w:rPr>
          <w:color w:val="000000"/>
          <w:szCs w:val="24"/>
          <w:lang w:val="en-CA"/>
        </w:rPr>
        <w:t xml:space="preserve"> from </w:t>
      </w:r>
      <w:r>
        <w:rPr>
          <w:color w:val="000000"/>
          <w:szCs w:val="24"/>
          <w:lang w:val="en-CA"/>
        </w:rPr>
        <w:t>agreed acceptance standards</w:t>
      </w:r>
      <w:r>
        <w:rPr>
          <w:color w:val="000000"/>
          <w:szCs w:val="24"/>
          <w:lang w:val="en-CA"/>
        </w:rPr>
        <w:t>, as well</w:t>
      </w:r>
      <w:r>
        <w:rPr>
          <w:color w:val="000000"/>
          <w:szCs w:val="24"/>
          <w:lang w:val="en-CA"/>
        </w:rPr>
        <w:t xml:space="preserve"> as Niagara Mohawk’s proposed corrective actions.  Upon receipt of such material an</w:t>
      </w:r>
      <w:r>
        <w:rPr>
          <w:color w:val="000000"/>
          <w:szCs w:val="24"/>
          <w:lang w:val="en-CA"/>
        </w:rPr>
        <w:t>d information, the Power Authority</w:t>
      </w:r>
      <w:r w:rsidRPr="00513F9E">
        <w:rPr>
          <w:color w:val="000000"/>
          <w:szCs w:val="24"/>
          <w:lang w:val="en-CA"/>
        </w:rPr>
        <w:t xml:space="preserve"> will have </w:t>
      </w:r>
      <w:r>
        <w:rPr>
          <w:color w:val="000000"/>
          <w:szCs w:val="24"/>
          <w:lang w:val="en-CA"/>
        </w:rPr>
        <w:t>ten (</w:t>
      </w:r>
      <w:r w:rsidRPr="00513F9E">
        <w:rPr>
          <w:color w:val="000000"/>
          <w:szCs w:val="24"/>
          <w:lang w:val="en-CA"/>
        </w:rPr>
        <w:t>10</w:t>
      </w:r>
      <w:r>
        <w:rPr>
          <w:color w:val="000000"/>
          <w:szCs w:val="24"/>
          <w:lang w:val="en-CA"/>
        </w:rPr>
        <w:t>)</w:t>
      </w:r>
      <w:r w:rsidRPr="00513F9E">
        <w:rPr>
          <w:color w:val="000000"/>
          <w:szCs w:val="24"/>
          <w:lang w:val="en-CA"/>
        </w:rPr>
        <w:t xml:space="preserve"> business days to provide written comments to N</w:t>
      </w:r>
      <w:r>
        <w:rPr>
          <w:color w:val="000000"/>
          <w:szCs w:val="24"/>
          <w:lang w:val="en-CA"/>
        </w:rPr>
        <w:t>iagara Mohawk</w:t>
      </w:r>
      <w:r w:rsidRPr="00513F9E">
        <w:rPr>
          <w:color w:val="000000"/>
          <w:szCs w:val="24"/>
          <w:lang w:val="en-CA"/>
        </w:rPr>
        <w:t xml:space="preserve">. If </w:t>
      </w:r>
      <w:r>
        <w:rPr>
          <w:color w:val="000000"/>
          <w:szCs w:val="24"/>
          <w:lang w:val="en-CA"/>
        </w:rPr>
        <w:t xml:space="preserve">the Power Authority </w:t>
      </w:r>
      <w:r w:rsidRPr="00513F9E">
        <w:rPr>
          <w:color w:val="000000"/>
          <w:szCs w:val="24"/>
          <w:lang w:val="en-CA"/>
        </w:rPr>
        <w:t>does not make written comments to N</w:t>
      </w:r>
      <w:r>
        <w:rPr>
          <w:color w:val="000000"/>
          <w:szCs w:val="24"/>
          <w:lang w:val="en-CA"/>
        </w:rPr>
        <w:t>iagara Mohawk</w:t>
      </w:r>
      <w:r w:rsidRPr="00513F9E">
        <w:rPr>
          <w:color w:val="000000"/>
          <w:szCs w:val="24"/>
          <w:lang w:val="en-CA"/>
        </w:rPr>
        <w:t xml:space="preserve"> during th</w:t>
      </w:r>
      <w:r>
        <w:rPr>
          <w:color w:val="000000"/>
          <w:szCs w:val="24"/>
          <w:lang w:val="en-CA"/>
        </w:rPr>
        <w:t xml:space="preserve">is ten (10) business day </w:t>
      </w:r>
      <w:r w:rsidRPr="00513F9E">
        <w:rPr>
          <w:color w:val="000000"/>
          <w:szCs w:val="24"/>
          <w:lang w:val="en-CA"/>
        </w:rPr>
        <w:t xml:space="preserve">period, </w:t>
      </w:r>
      <w:r>
        <w:rPr>
          <w:color w:val="000000"/>
          <w:szCs w:val="24"/>
          <w:lang w:val="en-CA"/>
        </w:rPr>
        <w:t>the Power Authority shall b</w:t>
      </w:r>
      <w:r>
        <w:rPr>
          <w:color w:val="000000"/>
          <w:szCs w:val="24"/>
          <w:lang w:val="en-CA"/>
        </w:rPr>
        <w:t xml:space="preserve">e deemed to have waived its right to provide comments.  If the Power Authority and Niagara Mohawk cannot agree on the content of corrective actions, either Party may invoke the dispute resolution provisions of Paragraph </w:t>
      </w:r>
      <w:r w:rsidRPr="00A636D7">
        <w:rPr>
          <w:color w:val="000000"/>
          <w:szCs w:val="24"/>
          <w:lang w:val="en-CA"/>
        </w:rPr>
        <w:t>C.1</w:t>
      </w:r>
      <w:r w:rsidRPr="00A636D7">
        <w:rPr>
          <w:color w:val="000000"/>
          <w:szCs w:val="24"/>
          <w:lang w:val="en-CA"/>
        </w:rPr>
        <w:t>5</w:t>
      </w:r>
      <w:r w:rsidRPr="00A636D7">
        <w:rPr>
          <w:color w:val="000000"/>
          <w:szCs w:val="24"/>
          <w:lang w:val="en-CA"/>
        </w:rPr>
        <w:t>.</w:t>
      </w:r>
    </w:p>
    <w:p w:rsidR="00DF1C63" w:rsidRDefault="00FA3DC7" w:rsidP="00316588">
      <w:pPr>
        <w:pStyle w:val="BodyText"/>
        <w:ind w:left="2880" w:hanging="720"/>
        <w:rPr>
          <w:color w:val="000000"/>
          <w:szCs w:val="24"/>
          <w:lang w:val="en-CA"/>
        </w:rPr>
      </w:pPr>
    </w:p>
    <w:p w:rsidR="00316588" w:rsidRDefault="00FA3DC7" w:rsidP="00316588">
      <w:pPr>
        <w:pStyle w:val="BodyText"/>
        <w:ind w:left="2880" w:hanging="720"/>
        <w:rPr>
          <w:color w:val="000000"/>
          <w:szCs w:val="24"/>
          <w:lang w:val="en-CA"/>
        </w:rPr>
      </w:pPr>
      <w:r>
        <w:rPr>
          <w:color w:val="000000"/>
          <w:szCs w:val="24"/>
          <w:lang w:val="en-CA"/>
        </w:rPr>
        <w:t>g.</w:t>
      </w:r>
      <w:r>
        <w:rPr>
          <w:color w:val="000000"/>
          <w:szCs w:val="24"/>
          <w:lang w:val="en-CA"/>
        </w:rPr>
        <w:tab/>
        <w:t>Niagara Mohawk will provid</w:t>
      </w:r>
      <w:r>
        <w:rPr>
          <w:color w:val="000000"/>
          <w:szCs w:val="24"/>
          <w:lang w:val="en-CA"/>
        </w:rPr>
        <w:t xml:space="preserve">e a set of final as-built construction drawings/specifications for the SVC and New Line after construction </w:t>
      </w:r>
      <w:r>
        <w:rPr>
          <w:color w:val="000000"/>
          <w:szCs w:val="24"/>
          <w:lang w:val="en-CA"/>
        </w:rPr>
        <w:t xml:space="preserve">has been </w:t>
      </w:r>
      <w:r>
        <w:rPr>
          <w:color w:val="000000"/>
          <w:szCs w:val="24"/>
          <w:lang w:val="en-CA"/>
        </w:rPr>
        <w:t xml:space="preserve">finally </w:t>
      </w:r>
      <w:r>
        <w:rPr>
          <w:color w:val="000000"/>
          <w:szCs w:val="24"/>
          <w:lang w:val="en-CA"/>
        </w:rPr>
        <w:t>completed on e</w:t>
      </w:r>
      <w:r>
        <w:rPr>
          <w:color w:val="000000"/>
          <w:szCs w:val="24"/>
          <w:lang w:val="en-CA"/>
        </w:rPr>
        <w:t xml:space="preserve">ach such </w:t>
      </w:r>
      <w:r>
        <w:rPr>
          <w:color w:val="000000"/>
          <w:szCs w:val="24"/>
          <w:lang w:val="en-CA"/>
        </w:rPr>
        <w:t xml:space="preserve">facility </w:t>
      </w:r>
      <w:r>
        <w:rPr>
          <w:color w:val="000000"/>
          <w:szCs w:val="24"/>
          <w:lang w:val="en-CA"/>
        </w:rPr>
        <w:t>of the Project</w:t>
      </w:r>
      <w:r>
        <w:rPr>
          <w:color w:val="000000"/>
          <w:szCs w:val="24"/>
          <w:lang w:val="en-CA"/>
        </w:rPr>
        <w:t>.</w:t>
      </w:r>
      <w:r>
        <w:rPr>
          <w:color w:val="000000"/>
          <w:szCs w:val="24"/>
          <w:lang w:val="en-CA"/>
        </w:rPr>
        <w:t xml:space="preserve"> Such drawings/specifications shall be stamped by the engineer of record. </w:t>
      </w:r>
      <w:r>
        <w:rPr>
          <w:color w:val="000000"/>
          <w:szCs w:val="24"/>
          <w:lang w:val="en-CA"/>
        </w:rPr>
        <w:t>Constructio</w:t>
      </w:r>
      <w:r>
        <w:rPr>
          <w:color w:val="000000"/>
          <w:szCs w:val="24"/>
          <w:lang w:val="en-CA"/>
        </w:rPr>
        <w:t xml:space="preserve">n shall be deemed to be completed after </w:t>
      </w:r>
      <w:r>
        <w:rPr>
          <w:color w:val="000000"/>
          <w:szCs w:val="24"/>
          <w:lang w:val="en-CA"/>
        </w:rPr>
        <w:t>successful testing as specified in accordance with the Protocol.</w:t>
      </w:r>
    </w:p>
    <w:p w:rsidR="00294693" w:rsidRDefault="00FA3DC7" w:rsidP="00294693">
      <w:pPr>
        <w:pStyle w:val="BodyText"/>
        <w:rPr>
          <w:color w:val="000000"/>
          <w:szCs w:val="24"/>
          <w:lang w:val="en-CA"/>
        </w:rPr>
      </w:pPr>
    </w:p>
    <w:p w:rsidR="00294693" w:rsidRPr="006B583A" w:rsidRDefault="00FA3DC7" w:rsidP="00294693">
      <w:pPr>
        <w:pStyle w:val="BodyText"/>
        <w:ind w:left="2160" w:hanging="720"/>
        <w:rPr>
          <w:color w:val="000000"/>
          <w:szCs w:val="24"/>
          <w:lang w:val="en-CA"/>
        </w:rPr>
      </w:pPr>
      <w:r w:rsidRPr="00447E79">
        <w:rPr>
          <w:color w:val="000000"/>
          <w:szCs w:val="24"/>
          <w:lang w:val="en-CA"/>
        </w:rPr>
        <w:t>13.</w:t>
      </w:r>
      <w:r w:rsidRPr="00447E79">
        <w:rPr>
          <w:color w:val="000000"/>
          <w:szCs w:val="24"/>
          <w:lang w:val="en-CA"/>
        </w:rPr>
        <w:tab/>
        <w:t>Records Retention.</w:t>
      </w:r>
      <w:r w:rsidRPr="005C5E8A">
        <w:rPr>
          <w:color w:val="000000"/>
          <w:szCs w:val="24"/>
          <w:lang w:val="en-CA"/>
        </w:rPr>
        <w:t xml:space="preserve"> </w:t>
      </w:r>
      <w:r>
        <w:rPr>
          <w:color w:val="000000"/>
          <w:szCs w:val="24"/>
          <w:lang w:val="en-CA"/>
        </w:rPr>
        <w:t xml:space="preserve">Niagara Mohawk and the Power Authority </w:t>
      </w:r>
      <w:r w:rsidRPr="005C5E8A">
        <w:rPr>
          <w:color w:val="000000"/>
          <w:szCs w:val="24"/>
          <w:lang w:val="en-CA"/>
        </w:rPr>
        <w:t>agree to retain</w:t>
      </w:r>
      <w:r>
        <w:rPr>
          <w:color w:val="000000"/>
          <w:szCs w:val="24"/>
          <w:lang w:val="en-CA"/>
        </w:rPr>
        <w:t xml:space="preserve"> </w:t>
      </w:r>
      <w:r w:rsidRPr="005C5E8A">
        <w:rPr>
          <w:color w:val="000000"/>
          <w:szCs w:val="24"/>
          <w:lang w:val="en-CA"/>
        </w:rPr>
        <w:t xml:space="preserve">all records, reports and other documentation </w:t>
      </w:r>
      <w:r>
        <w:rPr>
          <w:color w:val="000000"/>
          <w:szCs w:val="24"/>
          <w:lang w:val="en-CA"/>
        </w:rPr>
        <w:t xml:space="preserve">that are </w:t>
      </w:r>
      <w:r w:rsidRPr="005C5E8A">
        <w:rPr>
          <w:color w:val="000000"/>
          <w:szCs w:val="24"/>
          <w:lang w:val="en-CA"/>
        </w:rPr>
        <w:t xml:space="preserve">directly related to the </w:t>
      </w:r>
      <w:r>
        <w:rPr>
          <w:color w:val="000000"/>
          <w:szCs w:val="24"/>
          <w:lang w:val="en-CA"/>
        </w:rPr>
        <w:t xml:space="preserve">design, </w:t>
      </w:r>
      <w:r w:rsidRPr="005C5E8A">
        <w:rPr>
          <w:color w:val="000000"/>
          <w:szCs w:val="24"/>
          <w:lang w:val="en-CA"/>
        </w:rPr>
        <w:t>construction</w:t>
      </w:r>
      <w:r>
        <w:rPr>
          <w:color w:val="000000"/>
          <w:szCs w:val="24"/>
          <w:lang w:val="en-CA"/>
        </w:rPr>
        <w:t>, maintenance, and operation</w:t>
      </w:r>
      <w:r w:rsidRPr="005C5E8A">
        <w:rPr>
          <w:color w:val="000000"/>
          <w:szCs w:val="24"/>
          <w:lang w:val="en-CA"/>
        </w:rPr>
        <w:t xml:space="preserve"> of the Project</w:t>
      </w:r>
      <w:r>
        <w:rPr>
          <w:color w:val="000000"/>
          <w:szCs w:val="24"/>
          <w:lang w:val="en-CA"/>
        </w:rPr>
        <w:t xml:space="preserve"> and that a prudent owner or operator would wish to have available in maintaining and operating the Project for the remainder of its useful life </w:t>
      </w:r>
      <w:r w:rsidRPr="005C5E8A">
        <w:rPr>
          <w:color w:val="000000"/>
          <w:szCs w:val="24"/>
          <w:lang w:val="en-CA"/>
        </w:rPr>
        <w:t>(“</w:t>
      </w:r>
      <w:r>
        <w:rPr>
          <w:color w:val="000000"/>
          <w:szCs w:val="24"/>
          <w:lang w:val="en-CA"/>
        </w:rPr>
        <w:t xml:space="preserve">Engineering </w:t>
      </w:r>
      <w:r w:rsidRPr="005C5E8A">
        <w:rPr>
          <w:color w:val="000000"/>
          <w:szCs w:val="24"/>
          <w:lang w:val="en-CA"/>
        </w:rPr>
        <w:t>Records”)</w:t>
      </w:r>
      <w:r>
        <w:rPr>
          <w:color w:val="000000"/>
          <w:szCs w:val="24"/>
          <w:lang w:val="en-CA"/>
        </w:rPr>
        <w:t>.</w:t>
      </w:r>
      <w:r>
        <w:rPr>
          <w:color w:val="000000"/>
          <w:szCs w:val="24"/>
          <w:lang w:val="en-CA"/>
        </w:rPr>
        <w:t xml:space="preserve">  The Power Authority agrees to turn over to Niagara Mohawk all Engineering Records in its possession upon the transfer to Niagara Mohawk of the Power Authority’s interests in the Project. </w:t>
      </w:r>
      <w:r>
        <w:rPr>
          <w:color w:val="000000"/>
          <w:szCs w:val="24"/>
          <w:lang w:val="en-CA"/>
        </w:rPr>
        <w:t>Notwithstanding the foregoing, the Power Authority reserves the rig</w:t>
      </w:r>
      <w:r>
        <w:rPr>
          <w:color w:val="000000"/>
          <w:szCs w:val="24"/>
          <w:lang w:val="en-CA"/>
        </w:rPr>
        <w:t xml:space="preserve">ht to retain </w:t>
      </w:r>
      <w:r>
        <w:rPr>
          <w:color w:val="000000"/>
          <w:szCs w:val="24"/>
          <w:lang w:val="en-CA"/>
        </w:rPr>
        <w:t xml:space="preserve">any </w:t>
      </w:r>
      <w:r>
        <w:rPr>
          <w:color w:val="000000"/>
          <w:szCs w:val="24"/>
          <w:lang w:val="en-CA"/>
        </w:rPr>
        <w:t xml:space="preserve">records that may be required to satisfy internal or external audit requirements. </w:t>
      </w:r>
    </w:p>
    <w:p w:rsidR="00294693" w:rsidRDefault="00FA3DC7" w:rsidP="00294693">
      <w:pPr>
        <w:pStyle w:val="BodyText"/>
        <w:ind w:left="1440"/>
      </w:pPr>
    </w:p>
    <w:p w:rsidR="00D947CA" w:rsidRPr="005111CF" w:rsidRDefault="00FA3DC7" w:rsidP="00294693">
      <w:pPr>
        <w:pStyle w:val="BodyText"/>
        <w:ind w:left="2160" w:hanging="720"/>
      </w:pPr>
      <w:r>
        <w:t>14.</w:t>
      </w:r>
      <w:r>
        <w:tab/>
        <w:t xml:space="preserve">Each of the Parties shall be solely responsible for the performance of </w:t>
      </w:r>
      <w:r>
        <w:t>the</w:t>
      </w:r>
      <w:r>
        <w:t xml:space="preserve"> obligations </w:t>
      </w:r>
      <w:r>
        <w:t xml:space="preserve">assigned to it </w:t>
      </w:r>
      <w:r>
        <w:t>under this Agreement, and nothing in this Agreemen</w:t>
      </w:r>
      <w:r>
        <w:t>t shall be construed to require any Party to cure any breach of this Agreement by any other Party or as making any Party liable for any breach of this Agreement by any other Party.</w:t>
      </w:r>
      <w:r>
        <w:t xml:space="preserve">  </w:t>
      </w:r>
      <w:r w:rsidRPr="006B28C4">
        <w:t xml:space="preserve">This </w:t>
      </w:r>
      <w:r>
        <w:t>A</w:t>
      </w:r>
      <w:r w:rsidRPr="006B28C4">
        <w:t>greement does not, and shall not be construed to</w:t>
      </w:r>
      <w:r>
        <w:t>,</w:t>
      </w:r>
      <w:r w:rsidRPr="006B28C4">
        <w:t xml:space="preserve"> confer third party</w:t>
      </w:r>
      <w:r w:rsidRPr="006B28C4">
        <w:t xml:space="preserve"> beneficiary status on any person or entity not a </w:t>
      </w:r>
      <w:r>
        <w:t>P</w:t>
      </w:r>
      <w:r w:rsidRPr="006B28C4">
        <w:t>arty to this Agreement</w:t>
      </w:r>
      <w:r>
        <w:t>.</w:t>
      </w:r>
    </w:p>
    <w:p w:rsidR="005111CF" w:rsidRPr="005111CF" w:rsidRDefault="00FA3DC7" w:rsidP="005111CF">
      <w:pPr>
        <w:pStyle w:val="BodyText"/>
        <w:ind w:left="1440"/>
      </w:pPr>
    </w:p>
    <w:p w:rsidR="005111CF" w:rsidRPr="005111CF" w:rsidRDefault="00FA3DC7" w:rsidP="00CC03F4">
      <w:pPr>
        <w:keepNext/>
        <w:tabs>
          <w:tab w:val="left" w:pos="2160"/>
        </w:tabs>
        <w:ind w:left="1440"/>
        <w:rPr>
          <w:bCs/>
          <w:szCs w:val="24"/>
        </w:rPr>
      </w:pPr>
      <w:r w:rsidRPr="005111CF">
        <w:rPr>
          <w:bCs/>
          <w:szCs w:val="24"/>
        </w:rPr>
        <w:t>1</w:t>
      </w:r>
      <w:r>
        <w:rPr>
          <w:bCs/>
          <w:szCs w:val="24"/>
        </w:rPr>
        <w:t>5</w:t>
      </w:r>
      <w:r w:rsidRPr="005111CF">
        <w:rPr>
          <w:bCs/>
          <w:szCs w:val="24"/>
        </w:rPr>
        <w:t>.</w:t>
      </w:r>
      <w:r w:rsidRPr="005111CF">
        <w:rPr>
          <w:bCs/>
          <w:szCs w:val="24"/>
        </w:rPr>
        <w:tab/>
        <w:t xml:space="preserve">Dispute Resolution  </w:t>
      </w:r>
    </w:p>
    <w:p w:rsidR="005111CF" w:rsidRPr="005337F2" w:rsidRDefault="00FA3DC7" w:rsidP="00CC03F4">
      <w:pPr>
        <w:keepNext/>
        <w:ind w:left="1440"/>
        <w:rPr>
          <w:szCs w:val="24"/>
        </w:rPr>
      </w:pPr>
    </w:p>
    <w:p w:rsidR="005111CF" w:rsidRDefault="00FA3DC7" w:rsidP="00CC03F4">
      <w:pPr>
        <w:keepNext/>
        <w:tabs>
          <w:tab w:val="left" w:pos="1530"/>
        </w:tabs>
        <w:ind w:left="2520" w:hanging="360"/>
        <w:jc w:val="both"/>
        <w:rPr>
          <w:szCs w:val="24"/>
        </w:rPr>
      </w:pPr>
      <w:r>
        <w:rPr>
          <w:szCs w:val="24"/>
        </w:rPr>
        <w:t>a</w:t>
      </w:r>
      <w:r w:rsidRPr="005337F2">
        <w:rPr>
          <w:szCs w:val="24"/>
        </w:rPr>
        <w:t>.</w:t>
      </w:r>
      <w:r>
        <w:rPr>
          <w:sz w:val="14"/>
          <w:szCs w:val="14"/>
        </w:rPr>
        <w:tab/>
      </w:r>
      <w:r w:rsidRPr="005337F2">
        <w:rPr>
          <w:sz w:val="14"/>
          <w:szCs w:val="14"/>
        </w:rPr>
        <w:t xml:space="preserve"> </w:t>
      </w:r>
      <w:r w:rsidRPr="005111CF">
        <w:rPr>
          <w:bCs/>
          <w:szCs w:val="24"/>
        </w:rPr>
        <w:t>Negotiation.</w:t>
      </w:r>
      <w:r w:rsidRPr="005337F2">
        <w:rPr>
          <w:b/>
          <w:bCs/>
          <w:szCs w:val="24"/>
        </w:rPr>
        <w:t xml:space="preserve">  </w:t>
      </w:r>
      <w:r w:rsidRPr="005337F2">
        <w:rPr>
          <w:szCs w:val="24"/>
        </w:rPr>
        <w:t xml:space="preserve">When a dispute arises </w:t>
      </w:r>
      <w:r>
        <w:rPr>
          <w:szCs w:val="24"/>
        </w:rPr>
        <w:t xml:space="preserve">related to the implementation of this Agreement </w:t>
      </w:r>
      <w:r w:rsidRPr="005337F2">
        <w:rPr>
          <w:szCs w:val="24"/>
        </w:rPr>
        <w:t xml:space="preserve">and negotiations between the regularly responsible persons have reached an impasse, </w:t>
      </w:r>
      <w:r>
        <w:rPr>
          <w:szCs w:val="24"/>
        </w:rPr>
        <w:t>any</w:t>
      </w:r>
      <w:r w:rsidRPr="005337F2">
        <w:rPr>
          <w:szCs w:val="24"/>
        </w:rPr>
        <w:t xml:space="preserve"> </w:t>
      </w:r>
      <w:r>
        <w:rPr>
          <w:szCs w:val="24"/>
        </w:rPr>
        <w:t>P</w:t>
      </w:r>
      <w:r w:rsidRPr="005337F2">
        <w:rPr>
          <w:szCs w:val="24"/>
        </w:rPr>
        <w:t xml:space="preserve">arty may give the other </w:t>
      </w:r>
      <w:r>
        <w:rPr>
          <w:szCs w:val="24"/>
        </w:rPr>
        <w:t>Parties</w:t>
      </w:r>
      <w:r w:rsidRPr="005337F2">
        <w:rPr>
          <w:szCs w:val="24"/>
        </w:rPr>
        <w:t xml:space="preserve"> notice of the dispute.  In the event that notice is given, the </w:t>
      </w:r>
      <w:r>
        <w:rPr>
          <w:szCs w:val="24"/>
        </w:rPr>
        <w:t>P</w:t>
      </w:r>
      <w:r w:rsidRPr="005337F2">
        <w:rPr>
          <w:szCs w:val="24"/>
        </w:rPr>
        <w:t>arties shall attempt to resolve the dispute by negotiation between exec</w:t>
      </w:r>
      <w:r w:rsidRPr="005337F2">
        <w:rPr>
          <w:szCs w:val="24"/>
        </w:rPr>
        <w:t xml:space="preserve">utives who have authority to settle the controversy and who are at a higher level of management than the persons with direct responsibility for the matter.  Within 10 days after delivery of the notice, the receiving </w:t>
      </w:r>
      <w:r>
        <w:rPr>
          <w:szCs w:val="24"/>
        </w:rPr>
        <w:t>P</w:t>
      </w:r>
      <w:r w:rsidRPr="005337F2">
        <w:rPr>
          <w:szCs w:val="24"/>
        </w:rPr>
        <w:t xml:space="preserve">arty shall submit to the other </w:t>
      </w:r>
      <w:r>
        <w:rPr>
          <w:szCs w:val="24"/>
        </w:rPr>
        <w:t xml:space="preserve">Parties </w:t>
      </w:r>
      <w:r w:rsidRPr="005337F2">
        <w:rPr>
          <w:szCs w:val="24"/>
        </w:rPr>
        <w:t xml:space="preserve">a written response.  Thereafter, the executives shall confer in person or by telephone promptly to attempt to resolve the dispute.  All reasonable requests for information by one </w:t>
      </w:r>
      <w:r>
        <w:rPr>
          <w:szCs w:val="24"/>
        </w:rPr>
        <w:t>P</w:t>
      </w:r>
      <w:r w:rsidRPr="005337F2">
        <w:rPr>
          <w:szCs w:val="24"/>
        </w:rPr>
        <w:t xml:space="preserve">arty to </w:t>
      </w:r>
      <w:r>
        <w:rPr>
          <w:szCs w:val="24"/>
        </w:rPr>
        <w:t>another Party</w:t>
      </w:r>
      <w:r w:rsidRPr="005337F2">
        <w:rPr>
          <w:szCs w:val="24"/>
        </w:rPr>
        <w:t xml:space="preserve"> will be honored.</w:t>
      </w:r>
    </w:p>
    <w:p w:rsidR="005111CF" w:rsidRPr="005337F2" w:rsidRDefault="00FA3DC7" w:rsidP="00F635E9">
      <w:pPr>
        <w:tabs>
          <w:tab w:val="left" w:pos="1530"/>
        </w:tabs>
        <w:ind w:left="2520" w:hanging="360"/>
        <w:rPr>
          <w:szCs w:val="24"/>
        </w:rPr>
      </w:pPr>
    </w:p>
    <w:p w:rsidR="005111CF" w:rsidRDefault="00FA3DC7" w:rsidP="00F635E9">
      <w:pPr>
        <w:tabs>
          <w:tab w:val="left" w:pos="1530"/>
        </w:tabs>
        <w:ind w:left="2520" w:hanging="360"/>
        <w:jc w:val="both"/>
        <w:rPr>
          <w:szCs w:val="24"/>
        </w:rPr>
      </w:pPr>
      <w:r>
        <w:rPr>
          <w:szCs w:val="24"/>
        </w:rPr>
        <w:t>b</w:t>
      </w:r>
      <w:r w:rsidRPr="005337F2">
        <w:rPr>
          <w:szCs w:val="24"/>
        </w:rPr>
        <w:t>.</w:t>
      </w:r>
      <w:r>
        <w:rPr>
          <w:sz w:val="14"/>
          <w:szCs w:val="14"/>
        </w:rPr>
        <w:tab/>
      </w:r>
      <w:r w:rsidRPr="005337F2">
        <w:rPr>
          <w:sz w:val="14"/>
          <w:szCs w:val="14"/>
        </w:rPr>
        <w:t xml:space="preserve"> </w:t>
      </w:r>
      <w:r w:rsidRPr="005111CF">
        <w:rPr>
          <w:bCs/>
          <w:szCs w:val="24"/>
        </w:rPr>
        <w:t>Mediation.</w:t>
      </w:r>
      <w:r w:rsidRPr="005337F2">
        <w:rPr>
          <w:b/>
          <w:bCs/>
          <w:szCs w:val="24"/>
        </w:rPr>
        <w:t xml:space="preserve">  </w:t>
      </w:r>
      <w:r w:rsidRPr="005337F2">
        <w:rPr>
          <w:szCs w:val="24"/>
        </w:rPr>
        <w:t xml:space="preserve">If the dispute has </w:t>
      </w:r>
      <w:r w:rsidRPr="005337F2">
        <w:rPr>
          <w:szCs w:val="24"/>
        </w:rPr>
        <w:t>not been resolved by negations within 20 days of the disput</w:t>
      </w:r>
      <w:r>
        <w:rPr>
          <w:szCs w:val="24"/>
        </w:rPr>
        <w:t>ing</w:t>
      </w:r>
      <w:r w:rsidRPr="005337F2">
        <w:rPr>
          <w:szCs w:val="24"/>
        </w:rPr>
        <w:t xml:space="preserve"> </w:t>
      </w:r>
      <w:r>
        <w:rPr>
          <w:szCs w:val="24"/>
        </w:rPr>
        <w:t>P</w:t>
      </w:r>
      <w:r w:rsidRPr="005337F2">
        <w:rPr>
          <w:szCs w:val="24"/>
        </w:rPr>
        <w:t xml:space="preserve">arty’s notice, or if the </w:t>
      </w:r>
      <w:r>
        <w:rPr>
          <w:szCs w:val="24"/>
        </w:rPr>
        <w:t>P</w:t>
      </w:r>
      <w:r w:rsidRPr="005337F2">
        <w:rPr>
          <w:szCs w:val="24"/>
        </w:rPr>
        <w:t xml:space="preserve">arties have failed to confer within 30 days after delivery of the notice, the </w:t>
      </w:r>
      <w:r>
        <w:rPr>
          <w:szCs w:val="24"/>
        </w:rPr>
        <w:t>P</w:t>
      </w:r>
      <w:r w:rsidRPr="005337F2">
        <w:rPr>
          <w:szCs w:val="24"/>
        </w:rPr>
        <w:t xml:space="preserve">arties shall endeavor to settle the dispute by mediation </w:t>
      </w:r>
      <w:r>
        <w:rPr>
          <w:szCs w:val="24"/>
        </w:rPr>
        <w:t>pursuant to Rule 604 of FERC’s</w:t>
      </w:r>
      <w:r>
        <w:rPr>
          <w:szCs w:val="24"/>
        </w:rPr>
        <w:t xml:space="preserve"> Rules of Practice and Procedure, 18 C.F.R. § 385.604 (200</w:t>
      </w:r>
      <w:r>
        <w:rPr>
          <w:szCs w:val="24"/>
        </w:rPr>
        <w:t>6</w:t>
      </w:r>
      <w:r>
        <w:rPr>
          <w:szCs w:val="24"/>
        </w:rPr>
        <w:t>)</w:t>
      </w:r>
      <w:r>
        <w:rPr>
          <w:szCs w:val="24"/>
        </w:rPr>
        <w:t>,</w:t>
      </w:r>
      <w:r>
        <w:rPr>
          <w:szCs w:val="24"/>
        </w:rPr>
        <w:t xml:space="preserve"> (“Rule 604”) and</w:t>
      </w:r>
      <w:r w:rsidRPr="005337F2">
        <w:rPr>
          <w:szCs w:val="24"/>
        </w:rPr>
        <w:t xml:space="preserve"> the CPR Mediation Procedure in effect on the date of this Agreement.  Unless otherwise agreed, the parties will select a mediator from the CPR Panel of Distinguished Neutrals.</w:t>
      </w:r>
      <w:r>
        <w:rPr>
          <w:szCs w:val="24"/>
        </w:rPr>
        <w:t xml:space="preserve"> </w:t>
      </w:r>
    </w:p>
    <w:p w:rsidR="005111CF" w:rsidRPr="005337F2" w:rsidRDefault="00FA3DC7" w:rsidP="00F635E9">
      <w:pPr>
        <w:tabs>
          <w:tab w:val="left" w:pos="1530"/>
        </w:tabs>
        <w:ind w:left="2520" w:hanging="360"/>
        <w:rPr>
          <w:szCs w:val="24"/>
        </w:rPr>
      </w:pPr>
    </w:p>
    <w:p w:rsidR="005111CF" w:rsidRDefault="00FA3DC7" w:rsidP="00F635E9">
      <w:pPr>
        <w:tabs>
          <w:tab w:val="left" w:pos="1530"/>
        </w:tabs>
        <w:ind w:left="2520" w:hanging="360"/>
        <w:jc w:val="both"/>
        <w:rPr>
          <w:szCs w:val="24"/>
        </w:rPr>
      </w:pPr>
      <w:r>
        <w:rPr>
          <w:szCs w:val="24"/>
        </w:rPr>
        <w:t>c</w:t>
      </w:r>
      <w:r w:rsidRPr="005337F2">
        <w:rPr>
          <w:szCs w:val="24"/>
        </w:rPr>
        <w:t>.</w:t>
      </w:r>
      <w:r>
        <w:rPr>
          <w:sz w:val="14"/>
          <w:szCs w:val="14"/>
        </w:rPr>
        <w:tab/>
      </w:r>
      <w:r w:rsidRPr="005337F2">
        <w:rPr>
          <w:szCs w:val="24"/>
        </w:rPr>
        <w:t xml:space="preserve">All negotiations and proceedings pursuant to </w:t>
      </w:r>
      <w:r>
        <w:rPr>
          <w:szCs w:val="24"/>
        </w:rPr>
        <w:t>sub</w:t>
      </w:r>
      <w:r w:rsidRPr="005337F2">
        <w:rPr>
          <w:szCs w:val="24"/>
        </w:rPr>
        <w:t xml:space="preserve">paragraphs </w:t>
      </w:r>
      <w:r>
        <w:rPr>
          <w:szCs w:val="24"/>
        </w:rPr>
        <w:t>a</w:t>
      </w:r>
      <w:r w:rsidRPr="005337F2">
        <w:rPr>
          <w:szCs w:val="24"/>
        </w:rPr>
        <w:t xml:space="preserve"> and </w:t>
      </w:r>
      <w:r>
        <w:rPr>
          <w:szCs w:val="24"/>
        </w:rPr>
        <w:t>b</w:t>
      </w:r>
      <w:r w:rsidRPr="005337F2">
        <w:rPr>
          <w:szCs w:val="24"/>
        </w:rPr>
        <w:t xml:space="preserve"> </w:t>
      </w:r>
      <w:r>
        <w:rPr>
          <w:szCs w:val="24"/>
        </w:rPr>
        <w:t xml:space="preserve">above </w:t>
      </w:r>
      <w:r w:rsidRPr="005337F2">
        <w:rPr>
          <w:szCs w:val="24"/>
        </w:rPr>
        <w:t>are confidential and shall be treated as compromise and settlement negotiations for purposes of applicable rules of evidence and any additional confidentiality protections provide</w:t>
      </w:r>
      <w:r w:rsidRPr="005337F2">
        <w:rPr>
          <w:szCs w:val="24"/>
        </w:rPr>
        <w:t xml:space="preserve">d by </w:t>
      </w:r>
      <w:r>
        <w:rPr>
          <w:szCs w:val="24"/>
        </w:rPr>
        <w:t>Rule 606 of FERC’s Rules of Practice and Procedure, 18 C.F.R. § 385</w:t>
      </w:r>
      <w:r>
        <w:rPr>
          <w:szCs w:val="24"/>
        </w:rPr>
        <w:t>.</w:t>
      </w:r>
      <w:r>
        <w:rPr>
          <w:szCs w:val="24"/>
        </w:rPr>
        <w:t>606 (200</w:t>
      </w:r>
      <w:r>
        <w:rPr>
          <w:szCs w:val="24"/>
        </w:rPr>
        <w:t>6</w:t>
      </w:r>
      <w:r>
        <w:rPr>
          <w:szCs w:val="24"/>
        </w:rPr>
        <w:t>),</w:t>
      </w:r>
      <w:r>
        <w:rPr>
          <w:szCs w:val="24"/>
        </w:rPr>
        <w:t xml:space="preserve"> </w:t>
      </w:r>
      <w:r>
        <w:rPr>
          <w:szCs w:val="24"/>
        </w:rPr>
        <w:t xml:space="preserve">and other </w:t>
      </w:r>
      <w:r w:rsidRPr="005337F2">
        <w:rPr>
          <w:szCs w:val="24"/>
        </w:rPr>
        <w:t>applicable law.</w:t>
      </w:r>
    </w:p>
    <w:p w:rsidR="005111CF" w:rsidRPr="005337F2" w:rsidRDefault="00FA3DC7" w:rsidP="00F635E9">
      <w:pPr>
        <w:tabs>
          <w:tab w:val="left" w:pos="1530"/>
        </w:tabs>
        <w:ind w:left="2520" w:hanging="360"/>
        <w:rPr>
          <w:szCs w:val="24"/>
        </w:rPr>
      </w:pPr>
    </w:p>
    <w:p w:rsidR="005111CF" w:rsidRDefault="00FA3DC7" w:rsidP="00F635E9">
      <w:pPr>
        <w:tabs>
          <w:tab w:val="left" w:pos="1530"/>
        </w:tabs>
        <w:ind w:left="2520" w:hanging="360"/>
        <w:jc w:val="both"/>
        <w:rPr>
          <w:szCs w:val="24"/>
        </w:rPr>
      </w:pPr>
      <w:r>
        <w:rPr>
          <w:szCs w:val="24"/>
        </w:rPr>
        <w:t>d</w:t>
      </w:r>
      <w:r w:rsidRPr="005337F2">
        <w:rPr>
          <w:szCs w:val="24"/>
        </w:rPr>
        <w:t>.</w:t>
      </w:r>
      <w:r>
        <w:rPr>
          <w:sz w:val="14"/>
          <w:szCs w:val="14"/>
        </w:rPr>
        <w:tab/>
      </w:r>
      <w:r w:rsidRPr="005111CF">
        <w:rPr>
          <w:bCs/>
          <w:szCs w:val="24"/>
        </w:rPr>
        <w:t>Arbitration.</w:t>
      </w:r>
      <w:r>
        <w:rPr>
          <w:b/>
          <w:bCs/>
          <w:szCs w:val="24"/>
        </w:rPr>
        <w:t xml:space="preserve">  </w:t>
      </w:r>
      <w:r w:rsidRPr="005337F2">
        <w:rPr>
          <w:szCs w:val="24"/>
        </w:rPr>
        <w:t>If</w:t>
      </w:r>
      <w:r>
        <w:rPr>
          <w:szCs w:val="24"/>
        </w:rPr>
        <w:t xml:space="preserve"> </w:t>
      </w:r>
      <w:r w:rsidRPr="005337F2">
        <w:rPr>
          <w:szCs w:val="24"/>
        </w:rPr>
        <w:t xml:space="preserve">the dispute has not been resolved by mediation as provided herein within 90 </w:t>
      </w:r>
      <w:r>
        <w:rPr>
          <w:szCs w:val="24"/>
        </w:rPr>
        <w:t xml:space="preserve">days of </w:t>
      </w:r>
      <w:r w:rsidRPr="005337F2">
        <w:rPr>
          <w:szCs w:val="24"/>
        </w:rPr>
        <w:t>the initiation of such procedure,</w:t>
      </w:r>
      <w:r>
        <w:rPr>
          <w:szCs w:val="24"/>
        </w:rPr>
        <w:t xml:space="preserve"> any party to such dispute may submit that dispute to FERC for resolution.  In the event that FERC </w:t>
      </w:r>
      <w:r>
        <w:rPr>
          <w:szCs w:val="24"/>
        </w:rPr>
        <w:t>issues a</w:t>
      </w:r>
      <w:r>
        <w:rPr>
          <w:szCs w:val="24"/>
        </w:rPr>
        <w:t xml:space="preserve"> final</w:t>
      </w:r>
      <w:r>
        <w:rPr>
          <w:szCs w:val="24"/>
        </w:rPr>
        <w:t xml:space="preserve"> order declining</w:t>
      </w:r>
      <w:r>
        <w:rPr>
          <w:szCs w:val="24"/>
        </w:rPr>
        <w:t xml:space="preserve"> to adjudicate that dispute or </w:t>
      </w:r>
      <w:r>
        <w:rPr>
          <w:szCs w:val="24"/>
        </w:rPr>
        <w:t>in the absence of any such request</w:t>
      </w:r>
      <w:r>
        <w:rPr>
          <w:szCs w:val="24"/>
        </w:rPr>
        <w:t xml:space="preserve"> to FERC, such dispute</w:t>
      </w:r>
      <w:r w:rsidRPr="005337F2">
        <w:rPr>
          <w:szCs w:val="24"/>
        </w:rPr>
        <w:t xml:space="preserve"> shall be settled by binding arbitration</w:t>
      </w:r>
      <w:r w:rsidRPr="005337F2">
        <w:rPr>
          <w:szCs w:val="24"/>
        </w:rPr>
        <w:t xml:space="preserve"> in accordance with </w:t>
      </w:r>
      <w:r>
        <w:rPr>
          <w:szCs w:val="24"/>
        </w:rPr>
        <w:t>Rule 605 of FERC’s Rules of Practice and Procedure, 18 C.F.R. § 385.605 (200</w:t>
      </w:r>
      <w:r>
        <w:rPr>
          <w:szCs w:val="24"/>
        </w:rPr>
        <w:t>6</w:t>
      </w:r>
      <w:r>
        <w:rPr>
          <w:szCs w:val="24"/>
        </w:rPr>
        <w:t>)</w:t>
      </w:r>
      <w:r>
        <w:rPr>
          <w:szCs w:val="24"/>
        </w:rPr>
        <w:t>,</w:t>
      </w:r>
      <w:r>
        <w:rPr>
          <w:szCs w:val="24"/>
        </w:rPr>
        <w:t xml:space="preserve"> (“Rule 605”) and </w:t>
      </w:r>
      <w:r w:rsidRPr="005337F2">
        <w:rPr>
          <w:szCs w:val="24"/>
        </w:rPr>
        <w:t xml:space="preserve">the CPR Rules for Non-Administered Arbitration in effect on the date of this </w:t>
      </w:r>
      <w:r>
        <w:rPr>
          <w:szCs w:val="24"/>
        </w:rPr>
        <w:t>A</w:t>
      </w:r>
      <w:r w:rsidRPr="005337F2">
        <w:rPr>
          <w:szCs w:val="24"/>
        </w:rPr>
        <w:t>greement, by a sole arbitrator selected from the CPR Panel, e</w:t>
      </w:r>
      <w:r w:rsidRPr="005337F2">
        <w:rPr>
          <w:szCs w:val="24"/>
        </w:rPr>
        <w:t>xcept that if the amount in controversy exceeds $1</w:t>
      </w:r>
      <w:r>
        <w:rPr>
          <w:szCs w:val="24"/>
        </w:rPr>
        <w:t> </w:t>
      </w:r>
      <w:r w:rsidRPr="005337F2">
        <w:rPr>
          <w:szCs w:val="24"/>
        </w:rPr>
        <w:t xml:space="preserve">million, </w:t>
      </w:r>
      <w:r>
        <w:rPr>
          <w:szCs w:val="24"/>
        </w:rPr>
        <w:t xml:space="preserve">any </w:t>
      </w:r>
      <w:r w:rsidRPr="005337F2">
        <w:rPr>
          <w:szCs w:val="24"/>
        </w:rPr>
        <w:t>Party</w:t>
      </w:r>
      <w:r>
        <w:rPr>
          <w:szCs w:val="24"/>
        </w:rPr>
        <w:t xml:space="preserve"> to that dispute</w:t>
      </w:r>
      <w:r w:rsidRPr="005337F2">
        <w:rPr>
          <w:szCs w:val="24"/>
        </w:rPr>
        <w:t xml:space="preserve"> may opt for an arbitration by three independent and impartial arbitrators, none of whom shall be appointed by any </w:t>
      </w:r>
      <w:r>
        <w:rPr>
          <w:szCs w:val="24"/>
        </w:rPr>
        <w:t>P</w:t>
      </w:r>
      <w:r w:rsidRPr="005337F2">
        <w:rPr>
          <w:szCs w:val="24"/>
        </w:rPr>
        <w:t xml:space="preserve">arty.  The arbitration shall be governed by </w:t>
      </w:r>
      <w:r>
        <w:rPr>
          <w:szCs w:val="24"/>
        </w:rPr>
        <w:t>Rule 605 an</w:t>
      </w:r>
      <w:r>
        <w:rPr>
          <w:szCs w:val="24"/>
        </w:rPr>
        <w:t xml:space="preserve">d </w:t>
      </w:r>
      <w:r w:rsidRPr="005337F2">
        <w:rPr>
          <w:szCs w:val="24"/>
        </w:rPr>
        <w:t>the Federal Arbitration Act, 9 U</w:t>
      </w:r>
      <w:r>
        <w:rPr>
          <w:szCs w:val="24"/>
        </w:rPr>
        <w:t>.</w:t>
      </w:r>
      <w:r w:rsidRPr="005337F2">
        <w:rPr>
          <w:szCs w:val="24"/>
        </w:rPr>
        <w:t>S</w:t>
      </w:r>
      <w:r>
        <w:rPr>
          <w:szCs w:val="24"/>
        </w:rPr>
        <w:t>.</w:t>
      </w:r>
      <w:r w:rsidRPr="005337F2">
        <w:rPr>
          <w:szCs w:val="24"/>
        </w:rPr>
        <w:t>C</w:t>
      </w:r>
      <w:r>
        <w:rPr>
          <w:szCs w:val="24"/>
        </w:rPr>
        <w:t>.</w:t>
      </w:r>
      <w:r w:rsidRPr="005337F2">
        <w:rPr>
          <w:szCs w:val="24"/>
        </w:rPr>
        <w:t xml:space="preserve"> §§ 1-16</w:t>
      </w:r>
      <w:r>
        <w:rPr>
          <w:szCs w:val="24"/>
        </w:rPr>
        <w:t>,</w:t>
      </w:r>
      <w:r w:rsidRPr="005337F2">
        <w:rPr>
          <w:szCs w:val="24"/>
        </w:rPr>
        <w:t xml:space="preserve"> to the exclusion of state laws inconsistent therewith, and judgment upon the award may be entered by any court having jurisdiction thereof.  The arbitrators are not empowered to award damages excluded by thi</w:t>
      </w:r>
      <w:r w:rsidRPr="005337F2">
        <w:rPr>
          <w:szCs w:val="24"/>
        </w:rPr>
        <w:t xml:space="preserve">s </w:t>
      </w:r>
      <w:r>
        <w:rPr>
          <w:szCs w:val="24"/>
        </w:rPr>
        <w:t>A</w:t>
      </w:r>
      <w:r w:rsidRPr="005337F2">
        <w:rPr>
          <w:szCs w:val="24"/>
        </w:rPr>
        <w:t>greement.</w:t>
      </w:r>
    </w:p>
    <w:p w:rsidR="005111CF" w:rsidRDefault="00FA3DC7" w:rsidP="00F635E9">
      <w:pPr>
        <w:tabs>
          <w:tab w:val="left" w:pos="1530"/>
        </w:tabs>
        <w:ind w:left="2520" w:hanging="360"/>
        <w:rPr>
          <w:szCs w:val="24"/>
        </w:rPr>
      </w:pPr>
    </w:p>
    <w:p w:rsidR="005111CF" w:rsidRPr="005337F2" w:rsidRDefault="00FA3DC7" w:rsidP="00F635E9">
      <w:pPr>
        <w:tabs>
          <w:tab w:val="left" w:pos="1530"/>
        </w:tabs>
        <w:ind w:left="2520" w:hanging="360"/>
        <w:jc w:val="both"/>
        <w:rPr>
          <w:szCs w:val="24"/>
        </w:rPr>
      </w:pPr>
      <w:r>
        <w:rPr>
          <w:szCs w:val="24"/>
        </w:rPr>
        <w:t>e.</w:t>
      </w:r>
      <w:r>
        <w:rPr>
          <w:szCs w:val="24"/>
        </w:rPr>
        <w:tab/>
        <w:t>Nothing contained herein shall be construed as requiring mediation or arbitration in circumstances prohibited by Rule 604.</w:t>
      </w:r>
    </w:p>
    <w:p w:rsidR="005111CF" w:rsidRDefault="00FA3DC7" w:rsidP="006B28C4">
      <w:pPr>
        <w:pStyle w:val="BodyText"/>
        <w:ind w:left="1440"/>
      </w:pPr>
    </w:p>
    <w:p w:rsidR="006B28C4" w:rsidRDefault="00FA3DC7" w:rsidP="001978BF">
      <w:pPr>
        <w:pStyle w:val="BodyText"/>
        <w:ind w:left="2160" w:hanging="720"/>
        <w:rPr>
          <w:szCs w:val="24"/>
        </w:rPr>
      </w:pPr>
      <w:r>
        <w:rPr>
          <w:szCs w:val="24"/>
        </w:rPr>
        <w:t>1</w:t>
      </w:r>
      <w:r>
        <w:rPr>
          <w:szCs w:val="24"/>
        </w:rPr>
        <w:t>6</w:t>
      </w:r>
      <w:r>
        <w:rPr>
          <w:szCs w:val="24"/>
        </w:rPr>
        <w:t>.</w:t>
      </w:r>
      <w:r>
        <w:rPr>
          <w:szCs w:val="24"/>
        </w:rPr>
        <w:tab/>
      </w:r>
      <w:r w:rsidRPr="006B28C4">
        <w:rPr>
          <w:szCs w:val="24"/>
        </w:rPr>
        <w:t xml:space="preserve">No Party shall be liable for incidental, indirect, special, punitive, multiple or consequential damages </w:t>
      </w:r>
      <w:r w:rsidRPr="006B28C4">
        <w:rPr>
          <w:szCs w:val="24"/>
        </w:rPr>
        <w:t>(including attorney fees or litigation costs) arising out of the performance or non performance of its obligations under this Agreement, including breach of contract, tort (including negligence and misrepresentation), statute, operation of law, or any othe</w:t>
      </w:r>
      <w:r w:rsidRPr="006B28C4">
        <w:rPr>
          <w:szCs w:val="24"/>
        </w:rPr>
        <w:t>r theory of recovery, including but not limited to claims against the Parties by customers or any person or entity not a Party to this Agreement.</w:t>
      </w:r>
    </w:p>
    <w:p w:rsidR="00E03248" w:rsidRDefault="00FA3DC7" w:rsidP="00F635E9">
      <w:pPr>
        <w:pStyle w:val="BodyText"/>
        <w:ind w:left="1440"/>
        <w:rPr>
          <w:szCs w:val="24"/>
        </w:rPr>
      </w:pPr>
    </w:p>
    <w:p w:rsidR="008726FA" w:rsidRDefault="00FA3DC7" w:rsidP="001978BF">
      <w:pPr>
        <w:pStyle w:val="BodyText"/>
        <w:ind w:left="2160" w:hanging="720"/>
      </w:pPr>
      <w:r>
        <w:t>1</w:t>
      </w:r>
      <w:r>
        <w:t>7</w:t>
      </w:r>
      <w:r>
        <w:t xml:space="preserve">.  </w:t>
      </w:r>
      <w:r>
        <w:tab/>
      </w:r>
      <w:r w:rsidRPr="008656D6">
        <w:t>Th</w:t>
      </w:r>
      <w:r>
        <w:t>is</w:t>
      </w:r>
      <w:r>
        <w:t xml:space="preserve"> Agreement </w:t>
      </w:r>
      <w:r w:rsidRPr="008656D6">
        <w:t>constitute</w:t>
      </w:r>
      <w:r>
        <w:t>s</w:t>
      </w:r>
      <w:r w:rsidRPr="008656D6">
        <w:t xml:space="preserve"> a full settlement </w:t>
      </w:r>
      <w:r>
        <w:t>of the matters addressed herein</w:t>
      </w:r>
      <w:r w:rsidRPr="008656D6">
        <w:t xml:space="preserve"> </w:t>
      </w:r>
      <w:r>
        <w:t xml:space="preserve">and </w:t>
      </w:r>
      <w:r w:rsidRPr="008656D6">
        <w:t>supersede</w:t>
      </w:r>
      <w:r>
        <w:t>s</w:t>
      </w:r>
      <w:r w:rsidRPr="008656D6">
        <w:t xml:space="preserve"> any and all</w:t>
      </w:r>
      <w:r w:rsidRPr="008656D6">
        <w:t xml:space="preserve"> prior representations, agreements, instruments and understandings between the Parties</w:t>
      </w:r>
      <w:r>
        <w:t>,</w:t>
      </w:r>
      <w:r w:rsidRPr="008656D6">
        <w:t xml:space="preserve"> whether written or oral, relating to the matters addressed herein.  There </w:t>
      </w:r>
      <w:r>
        <w:t>are</w:t>
      </w:r>
      <w:r w:rsidRPr="008656D6">
        <w:t xml:space="preserve"> </w:t>
      </w:r>
      <w:r w:rsidRPr="008656D6">
        <w:t xml:space="preserve">no other oral understandings, terms or conditions of </w:t>
      </w:r>
      <w:r>
        <w:t>this Agreement</w:t>
      </w:r>
      <w:r w:rsidRPr="008656D6">
        <w:t>, and none of the parti</w:t>
      </w:r>
      <w:r w:rsidRPr="008656D6">
        <w:t>cipants has relied upon any such representation, express or implied in making</w:t>
      </w:r>
      <w:r>
        <w:t xml:space="preserve"> or entering into</w:t>
      </w:r>
      <w:r w:rsidRPr="008656D6">
        <w:t xml:space="preserve"> </w:t>
      </w:r>
      <w:r>
        <w:t>this Agreement</w:t>
      </w:r>
      <w:r w:rsidRPr="008656D6">
        <w:t>.</w:t>
      </w:r>
    </w:p>
    <w:p w:rsidR="008726FA" w:rsidRDefault="00FA3DC7" w:rsidP="004D3EF7">
      <w:pPr>
        <w:pStyle w:val="BodyText"/>
        <w:ind w:left="1440" w:hanging="720"/>
      </w:pPr>
    </w:p>
    <w:p w:rsidR="008656D6" w:rsidRDefault="00FA3DC7" w:rsidP="001978BF">
      <w:pPr>
        <w:pStyle w:val="BodyText"/>
        <w:ind w:left="2160" w:hanging="720"/>
      </w:pPr>
      <w:r>
        <w:t>1</w:t>
      </w:r>
      <w:r>
        <w:t>8</w:t>
      </w:r>
      <w:r>
        <w:t>.</w:t>
      </w:r>
      <w:r>
        <w:tab/>
      </w:r>
      <w:r w:rsidRPr="008656D6">
        <w:t xml:space="preserve">The Parties </w:t>
      </w:r>
      <w:r>
        <w:t>request the</w:t>
      </w:r>
      <w:r w:rsidRPr="008656D6">
        <w:t xml:space="preserve"> </w:t>
      </w:r>
      <w:r>
        <w:t xml:space="preserve">FERC </w:t>
      </w:r>
      <w:r>
        <w:t xml:space="preserve">to </w:t>
      </w:r>
      <w:r w:rsidRPr="008656D6">
        <w:t xml:space="preserve">grant such waivers of its regulations as may be necessary to effectuate all of the provisions of </w:t>
      </w:r>
      <w:r>
        <w:t>this Agreem</w:t>
      </w:r>
      <w:r>
        <w:t>ent</w:t>
      </w:r>
      <w:r w:rsidRPr="008656D6">
        <w:t xml:space="preserve">.  Any number of counterparts of </w:t>
      </w:r>
      <w:r>
        <w:t>this Agreement</w:t>
      </w:r>
      <w:r w:rsidRPr="008656D6">
        <w:t xml:space="preserve"> may be executed, and each shall have the same force and effect as an original instrument, as if </w:t>
      </w:r>
      <w:r>
        <w:t>all</w:t>
      </w:r>
      <w:r>
        <w:t xml:space="preserve"> </w:t>
      </w:r>
      <w:r w:rsidRPr="008656D6">
        <w:t>of the Parties had signed a single instrument.</w:t>
      </w:r>
    </w:p>
    <w:p w:rsidR="004C67FD" w:rsidRDefault="00FA3DC7" w:rsidP="004C67FD">
      <w:pPr>
        <w:pStyle w:val="BodyText"/>
        <w:ind w:left="1440"/>
      </w:pPr>
    </w:p>
    <w:p w:rsidR="0081361A" w:rsidRDefault="00FA3DC7" w:rsidP="004C67FD">
      <w:pPr>
        <w:pStyle w:val="BodyText"/>
        <w:ind w:left="1440"/>
      </w:pPr>
      <w:r>
        <w:t xml:space="preserve">THIS PAGE IS FOLLOWED BY SIGNATURE PAGES FOR EACH OF THE </w:t>
      </w:r>
      <w:r>
        <w:t>PARTIES</w:t>
      </w:r>
    </w:p>
    <w:p w:rsidR="00B26E57" w:rsidRDefault="00FA3DC7" w:rsidP="005D6498">
      <w:pPr>
        <w:pStyle w:val="BodyText"/>
        <w:ind w:left="1440" w:hanging="720"/>
      </w:pPr>
      <w:r>
        <w:br w:type="column"/>
      </w:r>
    </w:p>
    <w:p w:rsidR="007425C9" w:rsidRPr="001D080C" w:rsidRDefault="00FA3DC7" w:rsidP="007425C9">
      <w:pPr>
        <w:pStyle w:val="BodyText"/>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65.5pt">
            <v:imagedata r:id="rId13" o:title=""/>
          </v:shape>
        </w:pict>
      </w:r>
    </w:p>
    <w:p w:rsidR="004D3EF7" w:rsidRDefault="00FA3DC7" w:rsidP="007425C9">
      <w:pPr>
        <w:pStyle w:val="BodyText"/>
        <w:ind w:left="720"/>
      </w:pPr>
    </w:p>
    <w:p w:rsidR="007425C9" w:rsidRDefault="00FA3DC7" w:rsidP="00352010">
      <w:pPr>
        <w:pStyle w:val="BodyText"/>
        <w:ind w:left="720"/>
      </w:pPr>
      <w:r>
        <w:br w:type="column"/>
      </w:r>
      <w:r>
        <w:pict>
          <v:shape id="_x0000_i1026" type="#_x0000_t75" style="width:435.2pt;height:165.5pt">
            <v:imagedata r:id="rId14" o:title=""/>
          </v:shape>
        </w:pict>
      </w:r>
    </w:p>
    <w:p w:rsidR="000C06EA" w:rsidRDefault="00FA3DC7" w:rsidP="00352010">
      <w:pPr>
        <w:pStyle w:val="BodyText"/>
        <w:ind w:left="720"/>
      </w:pPr>
      <w:r>
        <w:br w:type="column"/>
      </w:r>
      <w:r>
        <w:pict>
          <v:shape id="_x0000_i1027" type="#_x0000_t75" style="width:435.2pt;height:165.5pt">
            <v:imagedata r:id="rId15" o:title=""/>
          </v:shape>
        </w:pict>
      </w:r>
    </w:p>
    <w:p w:rsidR="000E5B6A" w:rsidRDefault="00FA3DC7" w:rsidP="00352010">
      <w:pPr>
        <w:pStyle w:val="BodyText"/>
        <w:ind w:left="720"/>
      </w:pPr>
      <w:r>
        <w:br w:type="column"/>
      </w:r>
      <w:r>
        <w:pict>
          <v:shape id="_x0000_i1028" type="#_x0000_t75" style="width:435.2pt;height:165.5pt">
            <v:imagedata r:id="rId16" o:title=""/>
          </v:shape>
        </w:pict>
      </w:r>
    </w:p>
    <w:p w:rsidR="000E5B6A" w:rsidRDefault="00FA3DC7" w:rsidP="00D10E68">
      <w:pPr>
        <w:pStyle w:val="BodyText"/>
        <w:ind w:left="720"/>
      </w:pPr>
    </w:p>
    <w:p w:rsidR="003B132A" w:rsidRDefault="00FA3DC7" w:rsidP="00C43728">
      <w:pPr>
        <w:pStyle w:val="BodyText"/>
        <w:ind w:left="720"/>
        <w:jc w:val="center"/>
        <w:sectPr w:rsidR="003B132A" w:rsidSect="003B132A">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fmt="numberInDash"/>
          <w:cols w:space="720"/>
          <w:noEndnote/>
          <w:titlePg/>
        </w:sectPr>
      </w:pPr>
    </w:p>
    <w:p w:rsidR="006509D7" w:rsidRDefault="00FA3DC7" w:rsidP="006509D7">
      <w:pPr>
        <w:pStyle w:val="BodyText"/>
        <w:ind w:left="720"/>
        <w:jc w:val="center"/>
      </w:pPr>
      <w:r>
        <w:t>Exhibit A</w:t>
      </w:r>
    </w:p>
    <w:p w:rsidR="006509D7" w:rsidRDefault="00FA3DC7" w:rsidP="006509D7">
      <w:pPr>
        <w:pStyle w:val="BodyText"/>
        <w:ind w:left="720"/>
      </w:pPr>
    </w:p>
    <w:tbl>
      <w:tblPr>
        <w:tblW w:w="15090" w:type="dxa"/>
        <w:tblInd w:w="108" w:type="dxa"/>
        <w:tblLook w:val="0000"/>
      </w:tblPr>
      <w:tblGrid>
        <w:gridCol w:w="960"/>
        <w:gridCol w:w="3480"/>
        <w:gridCol w:w="1060"/>
        <w:gridCol w:w="1720"/>
        <w:gridCol w:w="1340"/>
        <w:gridCol w:w="2690"/>
        <w:gridCol w:w="280"/>
        <w:gridCol w:w="450"/>
        <w:gridCol w:w="890"/>
        <w:gridCol w:w="70"/>
        <w:gridCol w:w="1190"/>
        <w:gridCol w:w="960"/>
      </w:tblGrid>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522"/>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1980" w:type="dxa"/>
            <w:gridSpan w:val="9"/>
            <w:tcBorders>
              <w:top w:val="nil"/>
              <w:left w:val="nil"/>
              <w:bottom w:val="nil"/>
              <w:right w:val="nil"/>
            </w:tcBorders>
            <w:noWrap/>
            <w:vAlign w:val="bottom"/>
          </w:tcPr>
          <w:p w:rsidR="006509D7" w:rsidRDefault="00FA3DC7" w:rsidP="006509D7">
            <w:pPr>
              <w:jc w:val="center"/>
              <w:rPr>
                <w:rFonts w:ascii="Arial" w:hAnsi="Arial" w:cs="Arial"/>
                <w:b/>
                <w:bCs/>
                <w:sz w:val="20"/>
              </w:rPr>
            </w:pPr>
            <w:r w:rsidRPr="000E5B6A">
              <w:rPr>
                <w:rFonts w:ascii="Arial" w:hAnsi="Arial" w:cs="Arial"/>
                <w:b/>
                <w:bCs/>
                <w:sz w:val="20"/>
              </w:rPr>
              <w:t xml:space="preserve">Upfront </w:t>
            </w:r>
            <w:r w:rsidRPr="000E5B6A">
              <w:rPr>
                <w:rFonts w:ascii="Arial" w:hAnsi="Arial" w:cs="Arial"/>
                <w:b/>
                <w:bCs/>
                <w:sz w:val="20"/>
              </w:rPr>
              <w:t>Project Cost Estimates for National Grid</w:t>
            </w:r>
            <w:r>
              <w:rPr>
                <w:rFonts w:ascii="Arial" w:hAnsi="Arial" w:cs="Arial"/>
                <w:b/>
                <w:bCs/>
                <w:sz w:val="20"/>
              </w:rPr>
              <w:t xml:space="preserve"> (With NMPC A&amp;G Removed from Overheads)</w:t>
            </w:r>
          </w:p>
          <w:p w:rsidR="006509D7" w:rsidRDefault="00FA3DC7" w:rsidP="006509D7">
            <w:pPr>
              <w:jc w:val="center"/>
              <w:rPr>
                <w:rFonts w:ascii="Arial" w:hAnsi="Arial" w:cs="Arial"/>
                <w:b/>
                <w:bCs/>
                <w:sz w:val="20"/>
              </w:rPr>
            </w:pPr>
            <w:r>
              <w:rPr>
                <w:rFonts w:ascii="Arial" w:hAnsi="Arial" w:cs="Arial"/>
                <w:b/>
                <w:bCs/>
                <w:sz w:val="20"/>
              </w:rPr>
              <w:t>(2004, $M)</w:t>
            </w:r>
          </w:p>
          <w:p w:rsidR="006509D7" w:rsidRPr="000E5B6A" w:rsidRDefault="00FA3DC7" w:rsidP="006509D7">
            <w:pPr>
              <w:jc w:val="center"/>
              <w:rPr>
                <w:rFonts w:ascii="Arial" w:hAnsi="Arial" w:cs="Arial"/>
                <w:b/>
                <w:bCs/>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In-Service</w:t>
            </w: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Licensing and</w:t>
            </w: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Direct</w:t>
            </w: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Total</w:t>
            </w:r>
          </w:p>
        </w:tc>
      </w:tr>
      <w:tr w:rsidR="001F5B77">
        <w:trPr>
          <w:gridAfter w:val="2"/>
          <w:wAfter w:w="2150" w:type="dxa"/>
          <w:trHeight w:val="28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Project Element</w:t>
            </w:r>
          </w:p>
        </w:tc>
        <w:tc>
          <w:tcPr>
            <w:tcW w:w="1060" w:type="dxa"/>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Year</w:t>
            </w: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Permitting Costs</w:t>
            </w: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Costs</w:t>
            </w:r>
          </w:p>
        </w:tc>
        <w:tc>
          <w:tcPr>
            <w:tcW w:w="3420" w:type="dxa"/>
            <w:gridSpan w:val="3"/>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 xml:space="preserve">Overheads </w:t>
            </w:r>
            <w:r w:rsidRPr="000E5B6A">
              <w:rPr>
                <w:rFonts w:ascii="Arial" w:hAnsi="Arial" w:cs="Arial"/>
                <w:b/>
                <w:bCs/>
                <w:sz w:val="20"/>
                <w:vertAlign w:val="superscript"/>
              </w:rPr>
              <w:t>2</w:t>
            </w: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b/>
                <w:bCs/>
                <w:sz w:val="20"/>
              </w:rPr>
            </w:pPr>
            <w:r w:rsidRPr="000E5B6A">
              <w:rPr>
                <w:rFonts w:ascii="Arial" w:hAnsi="Arial" w:cs="Arial"/>
                <w:b/>
                <w:bCs/>
                <w:sz w:val="20"/>
              </w:rPr>
              <w:t>Cost</w:t>
            </w: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 xml:space="preserve">46 kV SVC @ Tupper </w:t>
            </w:r>
            <w:smartTag w:uri="urn:schemas-microsoft-com:office:smarttags" w:element="place">
              <w:r w:rsidRPr="000E5B6A">
                <w:rPr>
                  <w:rFonts w:ascii="Arial" w:hAnsi="Arial" w:cs="Arial"/>
                  <w:sz w:val="20"/>
                </w:rPr>
                <w:t>Lake</w:t>
              </w:r>
            </w:smartTag>
          </w:p>
        </w:tc>
        <w:tc>
          <w:tcPr>
            <w:tcW w:w="106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2006</w:t>
            </w: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$0.3</w:t>
            </w: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$3.5</w:t>
            </w:r>
          </w:p>
        </w:tc>
        <w:tc>
          <w:tcPr>
            <w:tcW w:w="3420" w:type="dxa"/>
            <w:gridSpan w:val="3"/>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.5</w:t>
            </w: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4.3</w:t>
            </w: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 xml:space="preserve">115 kV SVC @ </w:t>
            </w:r>
            <w:smartTag w:uri="urn:schemas-microsoft-com:office:smarttags" w:element="place">
              <w:smartTag w:uri="urn:schemas-microsoft-com:office:smarttags" w:element="PlaceType">
                <w:r w:rsidRPr="000E5B6A">
                  <w:rPr>
                    <w:rFonts w:ascii="Arial" w:hAnsi="Arial" w:cs="Arial"/>
                    <w:sz w:val="20"/>
                  </w:rPr>
                  <w:t>Lake</w:t>
                </w:r>
              </w:smartTag>
              <w:r w:rsidRPr="000E5B6A">
                <w:rPr>
                  <w:rFonts w:ascii="Arial" w:hAnsi="Arial" w:cs="Arial"/>
                  <w:sz w:val="20"/>
                </w:rPr>
                <w:t xml:space="preserve"> </w:t>
              </w:r>
              <w:smartTag w:uri="urn:schemas-microsoft-com:office:smarttags" w:element="PlaceName">
                <w:r w:rsidRPr="000E5B6A">
                  <w:rPr>
                    <w:rFonts w:ascii="Arial" w:hAnsi="Arial" w:cs="Arial"/>
                    <w:sz w:val="20"/>
                  </w:rPr>
                  <w:t>Colby</w:t>
                </w:r>
              </w:smartTag>
            </w:smartTag>
          </w:p>
        </w:tc>
        <w:tc>
          <w:tcPr>
            <w:tcW w:w="106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2006</w:t>
            </w: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$0.5</w:t>
            </w: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$7.3</w:t>
            </w:r>
          </w:p>
        </w:tc>
        <w:tc>
          <w:tcPr>
            <w:tcW w:w="3420" w:type="dxa"/>
            <w:gridSpan w:val="3"/>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1.1</w:t>
            </w: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8.9</w:t>
            </w: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r>
              <w:rPr>
                <w:rFonts w:ascii="Arial" w:hAnsi="Arial" w:cs="Arial"/>
                <w:sz w:val="20"/>
              </w:rPr>
              <w:t xml:space="preserve">Overhead </w:t>
            </w:r>
            <w:r w:rsidRPr="000E5B6A">
              <w:rPr>
                <w:rFonts w:ascii="Arial" w:hAnsi="Arial" w:cs="Arial"/>
                <w:sz w:val="20"/>
              </w:rPr>
              <w:t xml:space="preserve">46 kV Line from </w:t>
            </w:r>
          </w:p>
        </w:tc>
        <w:tc>
          <w:tcPr>
            <w:tcW w:w="106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2008</w:t>
            </w: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$1.0</w:t>
            </w: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$12.9</w:t>
            </w:r>
          </w:p>
        </w:tc>
        <w:tc>
          <w:tcPr>
            <w:tcW w:w="3420" w:type="dxa"/>
            <w:gridSpan w:val="3"/>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1.9</w:t>
            </w: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15.8</w:t>
            </w:r>
          </w:p>
        </w:tc>
      </w:tr>
      <w:tr w:rsidR="001F5B77">
        <w:trPr>
          <w:gridAfter w:val="2"/>
          <w:wAfter w:w="2150" w:type="dxa"/>
          <w:trHeight w:val="28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smartTag w:uri="urn:schemas-microsoft-com:office:smarttags" w:element="place">
              <w:smartTag w:uri="urn:schemas-microsoft-com:office:smarttags" w:element="City">
                <w:r w:rsidRPr="000E5B6A">
                  <w:rPr>
                    <w:rFonts w:ascii="Arial" w:hAnsi="Arial" w:cs="Arial"/>
                    <w:sz w:val="20"/>
                  </w:rPr>
                  <w:t>Newton</w:t>
                </w:r>
              </w:smartTag>
            </w:smartTag>
            <w:r w:rsidRPr="000E5B6A">
              <w:rPr>
                <w:rFonts w:ascii="Arial" w:hAnsi="Arial" w:cs="Arial"/>
                <w:sz w:val="20"/>
              </w:rPr>
              <w:t xml:space="preserve"> Falls - Piercefield </w:t>
            </w:r>
            <w:r w:rsidRPr="000E5B6A">
              <w:rPr>
                <w:rFonts w:ascii="Arial" w:hAnsi="Arial" w:cs="Arial"/>
                <w:sz w:val="20"/>
                <w:vertAlign w:val="superscript"/>
              </w:rPr>
              <w:t>1</w:t>
            </w: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single" w:sz="4" w:space="0" w:color="auto"/>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 </w:t>
            </w:r>
          </w:p>
        </w:tc>
        <w:tc>
          <w:tcPr>
            <w:tcW w:w="1340" w:type="dxa"/>
            <w:tcBorders>
              <w:top w:val="nil"/>
              <w:left w:val="nil"/>
              <w:bottom w:val="single" w:sz="4" w:space="0" w:color="auto"/>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 </w:t>
            </w:r>
          </w:p>
        </w:tc>
        <w:tc>
          <w:tcPr>
            <w:tcW w:w="3420" w:type="dxa"/>
            <w:gridSpan w:val="3"/>
            <w:tcBorders>
              <w:top w:val="nil"/>
              <w:left w:val="nil"/>
              <w:bottom w:val="single" w:sz="4" w:space="0" w:color="auto"/>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 </w:t>
            </w:r>
          </w:p>
        </w:tc>
        <w:tc>
          <w:tcPr>
            <w:tcW w:w="960" w:type="dxa"/>
            <w:gridSpan w:val="2"/>
            <w:tcBorders>
              <w:top w:val="nil"/>
              <w:left w:val="nil"/>
              <w:bottom w:val="single" w:sz="4" w:space="0" w:color="auto"/>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 </w:t>
            </w: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Totals</w:t>
            </w: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$1.8</w:t>
            </w:r>
          </w:p>
        </w:tc>
        <w:tc>
          <w:tcPr>
            <w:tcW w:w="1340" w:type="dxa"/>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$23.8</w:t>
            </w:r>
          </w:p>
        </w:tc>
        <w:tc>
          <w:tcPr>
            <w:tcW w:w="3420" w:type="dxa"/>
            <w:gridSpan w:val="3"/>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3.5</w:t>
            </w:r>
          </w:p>
        </w:tc>
        <w:tc>
          <w:tcPr>
            <w:tcW w:w="960" w:type="dxa"/>
            <w:gridSpan w:val="2"/>
            <w:tcBorders>
              <w:top w:val="nil"/>
              <w:left w:val="nil"/>
              <w:bottom w:val="nil"/>
              <w:right w:val="nil"/>
            </w:tcBorders>
            <w:noWrap/>
            <w:vAlign w:val="bottom"/>
          </w:tcPr>
          <w:p w:rsidR="006509D7" w:rsidRPr="000E5B6A" w:rsidRDefault="00FA3DC7" w:rsidP="006509D7">
            <w:pPr>
              <w:jc w:val="center"/>
              <w:rPr>
                <w:rFonts w:ascii="Arial" w:hAnsi="Arial" w:cs="Arial"/>
                <w:sz w:val="20"/>
              </w:rPr>
            </w:pPr>
            <w:r w:rsidRPr="000E5B6A">
              <w:rPr>
                <w:rFonts w:ascii="Arial" w:hAnsi="Arial" w:cs="Arial"/>
                <w:sz w:val="20"/>
              </w:rPr>
              <w:t>$</w:t>
            </w:r>
            <w:r>
              <w:rPr>
                <w:rFonts w:ascii="Arial" w:hAnsi="Arial" w:cs="Arial"/>
                <w:sz w:val="20"/>
              </w:rPr>
              <w:t>29.1</w:t>
            </w: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290" w:type="dxa"/>
            <w:gridSpan w:val="5"/>
            <w:tcBorders>
              <w:top w:val="nil"/>
              <w:left w:val="nil"/>
              <w:bottom w:val="nil"/>
              <w:right w:val="nil"/>
            </w:tcBorders>
            <w:noWrap/>
            <w:vAlign w:val="bottom"/>
          </w:tcPr>
          <w:p w:rsidR="006509D7" w:rsidRPr="00533F1F" w:rsidRDefault="00FA3DC7" w:rsidP="006509D7">
            <w:pPr>
              <w:ind w:right="-728"/>
              <w:rPr>
                <w:rFonts w:ascii="Arial" w:hAnsi="Arial" w:cs="Arial"/>
                <w:color w:val="000000"/>
                <w:sz w:val="20"/>
              </w:rPr>
            </w:pPr>
            <w:r w:rsidRPr="000E5B6A">
              <w:rPr>
                <w:rFonts w:ascii="Arial" w:hAnsi="Arial" w:cs="Arial"/>
                <w:sz w:val="20"/>
              </w:rPr>
              <w:t xml:space="preserve">1 - Includes related substation and </w:t>
            </w:r>
            <w:r w:rsidRPr="000E5B6A">
              <w:rPr>
                <w:rFonts w:ascii="Arial" w:hAnsi="Arial" w:cs="Arial"/>
                <w:sz w:val="20"/>
              </w:rPr>
              <w:t>regulator</w:t>
            </w:r>
            <w:r w:rsidRPr="00533F1F">
              <w:rPr>
                <w:rFonts w:ascii="Arial" w:hAnsi="Arial" w:cs="Arial"/>
                <w:color w:val="000000"/>
                <w:sz w:val="20"/>
              </w:rPr>
              <w:t>.  The Newton Falls-Piercefield routing is represented because it is the</w:t>
            </w:r>
          </w:p>
          <w:p w:rsidR="006509D7" w:rsidRPr="00533F1F" w:rsidRDefault="00FA3DC7" w:rsidP="006509D7">
            <w:pPr>
              <w:ind w:right="-728"/>
              <w:rPr>
                <w:rFonts w:ascii="Arial" w:hAnsi="Arial" w:cs="Arial"/>
                <w:color w:val="000000"/>
                <w:sz w:val="20"/>
              </w:rPr>
            </w:pPr>
            <w:r w:rsidRPr="00533F1F">
              <w:rPr>
                <w:rFonts w:ascii="Arial" w:hAnsi="Arial" w:cs="Arial"/>
                <w:color w:val="000000"/>
                <w:sz w:val="20"/>
              </w:rPr>
              <w:t>more conservative routing (from a cost standpoint).  The Stark-Piercefield route still remains viable if certain land</w:t>
            </w:r>
          </w:p>
          <w:p w:rsidR="006509D7" w:rsidRPr="00533F1F" w:rsidRDefault="00FA3DC7" w:rsidP="006509D7">
            <w:pPr>
              <w:ind w:right="-728"/>
              <w:rPr>
                <w:rFonts w:ascii="Arial" w:hAnsi="Arial" w:cs="Arial"/>
                <w:color w:val="000000"/>
                <w:sz w:val="20"/>
              </w:rPr>
            </w:pPr>
            <w:r w:rsidRPr="00533F1F">
              <w:rPr>
                <w:rFonts w:ascii="Arial" w:hAnsi="Arial" w:cs="Arial"/>
                <w:color w:val="000000"/>
                <w:sz w:val="20"/>
              </w:rPr>
              <w:t>swaps etc. can occur.  Final selection of best routing w</w:t>
            </w:r>
            <w:r w:rsidRPr="00533F1F">
              <w:rPr>
                <w:rFonts w:ascii="Arial" w:hAnsi="Arial" w:cs="Arial"/>
                <w:color w:val="000000"/>
                <w:sz w:val="20"/>
              </w:rPr>
              <w:t xml:space="preserve">ill be made that will optimize overall schedule, cost and </w:t>
            </w:r>
          </w:p>
          <w:p w:rsidR="006509D7" w:rsidRPr="000E5B6A" w:rsidRDefault="00FA3DC7" w:rsidP="006509D7">
            <w:pPr>
              <w:ind w:right="-728"/>
              <w:rPr>
                <w:rFonts w:ascii="Arial" w:hAnsi="Arial" w:cs="Arial"/>
                <w:sz w:val="20"/>
              </w:rPr>
            </w:pPr>
            <w:r w:rsidRPr="00533F1F">
              <w:rPr>
                <w:rFonts w:ascii="Arial" w:hAnsi="Arial" w:cs="Arial"/>
                <w:color w:val="000000"/>
                <w:sz w:val="20"/>
              </w:rPr>
              <w:t>operation benefits.</w:t>
            </w:r>
          </w:p>
        </w:tc>
        <w:tc>
          <w:tcPr>
            <w:tcW w:w="2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2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 xml:space="preserve">2 - </w:t>
            </w:r>
            <w:smartTag w:uri="urn:schemas-microsoft-com:office:smarttags" w:element="place">
              <w:r w:rsidRPr="000E5B6A">
                <w:rPr>
                  <w:rFonts w:ascii="Arial" w:hAnsi="Arial" w:cs="Arial"/>
                  <w:sz w:val="20"/>
                </w:rPr>
                <w:t>Niagara</w:t>
              </w:r>
            </w:smartTag>
            <w:r w:rsidRPr="000E5B6A">
              <w:rPr>
                <w:rFonts w:ascii="Arial" w:hAnsi="Arial" w:cs="Arial"/>
                <w:sz w:val="20"/>
              </w:rPr>
              <w:t xml:space="preserve"> Mohawk Overheads </w:t>
            </w: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626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Above costs exclude any costs for addressing the short term</w:t>
            </w:r>
            <w:r>
              <w:rPr>
                <w:rFonts w:ascii="Arial" w:hAnsi="Arial" w:cs="Arial"/>
                <w:sz w:val="20"/>
              </w:rPr>
              <w:t xml:space="preserve"> </w:t>
            </w:r>
            <w:r w:rsidRPr="000E5B6A">
              <w:rPr>
                <w:rFonts w:ascii="Arial" w:hAnsi="Arial" w:cs="Arial"/>
                <w:sz w:val="20"/>
              </w:rPr>
              <w:t>solution.</w:t>
            </w: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1980" w:type="dxa"/>
            <w:gridSpan w:val="9"/>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 xml:space="preserve">Above cost estimates have been </w:t>
            </w:r>
            <w:r w:rsidRPr="000E5B6A">
              <w:rPr>
                <w:rFonts w:ascii="Arial" w:hAnsi="Arial" w:cs="Arial"/>
                <w:sz w:val="20"/>
              </w:rPr>
              <w:t>updated from October 2002 original estimates. Cost increases attributed to:</w:t>
            </w: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 Inflationary price escalations.</w:t>
            </w:r>
          </w:p>
        </w:tc>
        <w:tc>
          <w:tcPr>
            <w:tcW w:w="10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7600" w:type="dxa"/>
            <w:gridSpan w:val="4"/>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 Using 477 ACSR conductor in lieu of 336 ACSR originally used for 46 kV line.</w:t>
            </w: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r w:rsidR="001F5B77">
        <w:trPr>
          <w:gridAfter w:val="2"/>
          <w:wAfter w:w="2150" w:type="dxa"/>
          <w:trHeight w:val="255"/>
        </w:trPr>
        <w:tc>
          <w:tcPr>
            <w:tcW w:w="96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626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r w:rsidRPr="000E5B6A">
              <w:rPr>
                <w:rFonts w:ascii="Arial" w:hAnsi="Arial" w:cs="Arial"/>
                <w:sz w:val="20"/>
              </w:rPr>
              <w:t xml:space="preserve">- Added breaker, </w:t>
            </w:r>
            <w:smartTag w:uri="urn:schemas-microsoft-com:office:smarttags" w:element="place">
              <w:r w:rsidRPr="000E5B6A">
                <w:rPr>
                  <w:rFonts w:ascii="Arial" w:hAnsi="Arial" w:cs="Arial"/>
                  <w:sz w:val="20"/>
                </w:rPr>
                <w:t>EMS</w:t>
              </w:r>
            </w:smartTag>
            <w:r w:rsidRPr="000E5B6A">
              <w:rPr>
                <w:rFonts w:ascii="Arial" w:hAnsi="Arial" w:cs="Arial"/>
                <w:sz w:val="20"/>
              </w:rPr>
              <w:t xml:space="preserve">, and relay protection previously </w:t>
            </w:r>
            <w:r w:rsidRPr="000E5B6A">
              <w:rPr>
                <w:rFonts w:ascii="Arial" w:hAnsi="Arial" w:cs="Arial"/>
                <w:sz w:val="20"/>
              </w:rPr>
              <w:t>not included.</w:t>
            </w:r>
          </w:p>
        </w:tc>
        <w:tc>
          <w:tcPr>
            <w:tcW w:w="1340" w:type="dxa"/>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FA3DC7"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FA3DC7" w:rsidP="006509D7">
            <w:pPr>
              <w:rPr>
                <w:rFonts w:ascii="Arial" w:hAnsi="Arial" w:cs="Arial"/>
                <w:sz w:val="20"/>
              </w:rPr>
            </w:pPr>
          </w:p>
        </w:tc>
      </w:tr>
    </w:tbl>
    <w:p w:rsidR="008C35AF" w:rsidRPr="001D080C" w:rsidRDefault="00FA3DC7" w:rsidP="00D07489">
      <w:pPr>
        <w:pStyle w:val="BodyText"/>
        <w:ind w:left="720"/>
        <w:jc w:val="center"/>
      </w:pPr>
    </w:p>
    <w:sectPr w:rsidR="008C35AF" w:rsidRPr="001D080C" w:rsidSect="00371269">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1440" w:right="2045" w:bottom="1440" w:left="2045" w:header="720" w:footer="720" w:gutter="0"/>
      <w:pgNumType w:fmt="numberInDash"/>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B77" w:rsidRDefault="001F5B77" w:rsidP="001F5B77">
      <w:r>
        <w:separator/>
      </w:r>
    </w:p>
  </w:endnote>
  <w:endnote w:type="continuationSeparator" w:id="0">
    <w:p w:rsidR="001F5B77" w:rsidRDefault="001F5B77" w:rsidP="001F5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- 1 -</w:t>
    </w:r>
    <w:r w:rsidR="001F5B77">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sidR="001F5B77">
      <w:rPr>
        <w:rFonts w:ascii="Arial" w:eastAsia="Arial" w:hAnsi="Arial" w:cs="Arial"/>
        <w:color w:val="000000"/>
        <w:sz w:val="16"/>
      </w:rPr>
      <w:fldChar w:fldCharType="begin"/>
    </w:r>
    <w:r>
      <w:rPr>
        <w:rFonts w:ascii="Arial" w:eastAsia="Arial" w:hAnsi="Arial" w:cs="Arial"/>
        <w:color w:val="000000"/>
        <w:sz w:val="16"/>
      </w:rPr>
      <w:instrText>PAGE</w:instrText>
    </w:r>
    <w:r w:rsidR="001F5B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4E1" w:rsidRDefault="00FA3DC7">
      <w:r>
        <w:separator/>
      </w:r>
    </w:p>
  </w:footnote>
  <w:footnote w:type="continuationSeparator" w:id="0">
    <w:p w:rsidR="00DA64E1" w:rsidRDefault="00FA3DC7">
      <w:r>
        <w:t>(..continued)</w:t>
      </w:r>
    </w:p>
  </w:footnote>
  <w:footnote w:id="1">
    <w:p w:rsidR="001F5B77" w:rsidRDefault="00FA3DC7" w:rsidP="000F30AD">
      <w:pPr>
        <w:pStyle w:val="FootnoteText"/>
        <w:jc w:val="both"/>
      </w:pPr>
      <w:r>
        <w:rPr>
          <w:rStyle w:val="FootnoteReference"/>
        </w:rPr>
        <w:footnoteRef/>
      </w:r>
      <w:r>
        <w:t xml:space="preserve"> Estimated Project Cost is an estimate of the total first costs of project licensing, permitting, design, engineering, procurement, construction, installation, testing and overall project management prior to the placing of the New Line in service, and does</w:t>
      </w:r>
      <w:r>
        <w:t xml:space="preserve"> not include any financing costs incurred by the Power Authority or any operation and maintenance costs incurred by Niagara Mohawk.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77" w:rsidRDefault="00FA3DC7">
    <w:pPr>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FE77F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9B2F8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68FCFE3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31CFF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4A461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13021"/>
    <w:multiLevelType w:val="hybridMultilevel"/>
    <w:tmpl w:val="CD803BAE"/>
    <w:lvl w:ilvl="0" w:tplc="8EB2C7DE">
      <w:start w:val="5"/>
      <w:numFmt w:val="decimal"/>
      <w:lvlText w:val="%1."/>
      <w:lvlJc w:val="left"/>
      <w:pPr>
        <w:tabs>
          <w:tab w:val="num" w:pos="2160"/>
        </w:tabs>
        <w:ind w:left="2160" w:hanging="720"/>
      </w:pPr>
      <w:rPr>
        <w:rFonts w:cs="Times New Roman" w:hint="default"/>
      </w:rPr>
    </w:lvl>
    <w:lvl w:ilvl="1" w:tplc="3E2A29FE">
      <w:start w:val="1"/>
      <w:numFmt w:val="lowerLetter"/>
      <w:lvlText w:val="%2."/>
      <w:lvlJc w:val="left"/>
      <w:pPr>
        <w:tabs>
          <w:tab w:val="num" w:pos="2520"/>
        </w:tabs>
        <w:ind w:left="2520" w:hanging="360"/>
      </w:pPr>
      <w:rPr>
        <w:rFonts w:cs="Times New Roman"/>
      </w:rPr>
    </w:lvl>
    <w:lvl w:ilvl="2" w:tplc="73B674F4">
      <w:start w:val="1"/>
      <w:numFmt w:val="lowerRoman"/>
      <w:lvlText w:val="%3."/>
      <w:lvlJc w:val="right"/>
      <w:pPr>
        <w:tabs>
          <w:tab w:val="num" w:pos="3240"/>
        </w:tabs>
        <w:ind w:left="3240" w:hanging="180"/>
      </w:pPr>
      <w:rPr>
        <w:rFonts w:cs="Times New Roman"/>
      </w:rPr>
    </w:lvl>
    <w:lvl w:ilvl="3" w:tplc="414EBB62">
      <w:start w:val="1"/>
      <w:numFmt w:val="decimal"/>
      <w:lvlText w:val="%4."/>
      <w:lvlJc w:val="left"/>
      <w:pPr>
        <w:tabs>
          <w:tab w:val="num" w:pos="3960"/>
        </w:tabs>
        <w:ind w:left="3960" w:hanging="360"/>
      </w:pPr>
      <w:rPr>
        <w:rFonts w:cs="Times New Roman" w:hint="default"/>
      </w:rPr>
    </w:lvl>
    <w:lvl w:ilvl="4" w:tplc="5734019E">
      <w:start w:val="1"/>
      <w:numFmt w:val="lowerLetter"/>
      <w:lvlText w:val="%5."/>
      <w:lvlJc w:val="left"/>
      <w:pPr>
        <w:tabs>
          <w:tab w:val="num" w:pos="4680"/>
        </w:tabs>
        <w:ind w:left="4680" w:hanging="360"/>
      </w:pPr>
      <w:rPr>
        <w:rFonts w:cs="Times New Roman"/>
      </w:rPr>
    </w:lvl>
    <w:lvl w:ilvl="5" w:tplc="612E7502" w:tentative="1">
      <w:start w:val="1"/>
      <w:numFmt w:val="lowerRoman"/>
      <w:lvlText w:val="%6."/>
      <w:lvlJc w:val="right"/>
      <w:pPr>
        <w:tabs>
          <w:tab w:val="num" w:pos="5400"/>
        </w:tabs>
        <w:ind w:left="5400" w:hanging="180"/>
      </w:pPr>
      <w:rPr>
        <w:rFonts w:cs="Times New Roman"/>
      </w:rPr>
    </w:lvl>
    <w:lvl w:ilvl="6" w:tplc="4FFAA4FC" w:tentative="1">
      <w:start w:val="1"/>
      <w:numFmt w:val="decimal"/>
      <w:lvlText w:val="%7."/>
      <w:lvlJc w:val="left"/>
      <w:pPr>
        <w:tabs>
          <w:tab w:val="num" w:pos="6120"/>
        </w:tabs>
        <w:ind w:left="6120" w:hanging="360"/>
      </w:pPr>
      <w:rPr>
        <w:rFonts w:cs="Times New Roman"/>
      </w:rPr>
    </w:lvl>
    <w:lvl w:ilvl="7" w:tplc="C4E62A42" w:tentative="1">
      <w:start w:val="1"/>
      <w:numFmt w:val="lowerLetter"/>
      <w:lvlText w:val="%8."/>
      <w:lvlJc w:val="left"/>
      <w:pPr>
        <w:tabs>
          <w:tab w:val="num" w:pos="6840"/>
        </w:tabs>
        <w:ind w:left="6840" w:hanging="360"/>
      </w:pPr>
      <w:rPr>
        <w:rFonts w:cs="Times New Roman"/>
      </w:rPr>
    </w:lvl>
    <w:lvl w:ilvl="8" w:tplc="6E8C58AA" w:tentative="1">
      <w:start w:val="1"/>
      <w:numFmt w:val="lowerRoman"/>
      <w:lvlText w:val="%9."/>
      <w:lvlJc w:val="right"/>
      <w:pPr>
        <w:tabs>
          <w:tab w:val="num" w:pos="7560"/>
        </w:tabs>
        <w:ind w:left="7560" w:hanging="180"/>
      </w:pPr>
      <w:rPr>
        <w:rFonts w:cs="Times New Roman"/>
      </w:rPr>
    </w:lvl>
  </w:abstractNum>
  <w:abstractNum w:abstractNumId="11">
    <w:nsid w:val="15563C44"/>
    <w:multiLevelType w:val="multilevel"/>
    <w:tmpl w:val="B8ECB3F4"/>
    <w:lvl w:ilvl="0">
      <w:start w:val="9"/>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2">
    <w:nsid w:val="18714C54"/>
    <w:multiLevelType w:val="multilevel"/>
    <w:tmpl w:val="F1A0432A"/>
    <w:lvl w:ilvl="0">
      <w:start w:val="1"/>
      <w:numFmt w:val="none"/>
      <w:lvlText w:val=""/>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lowerLetter"/>
      <w:lvlText w:val="%3."/>
      <w:lvlJc w:val="left"/>
      <w:pPr>
        <w:tabs>
          <w:tab w:val="num" w:pos="2160"/>
        </w:tabs>
        <w:ind w:left="2160" w:hanging="720"/>
      </w:pPr>
      <w:rPr>
        <w:rFonts w:cs="Times New Roman"/>
      </w:rPr>
    </w:lvl>
    <w:lvl w:ilvl="3">
      <w:start w:val="1"/>
      <w:numFmt w:val="lowerRoman"/>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upperLetter"/>
      <w:lvlText w:val="%9)"/>
      <w:lvlJc w:val="left"/>
      <w:pPr>
        <w:tabs>
          <w:tab w:val="num" w:pos="6480"/>
        </w:tabs>
        <w:ind w:left="6480" w:hanging="720"/>
      </w:pPr>
      <w:rPr>
        <w:rFonts w:cs="Times New Roman"/>
      </w:rPr>
    </w:lvl>
  </w:abstractNum>
  <w:abstractNum w:abstractNumId="13">
    <w:nsid w:val="1900401F"/>
    <w:multiLevelType w:val="multilevel"/>
    <w:tmpl w:val="0060C290"/>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4">
    <w:nsid w:val="21404BE6"/>
    <w:multiLevelType w:val="hybridMultilevel"/>
    <w:tmpl w:val="0060C290"/>
    <w:lvl w:ilvl="0" w:tplc="C26E8644">
      <w:start w:val="1"/>
      <w:numFmt w:val="decimal"/>
      <w:lvlText w:val="%1."/>
      <w:lvlJc w:val="left"/>
      <w:pPr>
        <w:tabs>
          <w:tab w:val="num" w:pos="1800"/>
        </w:tabs>
        <w:ind w:left="1800" w:hanging="360"/>
      </w:pPr>
      <w:rPr>
        <w:rFonts w:cs="Times New Roman"/>
      </w:rPr>
    </w:lvl>
    <w:lvl w:ilvl="1" w:tplc="4EB2664E">
      <w:start w:val="1"/>
      <w:numFmt w:val="lowerLetter"/>
      <w:lvlText w:val="%2."/>
      <w:lvlJc w:val="left"/>
      <w:pPr>
        <w:tabs>
          <w:tab w:val="num" w:pos="1350"/>
        </w:tabs>
        <w:ind w:left="1350" w:hanging="360"/>
      </w:pPr>
      <w:rPr>
        <w:rFonts w:cs="Times New Roman" w:hint="default"/>
      </w:rPr>
    </w:lvl>
    <w:lvl w:ilvl="2" w:tplc="2B248190" w:tentative="1">
      <w:start w:val="1"/>
      <w:numFmt w:val="lowerRoman"/>
      <w:lvlText w:val="%3."/>
      <w:lvlJc w:val="right"/>
      <w:pPr>
        <w:tabs>
          <w:tab w:val="num" w:pos="3240"/>
        </w:tabs>
        <w:ind w:left="3240" w:hanging="180"/>
      </w:pPr>
      <w:rPr>
        <w:rFonts w:cs="Times New Roman"/>
      </w:rPr>
    </w:lvl>
    <w:lvl w:ilvl="3" w:tplc="FADC6E9A" w:tentative="1">
      <w:start w:val="1"/>
      <w:numFmt w:val="decimal"/>
      <w:lvlText w:val="%4."/>
      <w:lvlJc w:val="left"/>
      <w:pPr>
        <w:tabs>
          <w:tab w:val="num" w:pos="3960"/>
        </w:tabs>
        <w:ind w:left="3960" w:hanging="360"/>
      </w:pPr>
      <w:rPr>
        <w:rFonts w:cs="Times New Roman"/>
      </w:rPr>
    </w:lvl>
    <w:lvl w:ilvl="4" w:tplc="8E3E62A8" w:tentative="1">
      <w:start w:val="1"/>
      <w:numFmt w:val="lowerLetter"/>
      <w:lvlText w:val="%5."/>
      <w:lvlJc w:val="left"/>
      <w:pPr>
        <w:tabs>
          <w:tab w:val="num" w:pos="4680"/>
        </w:tabs>
        <w:ind w:left="4680" w:hanging="360"/>
      </w:pPr>
      <w:rPr>
        <w:rFonts w:cs="Times New Roman"/>
      </w:rPr>
    </w:lvl>
    <w:lvl w:ilvl="5" w:tplc="1D00C96C" w:tentative="1">
      <w:start w:val="1"/>
      <w:numFmt w:val="lowerRoman"/>
      <w:lvlText w:val="%6."/>
      <w:lvlJc w:val="right"/>
      <w:pPr>
        <w:tabs>
          <w:tab w:val="num" w:pos="5400"/>
        </w:tabs>
        <w:ind w:left="5400" w:hanging="180"/>
      </w:pPr>
      <w:rPr>
        <w:rFonts w:cs="Times New Roman"/>
      </w:rPr>
    </w:lvl>
    <w:lvl w:ilvl="6" w:tplc="A760BCCA" w:tentative="1">
      <w:start w:val="1"/>
      <w:numFmt w:val="decimal"/>
      <w:lvlText w:val="%7."/>
      <w:lvlJc w:val="left"/>
      <w:pPr>
        <w:tabs>
          <w:tab w:val="num" w:pos="6120"/>
        </w:tabs>
        <w:ind w:left="6120" w:hanging="360"/>
      </w:pPr>
      <w:rPr>
        <w:rFonts w:cs="Times New Roman"/>
      </w:rPr>
    </w:lvl>
    <w:lvl w:ilvl="7" w:tplc="230E4A2E" w:tentative="1">
      <w:start w:val="1"/>
      <w:numFmt w:val="lowerLetter"/>
      <w:lvlText w:val="%8."/>
      <w:lvlJc w:val="left"/>
      <w:pPr>
        <w:tabs>
          <w:tab w:val="num" w:pos="6840"/>
        </w:tabs>
        <w:ind w:left="6840" w:hanging="360"/>
      </w:pPr>
      <w:rPr>
        <w:rFonts w:cs="Times New Roman"/>
      </w:rPr>
    </w:lvl>
    <w:lvl w:ilvl="8" w:tplc="45180810" w:tentative="1">
      <w:start w:val="1"/>
      <w:numFmt w:val="lowerRoman"/>
      <w:lvlText w:val="%9."/>
      <w:lvlJc w:val="right"/>
      <w:pPr>
        <w:tabs>
          <w:tab w:val="num" w:pos="7560"/>
        </w:tabs>
        <w:ind w:left="7560" w:hanging="180"/>
      </w:pPr>
      <w:rPr>
        <w:rFonts w:cs="Times New Roman"/>
      </w:rPr>
    </w:lvl>
  </w:abstractNum>
  <w:abstractNum w:abstractNumId="15">
    <w:nsid w:val="242847B4"/>
    <w:multiLevelType w:val="hybridMultilevel"/>
    <w:tmpl w:val="024C82F0"/>
    <w:lvl w:ilvl="0" w:tplc="07EE8176">
      <w:start w:val="1"/>
      <w:numFmt w:val="bullet"/>
      <w:lvlText w:val=""/>
      <w:lvlJc w:val="left"/>
      <w:pPr>
        <w:tabs>
          <w:tab w:val="num" w:pos="720"/>
        </w:tabs>
        <w:ind w:left="720" w:hanging="360"/>
      </w:pPr>
      <w:rPr>
        <w:rFonts w:ascii="Symbol" w:hAnsi="Symbol" w:hint="default"/>
      </w:rPr>
    </w:lvl>
    <w:lvl w:ilvl="1" w:tplc="296C6C88" w:tentative="1">
      <w:start w:val="1"/>
      <w:numFmt w:val="bullet"/>
      <w:lvlText w:val="o"/>
      <w:lvlJc w:val="left"/>
      <w:pPr>
        <w:tabs>
          <w:tab w:val="num" w:pos="1440"/>
        </w:tabs>
        <w:ind w:left="1440" w:hanging="360"/>
      </w:pPr>
      <w:rPr>
        <w:rFonts w:ascii="Courier New" w:hAnsi="Courier New" w:hint="default"/>
      </w:rPr>
    </w:lvl>
    <w:lvl w:ilvl="2" w:tplc="F712F0D6" w:tentative="1">
      <w:start w:val="1"/>
      <w:numFmt w:val="bullet"/>
      <w:lvlText w:val=""/>
      <w:lvlJc w:val="left"/>
      <w:pPr>
        <w:tabs>
          <w:tab w:val="num" w:pos="2160"/>
        </w:tabs>
        <w:ind w:left="2160" w:hanging="360"/>
      </w:pPr>
      <w:rPr>
        <w:rFonts w:ascii="Wingdings" w:hAnsi="Wingdings" w:hint="default"/>
      </w:rPr>
    </w:lvl>
    <w:lvl w:ilvl="3" w:tplc="CFB87E80" w:tentative="1">
      <w:start w:val="1"/>
      <w:numFmt w:val="bullet"/>
      <w:lvlText w:val=""/>
      <w:lvlJc w:val="left"/>
      <w:pPr>
        <w:tabs>
          <w:tab w:val="num" w:pos="2880"/>
        </w:tabs>
        <w:ind w:left="2880" w:hanging="360"/>
      </w:pPr>
      <w:rPr>
        <w:rFonts w:ascii="Symbol" w:hAnsi="Symbol" w:hint="default"/>
      </w:rPr>
    </w:lvl>
    <w:lvl w:ilvl="4" w:tplc="8530291A" w:tentative="1">
      <w:start w:val="1"/>
      <w:numFmt w:val="bullet"/>
      <w:lvlText w:val="o"/>
      <w:lvlJc w:val="left"/>
      <w:pPr>
        <w:tabs>
          <w:tab w:val="num" w:pos="3600"/>
        </w:tabs>
        <w:ind w:left="3600" w:hanging="360"/>
      </w:pPr>
      <w:rPr>
        <w:rFonts w:ascii="Courier New" w:hAnsi="Courier New" w:hint="default"/>
      </w:rPr>
    </w:lvl>
    <w:lvl w:ilvl="5" w:tplc="3D2652CE" w:tentative="1">
      <w:start w:val="1"/>
      <w:numFmt w:val="bullet"/>
      <w:lvlText w:val=""/>
      <w:lvlJc w:val="left"/>
      <w:pPr>
        <w:tabs>
          <w:tab w:val="num" w:pos="4320"/>
        </w:tabs>
        <w:ind w:left="4320" w:hanging="360"/>
      </w:pPr>
      <w:rPr>
        <w:rFonts w:ascii="Wingdings" w:hAnsi="Wingdings" w:hint="default"/>
      </w:rPr>
    </w:lvl>
    <w:lvl w:ilvl="6" w:tplc="2890870C" w:tentative="1">
      <w:start w:val="1"/>
      <w:numFmt w:val="bullet"/>
      <w:lvlText w:val=""/>
      <w:lvlJc w:val="left"/>
      <w:pPr>
        <w:tabs>
          <w:tab w:val="num" w:pos="5040"/>
        </w:tabs>
        <w:ind w:left="5040" w:hanging="360"/>
      </w:pPr>
      <w:rPr>
        <w:rFonts w:ascii="Symbol" w:hAnsi="Symbol" w:hint="default"/>
      </w:rPr>
    </w:lvl>
    <w:lvl w:ilvl="7" w:tplc="48D695F2" w:tentative="1">
      <w:start w:val="1"/>
      <w:numFmt w:val="bullet"/>
      <w:lvlText w:val="o"/>
      <w:lvlJc w:val="left"/>
      <w:pPr>
        <w:tabs>
          <w:tab w:val="num" w:pos="5760"/>
        </w:tabs>
        <w:ind w:left="5760" w:hanging="360"/>
      </w:pPr>
      <w:rPr>
        <w:rFonts w:ascii="Courier New" w:hAnsi="Courier New" w:hint="default"/>
      </w:rPr>
    </w:lvl>
    <w:lvl w:ilvl="8" w:tplc="ECD0718E" w:tentative="1">
      <w:start w:val="1"/>
      <w:numFmt w:val="bullet"/>
      <w:lvlText w:val=""/>
      <w:lvlJc w:val="left"/>
      <w:pPr>
        <w:tabs>
          <w:tab w:val="num" w:pos="6480"/>
        </w:tabs>
        <w:ind w:left="6480" w:hanging="360"/>
      </w:pPr>
      <w:rPr>
        <w:rFonts w:ascii="Wingdings" w:hAnsi="Wingdings" w:hint="default"/>
      </w:rPr>
    </w:lvl>
  </w:abstractNum>
  <w:abstractNum w:abstractNumId="16">
    <w:nsid w:val="244D5500"/>
    <w:multiLevelType w:val="hybridMultilevel"/>
    <w:tmpl w:val="B8ECB3F4"/>
    <w:lvl w:ilvl="0" w:tplc="6C8CC2F0">
      <w:start w:val="9"/>
      <w:numFmt w:val="decimal"/>
      <w:lvlText w:val="%1."/>
      <w:lvlJc w:val="left"/>
      <w:pPr>
        <w:tabs>
          <w:tab w:val="num" w:pos="1800"/>
        </w:tabs>
        <w:ind w:left="1800" w:hanging="360"/>
      </w:pPr>
      <w:rPr>
        <w:rFonts w:cs="Times New Roman" w:hint="default"/>
      </w:rPr>
    </w:lvl>
    <w:lvl w:ilvl="1" w:tplc="078E2E92">
      <w:start w:val="1"/>
      <w:numFmt w:val="lowerLetter"/>
      <w:lvlText w:val="%2."/>
      <w:lvlJc w:val="left"/>
      <w:pPr>
        <w:tabs>
          <w:tab w:val="num" w:pos="2520"/>
        </w:tabs>
        <w:ind w:left="2520" w:hanging="360"/>
      </w:pPr>
      <w:rPr>
        <w:rFonts w:cs="Times New Roman"/>
      </w:rPr>
    </w:lvl>
    <w:lvl w:ilvl="2" w:tplc="0A3CEA02" w:tentative="1">
      <w:start w:val="1"/>
      <w:numFmt w:val="lowerRoman"/>
      <w:lvlText w:val="%3."/>
      <w:lvlJc w:val="right"/>
      <w:pPr>
        <w:tabs>
          <w:tab w:val="num" w:pos="3240"/>
        </w:tabs>
        <w:ind w:left="3240" w:hanging="180"/>
      </w:pPr>
      <w:rPr>
        <w:rFonts w:cs="Times New Roman"/>
      </w:rPr>
    </w:lvl>
    <w:lvl w:ilvl="3" w:tplc="EE76D982" w:tentative="1">
      <w:start w:val="1"/>
      <w:numFmt w:val="decimal"/>
      <w:lvlText w:val="%4."/>
      <w:lvlJc w:val="left"/>
      <w:pPr>
        <w:tabs>
          <w:tab w:val="num" w:pos="3960"/>
        </w:tabs>
        <w:ind w:left="3960" w:hanging="360"/>
      </w:pPr>
      <w:rPr>
        <w:rFonts w:cs="Times New Roman"/>
      </w:rPr>
    </w:lvl>
    <w:lvl w:ilvl="4" w:tplc="1304C9E4" w:tentative="1">
      <w:start w:val="1"/>
      <w:numFmt w:val="lowerLetter"/>
      <w:lvlText w:val="%5."/>
      <w:lvlJc w:val="left"/>
      <w:pPr>
        <w:tabs>
          <w:tab w:val="num" w:pos="4680"/>
        </w:tabs>
        <w:ind w:left="4680" w:hanging="360"/>
      </w:pPr>
      <w:rPr>
        <w:rFonts w:cs="Times New Roman"/>
      </w:rPr>
    </w:lvl>
    <w:lvl w:ilvl="5" w:tplc="E8AE0AC2" w:tentative="1">
      <w:start w:val="1"/>
      <w:numFmt w:val="lowerRoman"/>
      <w:lvlText w:val="%6."/>
      <w:lvlJc w:val="right"/>
      <w:pPr>
        <w:tabs>
          <w:tab w:val="num" w:pos="5400"/>
        </w:tabs>
        <w:ind w:left="5400" w:hanging="180"/>
      </w:pPr>
      <w:rPr>
        <w:rFonts w:cs="Times New Roman"/>
      </w:rPr>
    </w:lvl>
    <w:lvl w:ilvl="6" w:tplc="37286C7C" w:tentative="1">
      <w:start w:val="1"/>
      <w:numFmt w:val="decimal"/>
      <w:lvlText w:val="%7."/>
      <w:lvlJc w:val="left"/>
      <w:pPr>
        <w:tabs>
          <w:tab w:val="num" w:pos="6120"/>
        </w:tabs>
        <w:ind w:left="6120" w:hanging="360"/>
      </w:pPr>
      <w:rPr>
        <w:rFonts w:cs="Times New Roman"/>
      </w:rPr>
    </w:lvl>
    <w:lvl w:ilvl="7" w:tplc="56C406A6" w:tentative="1">
      <w:start w:val="1"/>
      <w:numFmt w:val="lowerLetter"/>
      <w:lvlText w:val="%8."/>
      <w:lvlJc w:val="left"/>
      <w:pPr>
        <w:tabs>
          <w:tab w:val="num" w:pos="6840"/>
        </w:tabs>
        <w:ind w:left="6840" w:hanging="360"/>
      </w:pPr>
      <w:rPr>
        <w:rFonts w:cs="Times New Roman"/>
      </w:rPr>
    </w:lvl>
    <w:lvl w:ilvl="8" w:tplc="71A2C1E4" w:tentative="1">
      <w:start w:val="1"/>
      <w:numFmt w:val="lowerRoman"/>
      <w:lvlText w:val="%9."/>
      <w:lvlJc w:val="right"/>
      <w:pPr>
        <w:tabs>
          <w:tab w:val="num" w:pos="7560"/>
        </w:tabs>
        <w:ind w:left="7560" w:hanging="180"/>
      </w:pPr>
      <w:rPr>
        <w:rFonts w:cs="Times New Roman"/>
      </w:rPr>
    </w:lvl>
  </w:abstractNum>
  <w:abstractNum w:abstractNumId="17">
    <w:nsid w:val="28CA12A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C6603E6"/>
    <w:multiLevelType w:val="hybridMultilevel"/>
    <w:tmpl w:val="735027DA"/>
    <w:lvl w:ilvl="0" w:tplc="5142CAE0">
      <w:start w:val="1"/>
      <w:numFmt w:val="decimal"/>
      <w:lvlText w:val="%1."/>
      <w:lvlJc w:val="left"/>
      <w:pPr>
        <w:tabs>
          <w:tab w:val="num" w:pos="1800"/>
        </w:tabs>
        <w:ind w:left="1800" w:hanging="360"/>
      </w:pPr>
      <w:rPr>
        <w:rFonts w:cs="Times New Roman"/>
      </w:rPr>
    </w:lvl>
    <w:lvl w:ilvl="1" w:tplc="7332A2EE" w:tentative="1">
      <w:start w:val="1"/>
      <w:numFmt w:val="lowerLetter"/>
      <w:lvlText w:val="%2."/>
      <w:lvlJc w:val="left"/>
      <w:pPr>
        <w:tabs>
          <w:tab w:val="num" w:pos="2520"/>
        </w:tabs>
        <w:ind w:left="2520" w:hanging="360"/>
      </w:pPr>
      <w:rPr>
        <w:rFonts w:cs="Times New Roman"/>
      </w:rPr>
    </w:lvl>
    <w:lvl w:ilvl="2" w:tplc="35986224" w:tentative="1">
      <w:start w:val="1"/>
      <w:numFmt w:val="lowerRoman"/>
      <w:lvlText w:val="%3."/>
      <w:lvlJc w:val="right"/>
      <w:pPr>
        <w:tabs>
          <w:tab w:val="num" w:pos="3240"/>
        </w:tabs>
        <w:ind w:left="3240" w:hanging="180"/>
      </w:pPr>
      <w:rPr>
        <w:rFonts w:cs="Times New Roman"/>
      </w:rPr>
    </w:lvl>
    <w:lvl w:ilvl="3" w:tplc="7EA85122" w:tentative="1">
      <w:start w:val="1"/>
      <w:numFmt w:val="decimal"/>
      <w:lvlText w:val="%4."/>
      <w:lvlJc w:val="left"/>
      <w:pPr>
        <w:tabs>
          <w:tab w:val="num" w:pos="3960"/>
        </w:tabs>
        <w:ind w:left="3960" w:hanging="360"/>
      </w:pPr>
      <w:rPr>
        <w:rFonts w:cs="Times New Roman"/>
      </w:rPr>
    </w:lvl>
    <w:lvl w:ilvl="4" w:tplc="E9A29354" w:tentative="1">
      <w:start w:val="1"/>
      <w:numFmt w:val="lowerLetter"/>
      <w:lvlText w:val="%5."/>
      <w:lvlJc w:val="left"/>
      <w:pPr>
        <w:tabs>
          <w:tab w:val="num" w:pos="4680"/>
        </w:tabs>
        <w:ind w:left="4680" w:hanging="360"/>
      </w:pPr>
      <w:rPr>
        <w:rFonts w:cs="Times New Roman"/>
      </w:rPr>
    </w:lvl>
    <w:lvl w:ilvl="5" w:tplc="99921982" w:tentative="1">
      <w:start w:val="1"/>
      <w:numFmt w:val="lowerRoman"/>
      <w:lvlText w:val="%6."/>
      <w:lvlJc w:val="right"/>
      <w:pPr>
        <w:tabs>
          <w:tab w:val="num" w:pos="5400"/>
        </w:tabs>
        <w:ind w:left="5400" w:hanging="180"/>
      </w:pPr>
      <w:rPr>
        <w:rFonts w:cs="Times New Roman"/>
      </w:rPr>
    </w:lvl>
    <w:lvl w:ilvl="6" w:tplc="D2E2AAAE" w:tentative="1">
      <w:start w:val="1"/>
      <w:numFmt w:val="decimal"/>
      <w:lvlText w:val="%7."/>
      <w:lvlJc w:val="left"/>
      <w:pPr>
        <w:tabs>
          <w:tab w:val="num" w:pos="6120"/>
        </w:tabs>
        <w:ind w:left="6120" w:hanging="360"/>
      </w:pPr>
      <w:rPr>
        <w:rFonts w:cs="Times New Roman"/>
      </w:rPr>
    </w:lvl>
    <w:lvl w:ilvl="7" w:tplc="68BEE00E" w:tentative="1">
      <w:start w:val="1"/>
      <w:numFmt w:val="lowerLetter"/>
      <w:lvlText w:val="%8."/>
      <w:lvlJc w:val="left"/>
      <w:pPr>
        <w:tabs>
          <w:tab w:val="num" w:pos="6840"/>
        </w:tabs>
        <w:ind w:left="6840" w:hanging="360"/>
      </w:pPr>
      <w:rPr>
        <w:rFonts w:cs="Times New Roman"/>
      </w:rPr>
    </w:lvl>
    <w:lvl w:ilvl="8" w:tplc="3B24569E" w:tentative="1">
      <w:start w:val="1"/>
      <w:numFmt w:val="lowerRoman"/>
      <w:lvlText w:val="%9."/>
      <w:lvlJc w:val="right"/>
      <w:pPr>
        <w:tabs>
          <w:tab w:val="num" w:pos="7560"/>
        </w:tabs>
        <w:ind w:left="7560" w:hanging="180"/>
      </w:pPr>
      <w:rPr>
        <w:rFonts w:cs="Times New Roman"/>
      </w:rPr>
    </w:lvl>
  </w:abstractNum>
  <w:abstractNum w:abstractNumId="19">
    <w:nsid w:val="2C8C3C90"/>
    <w:multiLevelType w:val="hybridMultilevel"/>
    <w:tmpl w:val="95324B56"/>
    <w:lvl w:ilvl="0" w:tplc="F022DADA">
      <w:start w:val="1"/>
      <w:numFmt w:val="bullet"/>
      <w:lvlText w:val=""/>
      <w:lvlJc w:val="left"/>
      <w:pPr>
        <w:tabs>
          <w:tab w:val="num" w:pos="720"/>
        </w:tabs>
        <w:ind w:left="720" w:hanging="360"/>
      </w:pPr>
      <w:rPr>
        <w:rFonts w:ascii="Symbol" w:hAnsi="Symbol" w:hint="default"/>
      </w:rPr>
    </w:lvl>
    <w:lvl w:ilvl="1" w:tplc="773C96AA">
      <w:start w:val="1"/>
      <w:numFmt w:val="bullet"/>
      <w:lvlText w:val="o"/>
      <w:lvlJc w:val="left"/>
      <w:pPr>
        <w:tabs>
          <w:tab w:val="num" w:pos="1440"/>
        </w:tabs>
        <w:ind w:left="1440" w:hanging="360"/>
      </w:pPr>
      <w:rPr>
        <w:rFonts w:ascii="Courier New" w:hAnsi="Courier New" w:hint="default"/>
      </w:rPr>
    </w:lvl>
    <w:lvl w:ilvl="2" w:tplc="6A3257F8" w:tentative="1">
      <w:start w:val="1"/>
      <w:numFmt w:val="bullet"/>
      <w:lvlText w:val=""/>
      <w:lvlJc w:val="left"/>
      <w:pPr>
        <w:tabs>
          <w:tab w:val="num" w:pos="2160"/>
        </w:tabs>
        <w:ind w:left="2160" w:hanging="360"/>
      </w:pPr>
      <w:rPr>
        <w:rFonts w:ascii="Wingdings" w:hAnsi="Wingdings" w:hint="default"/>
      </w:rPr>
    </w:lvl>
    <w:lvl w:ilvl="3" w:tplc="50F2D5F6" w:tentative="1">
      <w:start w:val="1"/>
      <w:numFmt w:val="bullet"/>
      <w:lvlText w:val=""/>
      <w:lvlJc w:val="left"/>
      <w:pPr>
        <w:tabs>
          <w:tab w:val="num" w:pos="2880"/>
        </w:tabs>
        <w:ind w:left="2880" w:hanging="360"/>
      </w:pPr>
      <w:rPr>
        <w:rFonts w:ascii="Symbol" w:hAnsi="Symbol" w:hint="default"/>
      </w:rPr>
    </w:lvl>
    <w:lvl w:ilvl="4" w:tplc="D4BA69FE" w:tentative="1">
      <w:start w:val="1"/>
      <w:numFmt w:val="bullet"/>
      <w:lvlText w:val="o"/>
      <w:lvlJc w:val="left"/>
      <w:pPr>
        <w:tabs>
          <w:tab w:val="num" w:pos="3600"/>
        </w:tabs>
        <w:ind w:left="3600" w:hanging="360"/>
      </w:pPr>
      <w:rPr>
        <w:rFonts w:ascii="Courier New" w:hAnsi="Courier New" w:hint="default"/>
      </w:rPr>
    </w:lvl>
    <w:lvl w:ilvl="5" w:tplc="8D603C9E" w:tentative="1">
      <w:start w:val="1"/>
      <w:numFmt w:val="bullet"/>
      <w:lvlText w:val=""/>
      <w:lvlJc w:val="left"/>
      <w:pPr>
        <w:tabs>
          <w:tab w:val="num" w:pos="4320"/>
        </w:tabs>
        <w:ind w:left="4320" w:hanging="360"/>
      </w:pPr>
      <w:rPr>
        <w:rFonts w:ascii="Wingdings" w:hAnsi="Wingdings" w:hint="default"/>
      </w:rPr>
    </w:lvl>
    <w:lvl w:ilvl="6" w:tplc="ED6CFBAA" w:tentative="1">
      <w:start w:val="1"/>
      <w:numFmt w:val="bullet"/>
      <w:lvlText w:val=""/>
      <w:lvlJc w:val="left"/>
      <w:pPr>
        <w:tabs>
          <w:tab w:val="num" w:pos="5040"/>
        </w:tabs>
        <w:ind w:left="5040" w:hanging="360"/>
      </w:pPr>
      <w:rPr>
        <w:rFonts w:ascii="Symbol" w:hAnsi="Symbol" w:hint="default"/>
      </w:rPr>
    </w:lvl>
    <w:lvl w:ilvl="7" w:tplc="4C886B70" w:tentative="1">
      <w:start w:val="1"/>
      <w:numFmt w:val="bullet"/>
      <w:lvlText w:val="o"/>
      <w:lvlJc w:val="left"/>
      <w:pPr>
        <w:tabs>
          <w:tab w:val="num" w:pos="5760"/>
        </w:tabs>
        <w:ind w:left="5760" w:hanging="360"/>
      </w:pPr>
      <w:rPr>
        <w:rFonts w:ascii="Courier New" w:hAnsi="Courier New" w:hint="default"/>
      </w:rPr>
    </w:lvl>
    <w:lvl w:ilvl="8" w:tplc="4406164A" w:tentative="1">
      <w:start w:val="1"/>
      <w:numFmt w:val="bullet"/>
      <w:lvlText w:val=""/>
      <w:lvlJc w:val="left"/>
      <w:pPr>
        <w:tabs>
          <w:tab w:val="num" w:pos="6480"/>
        </w:tabs>
        <w:ind w:left="6480" w:hanging="360"/>
      </w:pPr>
      <w:rPr>
        <w:rFonts w:ascii="Wingdings" w:hAnsi="Wingdings" w:hint="default"/>
      </w:rPr>
    </w:lvl>
  </w:abstractNum>
  <w:abstractNum w:abstractNumId="20">
    <w:nsid w:val="2CB42754"/>
    <w:multiLevelType w:val="hybridMultilevel"/>
    <w:tmpl w:val="46E898B0"/>
    <w:lvl w:ilvl="0" w:tplc="87CE6B78">
      <w:start w:val="2"/>
      <w:numFmt w:val="lowerLetter"/>
      <w:lvlText w:val="%1."/>
      <w:lvlJc w:val="left"/>
      <w:pPr>
        <w:tabs>
          <w:tab w:val="num" w:pos="1800"/>
        </w:tabs>
        <w:ind w:left="1800" w:hanging="360"/>
      </w:pPr>
      <w:rPr>
        <w:rFonts w:cs="Times New Roman" w:hint="default"/>
      </w:rPr>
    </w:lvl>
    <w:lvl w:ilvl="1" w:tplc="3EF6DE74" w:tentative="1">
      <w:start w:val="1"/>
      <w:numFmt w:val="lowerLetter"/>
      <w:lvlText w:val="%2."/>
      <w:lvlJc w:val="left"/>
      <w:pPr>
        <w:tabs>
          <w:tab w:val="num" w:pos="2520"/>
        </w:tabs>
        <w:ind w:left="2520" w:hanging="360"/>
      </w:pPr>
      <w:rPr>
        <w:rFonts w:cs="Times New Roman"/>
      </w:rPr>
    </w:lvl>
    <w:lvl w:ilvl="2" w:tplc="B858A3E6" w:tentative="1">
      <w:start w:val="1"/>
      <w:numFmt w:val="lowerRoman"/>
      <w:lvlText w:val="%3."/>
      <w:lvlJc w:val="right"/>
      <w:pPr>
        <w:tabs>
          <w:tab w:val="num" w:pos="3240"/>
        </w:tabs>
        <w:ind w:left="3240" w:hanging="180"/>
      </w:pPr>
      <w:rPr>
        <w:rFonts w:cs="Times New Roman"/>
      </w:rPr>
    </w:lvl>
    <w:lvl w:ilvl="3" w:tplc="4D844DD2" w:tentative="1">
      <w:start w:val="1"/>
      <w:numFmt w:val="decimal"/>
      <w:lvlText w:val="%4."/>
      <w:lvlJc w:val="left"/>
      <w:pPr>
        <w:tabs>
          <w:tab w:val="num" w:pos="3960"/>
        </w:tabs>
        <w:ind w:left="3960" w:hanging="360"/>
      </w:pPr>
      <w:rPr>
        <w:rFonts w:cs="Times New Roman"/>
      </w:rPr>
    </w:lvl>
    <w:lvl w:ilvl="4" w:tplc="CBF87656" w:tentative="1">
      <w:start w:val="1"/>
      <w:numFmt w:val="lowerLetter"/>
      <w:lvlText w:val="%5."/>
      <w:lvlJc w:val="left"/>
      <w:pPr>
        <w:tabs>
          <w:tab w:val="num" w:pos="4680"/>
        </w:tabs>
        <w:ind w:left="4680" w:hanging="360"/>
      </w:pPr>
      <w:rPr>
        <w:rFonts w:cs="Times New Roman"/>
      </w:rPr>
    </w:lvl>
    <w:lvl w:ilvl="5" w:tplc="6416F5EA" w:tentative="1">
      <w:start w:val="1"/>
      <w:numFmt w:val="lowerRoman"/>
      <w:lvlText w:val="%6."/>
      <w:lvlJc w:val="right"/>
      <w:pPr>
        <w:tabs>
          <w:tab w:val="num" w:pos="5400"/>
        </w:tabs>
        <w:ind w:left="5400" w:hanging="180"/>
      </w:pPr>
      <w:rPr>
        <w:rFonts w:cs="Times New Roman"/>
      </w:rPr>
    </w:lvl>
    <w:lvl w:ilvl="6" w:tplc="B2FCEECC" w:tentative="1">
      <w:start w:val="1"/>
      <w:numFmt w:val="decimal"/>
      <w:lvlText w:val="%7."/>
      <w:lvlJc w:val="left"/>
      <w:pPr>
        <w:tabs>
          <w:tab w:val="num" w:pos="6120"/>
        </w:tabs>
        <w:ind w:left="6120" w:hanging="360"/>
      </w:pPr>
      <w:rPr>
        <w:rFonts w:cs="Times New Roman"/>
      </w:rPr>
    </w:lvl>
    <w:lvl w:ilvl="7" w:tplc="BF32596A" w:tentative="1">
      <w:start w:val="1"/>
      <w:numFmt w:val="lowerLetter"/>
      <w:lvlText w:val="%8."/>
      <w:lvlJc w:val="left"/>
      <w:pPr>
        <w:tabs>
          <w:tab w:val="num" w:pos="6840"/>
        </w:tabs>
        <w:ind w:left="6840" w:hanging="360"/>
      </w:pPr>
      <w:rPr>
        <w:rFonts w:cs="Times New Roman"/>
      </w:rPr>
    </w:lvl>
    <w:lvl w:ilvl="8" w:tplc="BF849BF6" w:tentative="1">
      <w:start w:val="1"/>
      <w:numFmt w:val="lowerRoman"/>
      <w:lvlText w:val="%9."/>
      <w:lvlJc w:val="right"/>
      <w:pPr>
        <w:tabs>
          <w:tab w:val="num" w:pos="7560"/>
        </w:tabs>
        <w:ind w:left="7560" w:hanging="180"/>
      </w:pPr>
      <w:rPr>
        <w:rFonts w:cs="Times New Roman"/>
      </w:rPr>
    </w:lvl>
  </w:abstractNum>
  <w:abstractNum w:abstractNumId="21">
    <w:nsid w:val="302950A0"/>
    <w:multiLevelType w:val="hybridMultilevel"/>
    <w:tmpl w:val="B8A8845E"/>
    <w:lvl w:ilvl="0" w:tplc="F928207C">
      <w:start w:val="1"/>
      <w:numFmt w:val="decimal"/>
      <w:lvlText w:val="%1."/>
      <w:lvlJc w:val="left"/>
      <w:pPr>
        <w:tabs>
          <w:tab w:val="num" w:pos="2160"/>
        </w:tabs>
        <w:ind w:left="2160" w:hanging="360"/>
      </w:pPr>
      <w:rPr>
        <w:rFonts w:cs="Times New Roman"/>
      </w:rPr>
    </w:lvl>
    <w:lvl w:ilvl="1" w:tplc="7DA82C6E" w:tentative="1">
      <w:start w:val="1"/>
      <w:numFmt w:val="lowerLetter"/>
      <w:lvlText w:val="%2."/>
      <w:lvlJc w:val="left"/>
      <w:pPr>
        <w:tabs>
          <w:tab w:val="num" w:pos="2880"/>
        </w:tabs>
        <w:ind w:left="2880" w:hanging="360"/>
      </w:pPr>
      <w:rPr>
        <w:rFonts w:cs="Times New Roman"/>
      </w:rPr>
    </w:lvl>
    <w:lvl w:ilvl="2" w:tplc="FFA868A2" w:tentative="1">
      <w:start w:val="1"/>
      <w:numFmt w:val="lowerRoman"/>
      <w:lvlText w:val="%3."/>
      <w:lvlJc w:val="right"/>
      <w:pPr>
        <w:tabs>
          <w:tab w:val="num" w:pos="3600"/>
        </w:tabs>
        <w:ind w:left="3600" w:hanging="180"/>
      </w:pPr>
      <w:rPr>
        <w:rFonts w:cs="Times New Roman"/>
      </w:rPr>
    </w:lvl>
    <w:lvl w:ilvl="3" w:tplc="ACAA69AE" w:tentative="1">
      <w:start w:val="1"/>
      <w:numFmt w:val="decimal"/>
      <w:lvlText w:val="%4."/>
      <w:lvlJc w:val="left"/>
      <w:pPr>
        <w:tabs>
          <w:tab w:val="num" w:pos="4320"/>
        </w:tabs>
        <w:ind w:left="4320" w:hanging="360"/>
      </w:pPr>
      <w:rPr>
        <w:rFonts w:cs="Times New Roman"/>
      </w:rPr>
    </w:lvl>
    <w:lvl w:ilvl="4" w:tplc="9EF82D2C" w:tentative="1">
      <w:start w:val="1"/>
      <w:numFmt w:val="lowerLetter"/>
      <w:lvlText w:val="%5."/>
      <w:lvlJc w:val="left"/>
      <w:pPr>
        <w:tabs>
          <w:tab w:val="num" w:pos="5040"/>
        </w:tabs>
        <w:ind w:left="5040" w:hanging="360"/>
      </w:pPr>
      <w:rPr>
        <w:rFonts w:cs="Times New Roman"/>
      </w:rPr>
    </w:lvl>
    <w:lvl w:ilvl="5" w:tplc="511624B2" w:tentative="1">
      <w:start w:val="1"/>
      <w:numFmt w:val="lowerRoman"/>
      <w:lvlText w:val="%6."/>
      <w:lvlJc w:val="right"/>
      <w:pPr>
        <w:tabs>
          <w:tab w:val="num" w:pos="5760"/>
        </w:tabs>
        <w:ind w:left="5760" w:hanging="180"/>
      </w:pPr>
      <w:rPr>
        <w:rFonts w:cs="Times New Roman"/>
      </w:rPr>
    </w:lvl>
    <w:lvl w:ilvl="6" w:tplc="401E4450" w:tentative="1">
      <w:start w:val="1"/>
      <w:numFmt w:val="decimal"/>
      <w:lvlText w:val="%7."/>
      <w:lvlJc w:val="left"/>
      <w:pPr>
        <w:tabs>
          <w:tab w:val="num" w:pos="6480"/>
        </w:tabs>
        <w:ind w:left="6480" w:hanging="360"/>
      </w:pPr>
      <w:rPr>
        <w:rFonts w:cs="Times New Roman"/>
      </w:rPr>
    </w:lvl>
    <w:lvl w:ilvl="7" w:tplc="1D861D78" w:tentative="1">
      <w:start w:val="1"/>
      <w:numFmt w:val="lowerLetter"/>
      <w:lvlText w:val="%8."/>
      <w:lvlJc w:val="left"/>
      <w:pPr>
        <w:tabs>
          <w:tab w:val="num" w:pos="7200"/>
        </w:tabs>
        <w:ind w:left="7200" w:hanging="360"/>
      </w:pPr>
      <w:rPr>
        <w:rFonts w:cs="Times New Roman"/>
      </w:rPr>
    </w:lvl>
    <w:lvl w:ilvl="8" w:tplc="DF7EA6AA" w:tentative="1">
      <w:start w:val="1"/>
      <w:numFmt w:val="lowerRoman"/>
      <w:lvlText w:val="%9."/>
      <w:lvlJc w:val="right"/>
      <w:pPr>
        <w:tabs>
          <w:tab w:val="num" w:pos="7920"/>
        </w:tabs>
        <w:ind w:left="7920" w:hanging="180"/>
      </w:pPr>
      <w:rPr>
        <w:rFonts w:cs="Times New Roman"/>
      </w:rPr>
    </w:lvl>
  </w:abstractNum>
  <w:abstractNum w:abstractNumId="22">
    <w:nsid w:val="324843DA"/>
    <w:multiLevelType w:val="hybridMultilevel"/>
    <w:tmpl w:val="B9B4C8B6"/>
    <w:lvl w:ilvl="0" w:tplc="1716030E">
      <w:start w:val="1"/>
      <w:numFmt w:val="decimal"/>
      <w:lvlText w:val="%1."/>
      <w:lvlJc w:val="left"/>
      <w:pPr>
        <w:tabs>
          <w:tab w:val="num" w:pos="990"/>
        </w:tabs>
        <w:ind w:left="990" w:hanging="360"/>
      </w:pPr>
      <w:rPr>
        <w:rFonts w:cs="Times New Roman"/>
      </w:rPr>
    </w:lvl>
    <w:lvl w:ilvl="1" w:tplc="98740976" w:tentative="1">
      <w:start w:val="1"/>
      <w:numFmt w:val="lowerLetter"/>
      <w:lvlText w:val="%2."/>
      <w:lvlJc w:val="left"/>
      <w:pPr>
        <w:tabs>
          <w:tab w:val="num" w:pos="1710"/>
        </w:tabs>
        <w:ind w:left="1710" w:hanging="360"/>
      </w:pPr>
      <w:rPr>
        <w:rFonts w:cs="Times New Roman"/>
      </w:rPr>
    </w:lvl>
    <w:lvl w:ilvl="2" w:tplc="3ED26440" w:tentative="1">
      <w:start w:val="1"/>
      <w:numFmt w:val="lowerRoman"/>
      <w:lvlText w:val="%3."/>
      <w:lvlJc w:val="right"/>
      <w:pPr>
        <w:tabs>
          <w:tab w:val="num" w:pos="2430"/>
        </w:tabs>
        <w:ind w:left="2430" w:hanging="180"/>
      </w:pPr>
      <w:rPr>
        <w:rFonts w:cs="Times New Roman"/>
      </w:rPr>
    </w:lvl>
    <w:lvl w:ilvl="3" w:tplc="4626A95A" w:tentative="1">
      <w:start w:val="1"/>
      <w:numFmt w:val="decimal"/>
      <w:lvlText w:val="%4."/>
      <w:lvlJc w:val="left"/>
      <w:pPr>
        <w:tabs>
          <w:tab w:val="num" w:pos="3150"/>
        </w:tabs>
        <w:ind w:left="3150" w:hanging="360"/>
      </w:pPr>
      <w:rPr>
        <w:rFonts w:cs="Times New Roman"/>
      </w:rPr>
    </w:lvl>
    <w:lvl w:ilvl="4" w:tplc="4B683898" w:tentative="1">
      <w:start w:val="1"/>
      <w:numFmt w:val="lowerLetter"/>
      <w:lvlText w:val="%5."/>
      <w:lvlJc w:val="left"/>
      <w:pPr>
        <w:tabs>
          <w:tab w:val="num" w:pos="3870"/>
        </w:tabs>
        <w:ind w:left="3870" w:hanging="360"/>
      </w:pPr>
      <w:rPr>
        <w:rFonts w:cs="Times New Roman"/>
      </w:rPr>
    </w:lvl>
    <w:lvl w:ilvl="5" w:tplc="9180481A" w:tentative="1">
      <w:start w:val="1"/>
      <w:numFmt w:val="lowerRoman"/>
      <w:lvlText w:val="%6."/>
      <w:lvlJc w:val="right"/>
      <w:pPr>
        <w:tabs>
          <w:tab w:val="num" w:pos="4590"/>
        </w:tabs>
        <w:ind w:left="4590" w:hanging="180"/>
      </w:pPr>
      <w:rPr>
        <w:rFonts w:cs="Times New Roman"/>
      </w:rPr>
    </w:lvl>
    <w:lvl w:ilvl="6" w:tplc="8A1CFBF8" w:tentative="1">
      <w:start w:val="1"/>
      <w:numFmt w:val="decimal"/>
      <w:lvlText w:val="%7."/>
      <w:lvlJc w:val="left"/>
      <w:pPr>
        <w:tabs>
          <w:tab w:val="num" w:pos="5310"/>
        </w:tabs>
        <w:ind w:left="5310" w:hanging="360"/>
      </w:pPr>
      <w:rPr>
        <w:rFonts w:cs="Times New Roman"/>
      </w:rPr>
    </w:lvl>
    <w:lvl w:ilvl="7" w:tplc="018A5E72" w:tentative="1">
      <w:start w:val="1"/>
      <w:numFmt w:val="lowerLetter"/>
      <w:lvlText w:val="%8."/>
      <w:lvlJc w:val="left"/>
      <w:pPr>
        <w:tabs>
          <w:tab w:val="num" w:pos="6030"/>
        </w:tabs>
        <w:ind w:left="6030" w:hanging="360"/>
      </w:pPr>
      <w:rPr>
        <w:rFonts w:cs="Times New Roman"/>
      </w:rPr>
    </w:lvl>
    <w:lvl w:ilvl="8" w:tplc="A4643758" w:tentative="1">
      <w:start w:val="1"/>
      <w:numFmt w:val="lowerRoman"/>
      <w:lvlText w:val="%9."/>
      <w:lvlJc w:val="right"/>
      <w:pPr>
        <w:tabs>
          <w:tab w:val="num" w:pos="6750"/>
        </w:tabs>
        <w:ind w:left="6750" w:hanging="180"/>
      </w:pPr>
      <w:rPr>
        <w:rFonts w:cs="Times New Roman"/>
      </w:rPr>
    </w:lvl>
  </w:abstractNum>
  <w:abstractNum w:abstractNumId="23">
    <w:nsid w:val="374047DE"/>
    <w:multiLevelType w:val="hybridMultilevel"/>
    <w:tmpl w:val="BBE845FA"/>
    <w:lvl w:ilvl="0" w:tplc="DAF233BC">
      <w:start w:val="4"/>
      <w:numFmt w:val="lowerLetter"/>
      <w:lvlText w:val="%1."/>
      <w:lvlJc w:val="left"/>
      <w:pPr>
        <w:tabs>
          <w:tab w:val="num" w:pos="2520"/>
        </w:tabs>
        <w:ind w:left="2520" w:hanging="360"/>
      </w:pPr>
      <w:rPr>
        <w:rFonts w:cs="Times New Roman" w:hint="default"/>
      </w:rPr>
    </w:lvl>
    <w:lvl w:ilvl="1" w:tplc="124C5998" w:tentative="1">
      <w:start w:val="1"/>
      <w:numFmt w:val="lowerLetter"/>
      <w:lvlText w:val="%2."/>
      <w:lvlJc w:val="left"/>
      <w:pPr>
        <w:tabs>
          <w:tab w:val="num" w:pos="3240"/>
        </w:tabs>
        <w:ind w:left="3240" w:hanging="360"/>
      </w:pPr>
      <w:rPr>
        <w:rFonts w:cs="Times New Roman"/>
      </w:rPr>
    </w:lvl>
    <w:lvl w:ilvl="2" w:tplc="B7362ACC" w:tentative="1">
      <w:start w:val="1"/>
      <w:numFmt w:val="lowerRoman"/>
      <w:lvlText w:val="%3."/>
      <w:lvlJc w:val="right"/>
      <w:pPr>
        <w:tabs>
          <w:tab w:val="num" w:pos="3960"/>
        </w:tabs>
        <w:ind w:left="3960" w:hanging="180"/>
      </w:pPr>
      <w:rPr>
        <w:rFonts w:cs="Times New Roman"/>
      </w:rPr>
    </w:lvl>
    <w:lvl w:ilvl="3" w:tplc="62A864EC" w:tentative="1">
      <w:start w:val="1"/>
      <w:numFmt w:val="decimal"/>
      <w:lvlText w:val="%4."/>
      <w:lvlJc w:val="left"/>
      <w:pPr>
        <w:tabs>
          <w:tab w:val="num" w:pos="4680"/>
        </w:tabs>
        <w:ind w:left="4680" w:hanging="360"/>
      </w:pPr>
      <w:rPr>
        <w:rFonts w:cs="Times New Roman"/>
      </w:rPr>
    </w:lvl>
    <w:lvl w:ilvl="4" w:tplc="4A6A548E" w:tentative="1">
      <w:start w:val="1"/>
      <w:numFmt w:val="lowerLetter"/>
      <w:lvlText w:val="%5."/>
      <w:lvlJc w:val="left"/>
      <w:pPr>
        <w:tabs>
          <w:tab w:val="num" w:pos="5400"/>
        </w:tabs>
        <w:ind w:left="5400" w:hanging="360"/>
      </w:pPr>
      <w:rPr>
        <w:rFonts w:cs="Times New Roman"/>
      </w:rPr>
    </w:lvl>
    <w:lvl w:ilvl="5" w:tplc="39BC31B6" w:tentative="1">
      <w:start w:val="1"/>
      <w:numFmt w:val="lowerRoman"/>
      <w:lvlText w:val="%6."/>
      <w:lvlJc w:val="right"/>
      <w:pPr>
        <w:tabs>
          <w:tab w:val="num" w:pos="6120"/>
        </w:tabs>
        <w:ind w:left="6120" w:hanging="180"/>
      </w:pPr>
      <w:rPr>
        <w:rFonts w:cs="Times New Roman"/>
      </w:rPr>
    </w:lvl>
    <w:lvl w:ilvl="6" w:tplc="5AE6BAC8" w:tentative="1">
      <w:start w:val="1"/>
      <w:numFmt w:val="decimal"/>
      <w:lvlText w:val="%7."/>
      <w:lvlJc w:val="left"/>
      <w:pPr>
        <w:tabs>
          <w:tab w:val="num" w:pos="6840"/>
        </w:tabs>
        <w:ind w:left="6840" w:hanging="360"/>
      </w:pPr>
      <w:rPr>
        <w:rFonts w:cs="Times New Roman"/>
      </w:rPr>
    </w:lvl>
    <w:lvl w:ilvl="7" w:tplc="04B052F2" w:tentative="1">
      <w:start w:val="1"/>
      <w:numFmt w:val="lowerLetter"/>
      <w:lvlText w:val="%8."/>
      <w:lvlJc w:val="left"/>
      <w:pPr>
        <w:tabs>
          <w:tab w:val="num" w:pos="7560"/>
        </w:tabs>
        <w:ind w:left="7560" w:hanging="360"/>
      </w:pPr>
      <w:rPr>
        <w:rFonts w:cs="Times New Roman"/>
      </w:rPr>
    </w:lvl>
    <w:lvl w:ilvl="8" w:tplc="660AE8DE" w:tentative="1">
      <w:start w:val="1"/>
      <w:numFmt w:val="lowerRoman"/>
      <w:lvlText w:val="%9."/>
      <w:lvlJc w:val="right"/>
      <w:pPr>
        <w:tabs>
          <w:tab w:val="num" w:pos="8280"/>
        </w:tabs>
        <w:ind w:left="8280" w:hanging="180"/>
      </w:pPr>
      <w:rPr>
        <w:rFonts w:cs="Times New Roman"/>
      </w:rPr>
    </w:lvl>
  </w:abstractNum>
  <w:abstractNum w:abstractNumId="24">
    <w:nsid w:val="549F1713"/>
    <w:multiLevelType w:val="hybridMultilevel"/>
    <w:tmpl w:val="2D2C5E82"/>
    <w:lvl w:ilvl="0" w:tplc="92460E5E">
      <w:start w:val="2"/>
      <w:numFmt w:val="decimal"/>
      <w:lvlText w:val="%1."/>
      <w:lvlJc w:val="left"/>
      <w:pPr>
        <w:tabs>
          <w:tab w:val="num" w:pos="2160"/>
        </w:tabs>
        <w:ind w:left="2160" w:hanging="720"/>
      </w:pPr>
      <w:rPr>
        <w:rFonts w:cs="Times New Roman" w:hint="default"/>
      </w:rPr>
    </w:lvl>
    <w:lvl w:ilvl="1" w:tplc="8BDAB11C">
      <w:start w:val="1"/>
      <w:numFmt w:val="lowerLetter"/>
      <w:lvlText w:val="%2."/>
      <w:lvlJc w:val="left"/>
      <w:pPr>
        <w:tabs>
          <w:tab w:val="num" w:pos="2520"/>
        </w:tabs>
        <w:ind w:left="2520" w:hanging="360"/>
      </w:pPr>
      <w:rPr>
        <w:rFonts w:cs="Times New Roman" w:hint="default"/>
      </w:rPr>
    </w:lvl>
    <w:lvl w:ilvl="2" w:tplc="EE68BF14" w:tentative="1">
      <w:start w:val="1"/>
      <w:numFmt w:val="lowerRoman"/>
      <w:lvlText w:val="%3."/>
      <w:lvlJc w:val="right"/>
      <w:pPr>
        <w:tabs>
          <w:tab w:val="num" w:pos="3240"/>
        </w:tabs>
        <w:ind w:left="3240" w:hanging="180"/>
      </w:pPr>
      <w:rPr>
        <w:rFonts w:cs="Times New Roman"/>
      </w:rPr>
    </w:lvl>
    <w:lvl w:ilvl="3" w:tplc="F5C88ACC" w:tentative="1">
      <w:start w:val="1"/>
      <w:numFmt w:val="decimal"/>
      <w:lvlText w:val="%4."/>
      <w:lvlJc w:val="left"/>
      <w:pPr>
        <w:tabs>
          <w:tab w:val="num" w:pos="3960"/>
        </w:tabs>
        <w:ind w:left="3960" w:hanging="360"/>
      </w:pPr>
      <w:rPr>
        <w:rFonts w:cs="Times New Roman"/>
      </w:rPr>
    </w:lvl>
    <w:lvl w:ilvl="4" w:tplc="3DBE0508" w:tentative="1">
      <w:start w:val="1"/>
      <w:numFmt w:val="lowerLetter"/>
      <w:lvlText w:val="%5."/>
      <w:lvlJc w:val="left"/>
      <w:pPr>
        <w:tabs>
          <w:tab w:val="num" w:pos="4680"/>
        </w:tabs>
        <w:ind w:left="4680" w:hanging="360"/>
      </w:pPr>
      <w:rPr>
        <w:rFonts w:cs="Times New Roman"/>
      </w:rPr>
    </w:lvl>
    <w:lvl w:ilvl="5" w:tplc="4E0213A8" w:tentative="1">
      <w:start w:val="1"/>
      <w:numFmt w:val="lowerRoman"/>
      <w:lvlText w:val="%6."/>
      <w:lvlJc w:val="right"/>
      <w:pPr>
        <w:tabs>
          <w:tab w:val="num" w:pos="5400"/>
        </w:tabs>
        <w:ind w:left="5400" w:hanging="180"/>
      </w:pPr>
      <w:rPr>
        <w:rFonts w:cs="Times New Roman"/>
      </w:rPr>
    </w:lvl>
    <w:lvl w:ilvl="6" w:tplc="6FD6C008" w:tentative="1">
      <w:start w:val="1"/>
      <w:numFmt w:val="decimal"/>
      <w:lvlText w:val="%7."/>
      <w:lvlJc w:val="left"/>
      <w:pPr>
        <w:tabs>
          <w:tab w:val="num" w:pos="6120"/>
        </w:tabs>
        <w:ind w:left="6120" w:hanging="360"/>
      </w:pPr>
      <w:rPr>
        <w:rFonts w:cs="Times New Roman"/>
      </w:rPr>
    </w:lvl>
    <w:lvl w:ilvl="7" w:tplc="88BC14F2" w:tentative="1">
      <w:start w:val="1"/>
      <w:numFmt w:val="lowerLetter"/>
      <w:lvlText w:val="%8."/>
      <w:lvlJc w:val="left"/>
      <w:pPr>
        <w:tabs>
          <w:tab w:val="num" w:pos="6840"/>
        </w:tabs>
        <w:ind w:left="6840" w:hanging="360"/>
      </w:pPr>
      <w:rPr>
        <w:rFonts w:cs="Times New Roman"/>
      </w:rPr>
    </w:lvl>
    <w:lvl w:ilvl="8" w:tplc="CC9CF2FE" w:tentative="1">
      <w:start w:val="1"/>
      <w:numFmt w:val="lowerRoman"/>
      <w:lvlText w:val="%9."/>
      <w:lvlJc w:val="right"/>
      <w:pPr>
        <w:tabs>
          <w:tab w:val="num" w:pos="7560"/>
        </w:tabs>
        <w:ind w:left="7560" w:hanging="180"/>
      </w:pPr>
      <w:rPr>
        <w:rFonts w:cs="Times New Roman"/>
      </w:rPr>
    </w:lvl>
  </w:abstractNum>
  <w:abstractNum w:abstractNumId="25">
    <w:nsid w:val="561105A5"/>
    <w:multiLevelType w:val="hybridMultilevel"/>
    <w:tmpl w:val="9252D640"/>
    <w:lvl w:ilvl="0" w:tplc="06F2C4D6">
      <w:start w:val="5"/>
      <w:numFmt w:val="decimal"/>
      <w:lvlText w:val="%1."/>
      <w:lvlJc w:val="left"/>
      <w:pPr>
        <w:tabs>
          <w:tab w:val="num" w:pos="3600"/>
        </w:tabs>
        <w:ind w:left="3600" w:hanging="720"/>
      </w:pPr>
      <w:rPr>
        <w:rFonts w:cs="Times New Roman" w:hint="default"/>
      </w:rPr>
    </w:lvl>
    <w:lvl w:ilvl="1" w:tplc="F3C0C6B2" w:tentative="1">
      <w:start w:val="1"/>
      <w:numFmt w:val="lowerLetter"/>
      <w:lvlText w:val="%2."/>
      <w:lvlJc w:val="left"/>
      <w:pPr>
        <w:tabs>
          <w:tab w:val="num" w:pos="2880"/>
        </w:tabs>
        <w:ind w:left="2880" w:hanging="360"/>
      </w:pPr>
      <w:rPr>
        <w:rFonts w:cs="Times New Roman"/>
      </w:rPr>
    </w:lvl>
    <w:lvl w:ilvl="2" w:tplc="52DC216C" w:tentative="1">
      <w:start w:val="1"/>
      <w:numFmt w:val="lowerRoman"/>
      <w:lvlText w:val="%3."/>
      <w:lvlJc w:val="right"/>
      <w:pPr>
        <w:tabs>
          <w:tab w:val="num" w:pos="3600"/>
        </w:tabs>
        <w:ind w:left="3600" w:hanging="180"/>
      </w:pPr>
      <w:rPr>
        <w:rFonts w:cs="Times New Roman"/>
      </w:rPr>
    </w:lvl>
    <w:lvl w:ilvl="3" w:tplc="94C60A12" w:tentative="1">
      <w:start w:val="1"/>
      <w:numFmt w:val="decimal"/>
      <w:lvlText w:val="%4."/>
      <w:lvlJc w:val="left"/>
      <w:pPr>
        <w:tabs>
          <w:tab w:val="num" w:pos="4320"/>
        </w:tabs>
        <w:ind w:left="4320" w:hanging="360"/>
      </w:pPr>
      <w:rPr>
        <w:rFonts w:cs="Times New Roman"/>
      </w:rPr>
    </w:lvl>
    <w:lvl w:ilvl="4" w:tplc="A476DBB0" w:tentative="1">
      <w:start w:val="1"/>
      <w:numFmt w:val="lowerLetter"/>
      <w:lvlText w:val="%5."/>
      <w:lvlJc w:val="left"/>
      <w:pPr>
        <w:tabs>
          <w:tab w:val="num" w:pos="5040"/>
        </w:tabs>
        <w:ind w:left="5040" w:hanging="360"/>
      </w:pPr>
      <w:rPr>
        <w:rFonts w:cs="Times New Roman"/>
      </w:rPr>
    </w:lvl>
    <w:lvl w:ilvl="5" w:tplc="A990956E" w:tentative="1">
      <w:start w:val="1"/>
      <w:numFmt w:val="lowerRoman"/>
      <w:lvlText w:val="%6."/>
      <w:lvlJc w:val="right"/>
      <w:pPr>
        <w:tabs>
          <w:tab w:val="num" w:pos="5760"/>
        </w:tabs>
        <w:ind w:left="5760" w:hanging="180"/>
      </w:pPr>
      <w:rPr>
        <w:rFonts w:cs="Times New Roman"/>
      </w:rPr>
    </w:lvl>
    <w:lvl w:ilvl="6" w:tplc="0D5832A0" w:tentative="1">
      <w:start w:val="1"/>
      <w:numFmt w:val="decimal"/>
      <w:lvlText w:val="%7."/>
      <w:lvlJc w:val="left"/>
      <w:pPr>
        <w:tabs>
          <w:tab w:val="num" w:pos="6480"/>
        </w:tabs>
        <w:ind w:left="6480" w:hanging="360"/>
      </w:pPr>
      <w:rPr>
        <w:rFonts w:cs="Times New Roman"/>
      </w:rPr>
    </w:lvl>
    <w:lvl w:ilvl="7" w:tplc="9D30A57C" w:tentative="1">
      <w:start w:val="1"/>
      <w:numFmt w:val="lowerLetter"/>
      <w:lvlText w:val="%8."/>
      <w:lvlJc w:val="left"/>
      <w:pPr>
        <w:tabs>
          <w:tab w:val="num" w:pos="7200"/>
        </w:tabs>
        <w:ind w:left="7200" w:hanging="360"/>
      </w:pPr>
      <w:rPr>
        <w:rFonts w:cs="Times New Roman"/>
      </w:rPr>
    </w:lvl>
    <w:lvl w:ilvl="8" w:tplc="1F2E9C52" w:tentative="1">
      <w:start w:val="1"/>
      <w:numFmt w:val="lowerRoman"/>
      <w:lvlText w:val="%9."/>
      <w:lvlJc w:val="right"/>
      <w:pPr>
        <w:tabs>
          <w:tab w:val="num" w:pos="7920"/>
        </w:tabs>
        <w:ind w:left="7920" w:hanging="180"/>
      </w:pPr>
      <w:rPr>
        <w:rFonts w:cs="Times New Roman"/>
      </w:rPr>
    </w:lvl>
  </w:abstractNum>
  <w:abstractNum w:abstractNumId="26">
    <w:nsid w:val="57D260AE"/>
    <w:multiLevelType w:val="hybridMultilevel"/>
    <w:tmpl w:val="8F704626"/>
    <w:lvl w:ilvl="0" w:tplc="2ADEF452">
      <w:start w:val="1"/>
      <w:numFmt w:val="decimal"/>
      <w:lvlText w:val="%1."/>
      <w:lvlJc w:val="left"/>
      <w:pPr>
        <w:tabs>
          <w:tab w:val="num" w:pos="720"/>
        </w:tabs>
        <w:ind w:left="720" w:hanging="360"/>
      </w:pPr>
      <w:rPr>
        <w:rFonts w:cs="Times New Roman"/>
        <w:b/>
        <w:i w:val="0"/>
      </w:rPr>
    </w:lvl>
    <w:lvl w:ilvl="1" w:tplc="756AC1D2">
      <w:start w:val="1"/>
      <w:numFmt w:val="lowerLetter"/>
      <w:lvlText w:val="%2."/>
      <w:lvlJc w:val="left"/>
      <w:pPr>
        <w:tabs>
          <w:tab w:val="num" w:pos="1440"/>
        </w:tabs>
        <w:ind w:left="1440" w:hanging="360"/>
      </w:pPr>
      <w:rPr>
        <w:rFonts w:cs="Times New Roman"/>
      </w:rPr>
    </w:lvl>
    <w:lvl w:ilvl="2" w:tplc="30D0289C">
      <w:start w:val="1"/>
      <w:numFmt w:val="lowerRoman"/>
      <w:lvlText w:val="%3."/>
      <w:lvlJc w:val="right"/>
      <w:pPr>
        <w:tabs>
          <w:tab w:val="num" w:pos="2160"/>
        </w:tabs>
        <w:ind w:left="2160" w:hanging="180"/>
      </w:pPr>
      <w:rPr>
        <w:rFonts w:cs="Times New Roman"/>
      </w:rPr>
    </w:lvl>
    <w:lvl w:ilvl="3" w:tplc="64A4528E">
      <w:start w:val="1"/>
      <w:numFmt w:val="decimal"/>
      <w:lvlText w:val="%4."/>
      <w:lvlJc w:val="left"/>
      <w:pPr>
        <w:tabs>
          <w:tab w:val="num" w:pos="2880"/>
        </w:tabs>
        <w:ind w:left="2880" w:hanging="360"/>
      </w:pPr>
      <w:rPr>
        <w:rFonts w:cs="Times New Roman"/>
      </w:rPr>
    </w:lvl>
    <w:lvl w:ilvl="4" w:tplc="7F183180" w:tentative="1">
      <w:start w:val="1"/>
      <w:numFmt w:val="lowerLetter"/>
      <w:lvlText w:val="%5."/>
      <w:lvlJc w:val="left"/>
      <w:pPr>
        <w:tabs>
          <w:tab w:val="num" w:pos="3600"/>
        </w:tabs>
        <w:ind w:left="3600" w:hanging="360"/>
      </w:pPr>
      <w:rPr>
        <w:rFonts w:cs="Times New Roman"/>
      </w:rPr>
    </w:lvl>
    <w:lvl w:ilvl="5" w:tplc="81E23B8A" w:tentative="1">
      <w:start w:val="1"/>
      <w:numFmt w:val="lowerRoman"/>
      <w:lvlText w:val="%6."/>
      <w:lvlJc w:val="right"/>
      <w:pPr>
        <w:tabs>
          <w:tab w:val="num" w:pos="4320"/>
        </w:tabs>
        <w:ind w:left="4320" w:hanging="180"/>
      </w:pPr>
      <w:rPr>
        <w:rFonts w:cs="Times New Roman"/>
      </w:rPr>
    </w:lvl>
    <w:lvl w:ilvl="6" w:tplc="9F007100" w:tentative="1">
      <w:start w:val="1"/>
      <w:numFmt w:val="decimal"/>
      <w:lvlText w:val="%7."/>
      <w:lvlJc w:val="left"/>
      <w:pPr>
        <w:tabs>
          <w:tab w:val="num" w:pos="5040"/>
        </w:tabs>
        <w:ind w:left="5040" w:hanging="360"/>
      </w:pPr>
      <w:rPr>
        <w:rFonts w:cs="Times New Roman"/>
      </w:rPr>
    </w:lvl>
    <w:lvl w:ilvl="7" w:tplc="A9C096D2" w:tentative="1">
      <w:start w:val="1"/>
      <w:numFmt w:val="lowerLetter"/>
      <w:lvlText w:val="%8."/>
      <w:lvlJc w:val="left"/>
      <w:pPr>
        <w:tabs>
          <w:tab w:val="num" w:pos="5760"/>
        </w:tabs>
        <w:ind w:left="5760" w:hanging="360"/>
      </w:pPr>
      <w:rPr>
        <w:rFonts w:cs="Times New Roman"/>
      </w:rPr>
    </w:lvl>
    <w:lvl w:ilvl="8" w:tplc="996C45DC" w:tentative="1">
      <w:start w:val="1"/>
      <w:numFmt w:val="lowerRoman"/>
      <w:lvlText w:val="%9."/>
      <w:lvlJc w:val="right"/>
      <w:pPr>
        <w:tabs>
          <w:tab w:val="num" w:pos="6480"/>
        </w:tabs>
        <w:ind w:left="6480" w:hanging="180"/>
      </w:pPr>
      <w:rPr>
        <w:rFonts w:cs="Times New Roman"/>
      </w:rPr>
    </w:lvl>
  </w:abstractNum>
  <w:abstractNum w:abstractNumId="27">
    <w:nsid w:val="5B0B0C1C"/>
    <w:multiLevelType w:val="hybridMultilevel"/>
    <w:tmpl w:val="7E8404B0"/>
    <w:lvl w:ilvl="0" w:tplc="CFA45A7E">
      <w:start w:val="5"/>
      <w:numFmt w:val="decimal"/>
      <w:lvlText w:val="%1."/>
      <w:lvlJc w:val="left"/>
      <w:pPr>
        <w:tabs>
          <w:tab w:val="num" w:pos="3600"/>
        </w:tabs>
        <w:ind w:left="3600" w:hanging="720"/>
      </w:pPr>
      <w:rPr>
        <w:rFonts w:cs="Times New Roman" w:hint="default"/>
      </w:rPr>
    </w:lvl>
    <w:lvl w:ilvl="1" w:tplc="E69A486C" w:tentative="1">
      <w:start w:val="1"/>
      <w:numFmt w:val="lowerLetter"/>
      <w:lvlText w:val="%2."/>
      <w:lvlJc w:val="left"/>
      <w:pPr>
        <w:tabs>
          <w:tab w:val="num" w:pos="2880"/>
        </w:tabs>
        <w:ind w:left="2880" w:hanging="360"/>
      </w:pPr>
      <w:rPr>
        <w:rFonts w:cs="Times New Roman"/>
      </w:rPr>
    </w:lvl>
    <w:lvl w:ilvl="2" w:tplc="B1C8CE58" w:tentative="1">
      <w:start w:val="1"/>
      <w:numFmt w:val="lowerRoman"/>
      <w:lvlText w:val="%3."/>
      <w:lvlJc w:val="right"/>
      <w:pPr>
        <w:tabs>
          <w:tab w:val="num" w:pos="3600"/>
        </w:tabs>
        <w:ind w:left="3600" w:hanging="180"/>
      </w:pPr>
      <w:rPr>
        <w:rFonts w:cs="Times New Roman"/>
      </w:rPr>
    </w:lvl>
    <w:lvl w:ilvl="3" w:tplc="AE20B844" w:tentative="1">
      <w:start w:val="1"/>
      <w:numFmt w:val="decimal"/>
      <w:lvlText w:val="%4."/>
      <w:lvlJc w:val="left"/>
      <w:pPr>
        <w:tabs>
          <w:tab w:val="num" w:pos="4320"/>
        </w:tabs>
        <w:ind w:left="4320" w:hanging="360"/>
      </w:pPr>
      <w:rPr>
        <w:rFonts w:cs="Times New Roman"/>
      </w:rPr>
    </w:lvl>
    <w:lvl w:ilvl="4" w:tplc="983A52FA" w:tentative="1">
      <w:start w:val="1"/>
      <w:numFmt w:val="lowerLetter"/>
      <w:lvlText w:val="%5."/>
      <w:lvlJc w:val="left"/>
      <w:pPr>
        <w:tabs>
          <w:tab w:val="num" w:pos="5040"/>
        </w:tabs>
        <w:ind w:left="5040" w:hanging="360"/>
      </w:pPr>
      <w:rPr>
        <w:rFonts w:cs="Times New Roman"/>
      </w:rPr>
    </w:lvl>
    <w:lvl w:ilvl="5" w:tplc="AD02A46A" w:tentative="1">
      <w:start w:val="1"/>
      <w:numFmt w:val="lowerRoman"/>
      <w:lvlText w:val="%6."/>
      <w:lvlJc w:val="right"/>
      <w:pPr>
        <w:tabs>
          <w:tab w:val="num" w:pos="5760"/>
        </w:tabs>
        <w:ind w:left="5760" w:hanging="180"/>
      </w:pPr>
      <w:rPr>
        <w:rFonts w:cs="Times New Roman"/>
      </w:rPr>
    </w:lvl>
    <w:lvl w:ilvl="6" w:tplc="DF929656" w:tentative="1">
      <w:start w:val="1"/>
      <w:numFmt w:val="decimal"/>
      <w:lvlText w:val="%7."/>
      <w:lvlJc w:val="left"/>
      <w:pPr>
        <w:tabs>
          <w:tab w:val="num" w:pos="6480"/>
        </w:tabs>
        <w:ind w:left="6480" w:hanging="360"/>
      </w:pPr>
      <w:rPr>
        <w:rFonts w:cs="Times New Roman"/>
      </w:rPr>
    </w:lvl>
    <w:lvl w:ilvl="7" w:tplc="C952F564" w:tentative="1">
      <w:start w:val="1"/>
      <w:numFmt w:val="lowerLetter"/>
      <w:lvlText w:val="%8."/>
      <w:lvlJc w:val="left"/>
      <w:pPr>
        <w:tabs>
          <w:tab w:val="num" w:pos="7200"/>
        </w:tabs>
        <w:ind w:left="7200" w:hanging="360"/>
      </w:pPr>
      <w:rPr>
        <w:rFonts w:cs="Times New Roman"/>
      </w:rPr>
    </w:lvl>
    <w:lvl w:ilvl="8" w:tplc="C46ACAB4" w:tentative="1">
      <w:start w:val="1"/>
      <w:numFmt w:val="lowerRoman"/>
      <w:lvlText w:val="%9."/>
      <w:lvlJc w:val="right"/>
      <w:pPr>
        <w:tabs>
          <w:tab w:val="num" w:pos="7920"/>
        </w:tabs>
        <w:ind w:left="7920" w:hanging="180"/>
      </w:pPr>
      <w:rPr>
        <w:rFonts w:cs="Times New Roman"/>
      </w:rPr>
    </w:lvl>
  </w:abstractNum>
  <w:abstractNum w:abstractNumId="28">
    <w:nsid w:val="5BAD3306"/>
    <w:multiLevelType w:val="hybridMultilevel"/>
    <w:tmpl w:val="43F4509E"/>
    <w:lvl w:ilvl="0" w:tplc="144AB026">
      <w:start w:val="1"/>
      <w:numFmt w:val="bullet"/>
      <w:lvlText w:val=""/>
      <w:lvlJc w:val="left"/>
      <w:pPr>
        <w:tabs>
          <w:tab w:val="num" w:pos="720"/>
        </w:tabs>
        <w:ind w:left="720" w:hanging="360"/>
      </w:pPr>
      <w:rPr>
        <w:rFonts w:ascii="Symbol" w:hAnsi="Symbol" w:hint="default"/>
      </w:rPr>
    </w:lvl>
    <w:lvl w:ilvl="1" w:tplc="4CCA3358" w:tentative="1">
      <w:start w:val="1"/>
      <w:numFmt w:val="bullet"/>
      <w:lvlText w:val="o"/>
      <w:lvlJc w:val="left"/>
      <w:pPr>
        <w:tabs>
          <w:tab w:val="num" w:pos="1440"/>
        </w:tabs>
        <w:ind w:left="1440" w:hanging="360"/>
      </w:pPr>
      <w:rPr>
        <w:rFonts w:ascii="Courier New" w:hAnsi="Courier New" w:hint="default"/>
      </w:rPr>
    </w:lvl>
    <w:lvl w:ilvl="2" w:tplc="2FD427F4" w:tentative="1">
      <w:start w:val="1"/>
      <w:numFmt w:val="bullet"/>
      <w:lvlText w:val=""/>
      <w:lvlJc w:val="left"/>
      <w:pPr>
        <w:tabs>
          <w:tab w:val="num" w:pos="2160"/>
        </w:tabs>
        <w:ind w:left="2160" w:hanging="360"/>
      </w:pPr>
      <w:rPr>
        <w:rFonts w:ascii="Wingdings" w:hAnsi="Wingdings" w:hint="default"/>
      </w:rPr>
    </w:lvl>
    <w:lvl w:ilvl="3" w:tplc="23BC3F80" w:tentative="1">
      <w:start w:val="1"/>
      <w:numFmt w:val="bullet"/>
      <w:lvlText w:val=""/>
      <w:lvlJc w:val="left"/>
      <w:pPr>
        <w:tabs>
          <w:tab w:val="num" w:pos="2880"/>
        </w:tabs>
        <w:ind w:left="2880" w:hanging="360"/>
      </w:pPr>
      <w:rPr>
        <w:rFonts w:ascii="Symbol" w:hAnsi="Symbol" w:hint="default"/>
      </w:rPr>
    </w:lvl>
    <w:lvl w:ilvl="4" w:tplc="9CE2F150" w:tentative="1">
      <w:start w:val="1"/>
      <w:numFmt w:val="bullet"/>
      <w:lvlText w:val="o"/>
      <w:lvlJc w:val="left"/>
      <w:pPr>
        <w:tabs>
          <w:tab w:val="num" w:pos="3600"/>
        </w:tabs>
        <w:ind w:left="3600" w:hanging="360"/>
      </w:pPr>
      <w:rPr>
        <w:rFonts w:ascii="Courier New" w:hAnsi="Courier New" w:hint="default"/>
      </w:rPr>
    </w:lvl>
    <w:lvl w:ilvl="5" w:tplc="23605B72" w:tentative="1">
      <w:start w:val="1"/>
      <w:numFmt w:val="bullet"/>
      <w:lvlText w:val=""/>
      <w:lvlJc w:val="left"/>
      <w:pPr>
        <w:tabs>
          <w:tab w:val="num" w:pos="4320"/>
        </w:tabs>
        <w:ind w:left="4320" w:hanging="360"/>
      </w:pPr>
      <w:rPr>
        <w:rFonts w:ascii="Wingdings" w:hAnsi="Wingdings" w:hint="default"/>
      </w:rPr>
    </w:lvl>
    <w:lvl w:ilvl="6" w:tplc="7C5092E4" w:tentative="1">
      <w:start w:val="1"/>
      <w:numFmt w:val="bullet"/>
      <w:lvlText w:val=""/>
      <w:lvlJc w:val="left"/>
      <w:pPr>
        <w:tabs>
          <w:tab w:val="num" w:pos="5040"/>
        </w:tabs>
        <w:ind w:left="5040" w:hanging="360"/>
      </w:pPr>
      <w:rPr>
        <w:rFonts w:ascii="Symbol" w:hAnsi="Symbol" w:hint="default"/>
      </w:rPr>
    </w:lvl>
    <w:lvl w:ilvl="7" w:tplc="A0869DD2" w:tentative="1">
      <w:start w:val="1"/>
      <w:numFmt w:val="bullet"/>
      <w:lvlText w:val="o"/>
      <w:lvlJc w:val="left"/>
      <w:pPr>
        <w:tabs>
          <w:tab w:val="num" w:pos="5760"/>
        </w:tabs>
        <w:ind w:left="5760" w:hanging="360"/>
      </w:pPr>
      <w:rPr>
        <w:rFonts w:ascii="Courier New" w:hAnsi="Courier New" w:hint="default"/>
      </w:rPr>
    </w:lvl>
    <w:lvl w:ilvl="8" w:tplc="2B5E177A" w:tentative="1">
      <w:start w:val="1"/>
      <w:numFmt w:val="bullet"/>
      <w:lvlText w:val=""/>
      <w:lvlJc w:val="left"/>
      <w:pPr>
        <w:tabs>
          <w:tab w:val="num" w:pos="6480"/>
        </w:tabs>
        <w:ind w:left="6480" w:hanging="360"/>
      </w:pPr>
      <w:rPr>
        <w:rFonts w:ascii="Wingdings" w:hAnsi="Wingdings" w:hint="default"/>
      </w:rPr>
    </w:lvl>
  </w:abstractNum>
  <w:abstractNum w:abstractNumId="29">
    <w:nsid w:val="5EAF1E0F"/>
    <w:multiLevelType w:val="multilevel"/>
    <w:tmpl w:val="F72AC0A6"/>
    <w:lvl w:ilvl="0">
      <w:start w:val="1"/>
      <w:numFmt w:val="upperRoman"/>
      <w:pStyle w:val="Heading1"/>
      <w:lvlText w:val="%1."/>
      <w:lvlJc w:val="left"/>
      <w:pPr>
        <w:tabs>
          <w:tab w:val="num" w:pos="72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lowerRoman"/>
      <w:pStyle w:val="Heading5"/>
      <w:lvlText w:val="(%5)"/>
      <w:lvlJc w:val="left"/>
      <w:pPr>
        <w:tabs>
          <w:tab w:val="num" w:pos="3600"/>
        </w:tabs>
        <w:ind w:left="2880"/>
      </w:pPr>
      <w:rPr>
        <w:rFonts w:cs="Times New Roman"/>
      </w:rPr>
    </w:lvl>
    <w:lvl w:ilvl="5">
      <w:start w:val="1"/>
      <w:numFmt w:val="upperLetter"/>
      <w:pStyle w:val="Heading6"/>
      <w:lvlText w:val="(%6)"/>
      <w:lvlJc w:val="left"/>
      <w:pPr>
        <w:tabs>
          <w:tab w:val="num" w:pos="3960"/>
        </w:tabs>
        <w:ind w:left="3600"/>
      </w:pPr>
      <w:rPr>
        <w:rFonts w:cs="Times New Roman"/>
      </w:rPr>
    </w:lvl>
    <w:lvl w:ilvl="6">
      <w:start w:val="1"/>
      <w:numFmt w:val="upp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0">
    <w:nsid w:val="679F0175"/>
    <w:multiLevelType w:val="hybridMultilevel"/>
    <w:tmpl w:val="7DC45868"/>
    <w:lvl w:ilvl="0" w:tplc="8AB2346C">
      <w:start w:val="1"/>
      <w:numFmt w:val="decimal"/>
      <w:lvlText w:val="%1."/>
      <w:lvlJc w:val="left"/>
      <w:pPr>
        <w:tabs>
          <w:tab w:val="num" w:pos="2160"/>
        </w:tabs>
        <w:ind w:left="2160" w:hanging="360"/>
      </w:pPr>
      <w:rPr>
        <w:rFonts w:cs="Times New Roman"/>
        <w:b w:val="0"/>
      </w:rPr>
    </w:lvl>
    <w:lvl w:ilvl="1" w:tplc="67FE0F7C">
      <w:start w:val="1"/>
      <w:numFmt w:val="decimal"/>
      <w:lvlText w:val="%2."/>
      <w:lvlJc w:val="left"/>
      <w:pPr>
        <w:tabs>
          <w:tab w:val="num" w:pos="2880"/>
        </w:tabs>
        <w:ind w:left="2880" w:hanging="360"/>
      </w:pPr>
      <w:rPr>
        <w:rFonts w:cs="Times New Roman"/>
        <w:b w:val="0"/>
      </w:rPr>
    </w:lvl>
    <w:lvl w:ilvl="2" w:tplc="7318CC12" w:tentative="1">
      <w:start w:val="1"/>
      <w:numFmt w:val="lowerRoman"/>
      <w:lvlText w:val="%3."/>
      <w:lvlJc w:val="right"/>
      <w:pPr>
        <w:tabs>
          <w:tab w:val="num" w:pos="3600"/>
        </w:tabs>
        <w:ind w:left="3600" w:hanging="180"/>
      </w:pPr>
      <w:rPr>
        <w:rFonts w:cs="Times New Roman"/>
      </w:rPr>
    </w:lvl>
    <w:lvl w:ilvl="3" w:tplc="56E4DE4C" w:tentative="1">
      <w:start w:val="1"/>
      <w:numFmt w:val="decimal"/>
      <w:lvlText w:val="%4."/>
      <w:lvlJc w:val="left"/>
      <w:pPr>
        <w:tabs>
          <w:tab w:val="num" w:pos="4320"/>
        </w:tabs>
        <w:ind w:left="4320" w:hanging="360"/>
      </w:pPr>
      <w:rPr>
        <w:rFonts w:cs="Times New Roman"/>
      </w:rPr>
    </w:lvl>
    <w:lvl w:ilvl="4" w:tplc="ABC63B40" w:tentative="1">
      <w:start w:val="1"/>
      <w:numFmt w:val="lowerLetter"/>
      <w:lvlText w:val="%5."/>
      <w:lvlJc w:val="left"/>
      <w:pPr>
        <w:tabs>
          <w:tab w:val="num" w:pos="5040"/>
        </w:tabs>
        <w:ind w:left="5040" w:hanging="360"/>
      </w:pPr>
      <w:rPr>
        <w:rFonts w:cs="Times New Roman"/>
      </w:rPr>
    </w:lvl>
    <w:lvl w:ilvl="5" w:tplc="69520392" w:tentative="1">
      <w:start w:val="1"/>
      <w:numFmt w:val="lowerRoman"/>
      <w:lvlText w:val="%6."/>
      <w:lvlJc w:val="right"/>
      <w:pPr>
        <w:tabs>
          <w:tab w:val="num" w:pos="5760"/>
        </w:tabs>
        <w:ind w:left="5760" w:hanging="180"/>
      </w:pPr>
      <w:rPr>
        <w:rFonts w:cs="Times New Roman"/>
      </w:rPr>
    </w:lvl>
    <w:lvl w:ilvl="6" w:tplc="305CA730" w:tentative="1">
      <w:start w:val="1"/>
      <w:numFmt w:val="decimal"/>
      <w:lvlText w:val="%7."/>
      <w:lvlJc w:val="left"/>
      <w:pPr>
        <w:tabs>
          <w:tab w:val="num" w:pos="6480"/>
        </w:tabs>
        <w:ind w:left="6480" w:hanging="360"/>
      </w:pPr>
      <w:rPr>
        <w:rFonts w:cs="Times New Roman"/>
      </w:rPr>
    </w:lvl>
    <w:lvl w:ilvl="7" w:tplc="767E41A2" w:tentative="1">
      <w:start w:val="1"/>
      <w:numFmt w:val="lowerLetter"/>
      <w:lvlText w:val="%8."/>
      <w:lvlJc w:val="left"/>
      <w:pPr>
        <w:tabs>
          <w:tab w:val="num" w:pos="7200"/>
        </w:tabs>
        <w:ind w:left="7200" w:hanging="360"/>
      </w:pPr>
      <w:rPr>
        <w:rFonts w:cs="Times New Roman"/>
      </w:rPr>
    </w:lvl>
    <w:lvl w:ilvl="8" w:tplc="688C4528" w:tentative="1">
      <w:start w:val="1"/>
      <w:numFmt w:val="lowerRoman"/>
      <w:lvlText w:val="%9."/>
      <w:lvlJc w:val="right"/>
      <w:pPr>
        <w:tabs>
          <w:tab w:val="num" w:pos="7920"/>
        </w:tabs>
        <w:ind w:left="7920" w:hanging="180"/>
      </w:pPr>
      <w:rPr>
        <w:rFonts w:cs="Times New Roman"/>
      </w:rPr>
    </w:lvl>
  </w:abstractNum>
  <w:abstractNum w:abstractNumId="31">
    <w:nsid w:val="6ECE146E"/>
    <w:multiLevelType w:val="hybridMultilevel"/>
    <w:tmpl w:val="717AE3C6"/>
    <w:lvl w:ilvl="0" w:tplc="60948706">
      <w:start w:val="1"/>
      <w:numFmt w:val="bullet"/>
      <w:lvlText w:val=""/>
      <w:lvlJc w:val="left"/>
      <w:pPr>
        <w:tabs>
          <w:tab w:val="num" w:pos="720"/>
        </w:tabs>
        <w:ind w:left="720" w:hanging="360"/>
      </w:pPr>
      <w:rPr>
        <w:rFonts w:ascii="Symbol" w:hAnsi="Symbol" w:hint="default"/>
      </w:rPr>
    </w:lvl>
    <w:lvl w:ilvl="1" w:tplc="77BE122E">
      <w:start w:val="1"/>
      <w:numFmt w:val="bullet"/>
      <w:lvlText w:val="o"/>
      <w:lvlJc w:val="left"/>
      <w:pPr>
        <w:tabs>
          <w:tab w:val="num" w:pos="1440"/>
        </w:tabs>
        <w:ind w:left="1440" w:hanging="360"/>
      </w:pPr>
      <w:rPr>
        <w:rFonts w:ascii="Courier New" w:hAnsi="Courier New" w:hint="default"/>
      </w:rPr>
    </w:lvl>
    <w:lvl w:ilvl="2" w:tplc="B3149B68" w:tentative="1">
      <w:start w:val="1"/>
      <w:numFmt w:val="bullet"/>
      <w:lvlText w:val=""/>
      <w:lvlJc w:val="left"/>
      <w:pPr>
        <w:tabs>
          <w:tab w:val="num" w:pos="2160"/>
        </w:tabs>
        <w:ind w:left="2160" w:hanging="360"/>
      </w:pPr>
      <w:rPr>
        <w:rFonts w:ascii="Wingdings" w:hAnsi="Wingdings" w:hint="default"/>
      </w:rPr>
    </w:lvl>
    <w:lvl w:ilvl="3" w:tplc="6C00B972" w:tentative="1">
      <w:start w:val="1"/>
      <w:numFmt w:val="bullet"/>
      <w:lvlText w:val=""/>
      <w:lvlJc w:val="left"/>
      <w:pPr>
        <w:tabs>
          <w:tab w:val="num" w:pos="2880"/>
        </w:tabs>
        <w:ind w:left="2880" w:hanging="360"/>
      </w:pPr>
      <w:rPr>
        <w:rFonts w:ascii="Symbol" w:hAnsi="Symbol" w:hint="default"/>
      </w:rPr>
    </w:lvl>
    <w:lvl w:ilvl="4" w:tplc="CD1C65A6" w:tentative="1">
      <w:start w:val="1"/>
      <w:numFmt w:val="bullet"/>
      <w:lvlText w:val="o"/>
      <w:lvlJc w:val="left"/>
      <w:pPr>
        <w:tabs>
          <w:tab w:val="num" w:pos="3600"/>
        </w:tabs>
        <w:ind w:left="3600" w:hanging="360"/>
      </w:pPr>
      <w:rPr>
        <w:rFonts w:ascii="Courier New" w:hAnsi="Courier New" w:hint="default"/>
      </w:rPr>
    </w:lvl>
    <w:lvl w:ilvl="5" w:tplc="FF2A950A" w:tentative="1">
      <w:start w:val="1"/>
      <w:numFmt w:val="bullet"/>
      <w:lvlText w:val=""/>
      <w:lvlJc w:val="left"/>
      <w:pPr>
        <w:tabs>
          <w:tab w:val="num" w:pos="4320"/>
        </w:tabs>
        <w:ind w:left="4320" w:hanging="360"/>
      </w:pPr>
      <w:rPr>
        <w:rFonts w:ascii="Wingdings" w:hAnsi="Wingdings" w:hint="default"/>
      </w:rPr>
    </w:lvl>
    <w:lvl w:ilvl="6" w:tplc="2EEA34AC" w:tentative="1">
      <w:start w:val="1"/>
      <w:numFmt w:val="bullet"/>
      <w:lvlText w:val=""/>
      <w:lvlJc w:val="left"/>
      <w:pPr>
        <w:tabs>
          <w:tab w:val="num" w:pos="5040"/>
        </w:tabs>
        <w:ind w:left="5040" w:hanging="360"/>
      </w:pPr>
      <w:rPr>
        <w:rFonts w:ascii="Symbol" w:hAnsi="Symbol" w:hint="default"/>
      </w:rPr>
    </w:lvl>
    <w:lvl w:ilvl="7" w:tplc="316C89D6" w:tentative="1">
      <w:start w:val="1"/>
      <w:numFmt w:val="bullet"/>
      <w:lvlText w:val="o"/>
      <w:lvlJc w:val="left"/>
      <w:pPr>
        <w:tabs>
          <w:tab w:val="num" w:pos="5760"/>
        </w:tabs>
        <w:ind w:left="5760" w:hanging="360"/>
      </w:pPr>
      <w:rPr>
        <w:rFonts w:ascii="Courier New" w:hAnsi="Courier New" w:hint="default"/>
      </w:rPr>
    </w:lvl>
    <w:lvl w:ilvl="8" w:tplc="81843850" w:tentative="1">
      <w:start w:val="1"/>
      <w:numFmt w:val="bullet"/>
      <w:lvlText w:val=""/>
      <w:lvlJc w:val="left"/>
      <w:pPr>
        <w:tabs>
          <w:tab w:val="num" w:pos="6480"/>
        </w:tabs>
        <w:ind w:left="6480" w:hanging="360"/>
      </w:pPr>
      <w:rPr>
        <w:rFonts w:ascii="Wingdings" w:hAnsi="Wingdings" w:hint="default"/>
      </w:rPr>
    </w:lvl>
  </w:abstractNum>
  <w:abstractNum w:abstractNumId="32">
    <w:nsid w:val="76C54360"/>
    <w:multiLevelType w:val="hybridMultilevel"/>
    <w:tmpl w:val="F8F226A8"/>
    <w:lvl w:ilvl="0" w:tplc="CA8035A8">
      <w:start w:val="7"/>
      <w:numFmt w:val="decimal"/>
      <w:lvlText w:val="%1."/>
      <w:lvlJc w:val="left"/>
      <w:pPr>
        <w:tabs>
          <w:tab w:val="num" w:pos="2160"/>
        </w:tabs>
        <w:ind w:left="2160" w:hanging="720"/>
      </w:pPr>
      <w:rPr>
        <w:rFonts w:cs="Times New Roman" w:hint="default"/>
      </w:rPr>
    </w:lvl>
    <w:lvl w:ilvl="1" w:tplc="E5B04C80" w:tentative="1">
      <w:start w:val="1"/>
      <w:numFmt w:val="lowerLetter"/>
      <w:lvlText w:val="%2."/>
      <w:lvlJc w:val="left"/>
      <w:pPr>
        <w:tabs>
          <w:tab w:val="num" w:pos="2520"/>
        </w:tabs>
        <w:ind w:left="2520" w:hanging="360"/>
      </w:pPr>
      <w:rPr>
        <w:rFonts w:cs="Times New Roman"/>
      </w:rPr>
    </w:lvl>
    <w:lvl w:ilvl="2" w:tplc="298EA6DA" w:tentative="1">
      <w:start w:val="1"/>
      <w:numFmt w:val="lowerRoman"/>
      <w:lvlText w:val="%3."/>
      <w:lvlJc w:val="right"/>
      <w:pPr>
        <w:tabs>
          <w:tab w:val="num" w:pos="3240"/>
        </w:tabs>
        <w:ind w:left="3240" w:hanging="180"/>
      </w:pPr>
      <w:rPr>
        <w:rFonts w:cs="Times New Roman"/>
      </w:rPr>
    </w:lvl>
    <w:lvl w:ilvl="3" w:tplc="7542DCA8" w:tentative="1">
      <w:start w:val="1"/>
      <w:numFmt w:val="decimal"/>
      <w:lvlText w:val="%4."/>
      <w:lvlJc w:val="left"/>
      <w:pPr>
        <w:tabs>
          <w:tab w:val="num" w:pos="3960"/>
        </w:tabs>
        <w:ind w:left="3960" w:hanging="360"/>
      </w:pPr>
      <w:rPr>
        <w:rFonts w:cs="Times New Roman"/>
      </w:rPr>
    </w:lvl>
    <w:lvl w:ilvl="4" w:tplc="A37A2F12" w:tentative="1">
      <w:start w:val="1"/>
      <w:numFmt w:val="lowerLetter"/>
      <w:lvlText w:val="%5."/>
      <w:lvlJc w:val="left"/>
      <w:pPr>
        <w:tabs>
          <w:tab w:val="num" w:pos="4680"/>
        </w:tabs>
        <w:ind w:left="4680" w:hanging="360"/>
      </w:pPr>
      <w:rPr>
        <w:rFonts w:cs="Times New Roman"/>
      </w:rPr>
    </w:lvl>
    <w:lvl w:ilvl="5" w:tplc="4ABED31E" w:tentative="1">
      <w:start w:val="1"/>
      <w:numFmt w:val="lowerRoman"/>
      <w:lvlText w:val="%6."/>
      <w:lvlJc w:val="right"/>
      <w:pPr>
        <w:tabs>
          <w:tab w:val="num" w:pos="5400"/>
        </w:tabs>
        <w:ind w:left="5400" w:hanging="180"/>
      </w:pPr>
      <w:rPr>
        <w:rFonts w:cs="Times New Roman"/>
      </w:rPr>
    </w:lvl>
    <w:lvl w:ilvl="6" w:tplc="D2F4937E" w:tentative="1">
      <w:start w:val="1"/>
      <w:numFmt w:val="decimal"/>
      <w:lvlText w:val="%7."/>
      <w:lvlJc w:val="left"/>
      <w:pPr>
        <w:tabs>
          <w:tab w:val="num" w:pos="6120"/>
        </w:tabs>
        <w:ind w:left="6120" w:hanging="360"/>
      </w:pPr>
      <w:rPr>
        <w:rFonts w:cs="Times New Roman"/>
      </w:rPr>
    </w:lvl>
    <w:lvl w:ilvl="7" w:tplc="F5266AE8" w:tentative="1">
      <w:start w:val="1"/>
      <w:numFmt w:val="lowerLetter"/>
      <w:lvlText w:val="%8."/>
      <w:lvlJc w:val="left"/>
      <w:pPr>
        <w:tabs>
          <w:tab w:val="num" w:pos="6840"/>
        </w:tabs>
        <w:ind w:left="6840" w:hanging="360"/>
      </w:pPr>
      <w:rPr>
        <w:rFonts w:cs="Times New Roman"/>
      </w:rPr>
    </w:lvl>
    <w:lvl w:ilvl="8" w:tplc="A07650E0" w:tentative="1">
      <w:start w:val="1"/>
      <w:numFmt w:val="lowerRoman"/>
      <w:lvlText w:val="%9."/>
      <w:lvlJc w:val="right"/>
      <w:pPr>
        <w:tabs>
          <w:tab w:val="num" w:pos="7560"/>
        </w:tabs>
        <w:ind w:left="7560" w:hanging="180"/>
      </w:pPr>
      <w:rPr>
        <w:rFonts w:cs="Times New Roman"/>
      </w:rPr>
    </w:lvl>
  </w:abstractNum>
  <w:abstractNum w:abstractNumId="33">
    <w:nsid w:val="781224B7"/>
    <w:multiLevelType w:val="hybridMultilevel"/>
    <w:tmpl w:val="00CCF5F2"/>
    <w:lvl w:ilvl="0" w:tplc="C22480FC">
      <w:start w:val="16"/>
      <w:numFmt w:val="decimal"/>
      <w:lvlText w:val="%1."/>
      <w:lvlJc w:val="left"/>
      <w:pPr>
        <w:tabs>
          <w:tab w:val="num" w:pos="2160"/>
        </w:tabs>
        <w:ind w:left="2160" w:hanging="720"/>
      </w:pPr>
      <w:rPr>
        <w:rFonts w:cs="Times New Roman" w:hint="default"/>
      </w:rPr>
    </w:lvl>
    <w:lvl w:ilvl="1" w:tplc="E9B097B6" w:tentative="1">
      <w:start w:val="1"/>
      <w:numFmt w:val="lowerLetter"/>
      <w:lvlText w:val="%2."/>
      <w:lvlJc w:val="left"/>
      <w:pPr>
        <w:tabs>
          <w:tab w:val="num" w:pos="2520"/>
        </w:tabs>
        <w:ind w:left="2520" w:hanging="360"/>
      </w:pPr>
      <w:rPr>
        <w:rFonts w:cs="Times New Roman"/>
      </w:rPr>
    </w:lvl>
    <w:lvl w:ilvl="2" w:tplc="B95A5CB2" w:tentative="1">
      <w:start w:val="1"/>
      <w:numFmt w:val="lowerRoman"/>
      <w:lvlText w:val="%3."/>
      <w:lvlJc w:val="right"/>
      <w:pPr>
        <w:tabs>
          <w:tab w:val="num" w:pos="3240"/>
        </w:tabs>
        <w:ind w:left="3240" w:hanging="180"/>
      </w:pPr>
      <w:rPr>
        <w:rFonts w:cs="Times New Roman"/>
      </w:rPr>
    </w:lvl>
    <w:lvl w:ilvl="3" w:tplc="88C2F2F4" w:tentative="1">
      <w:start w:val="1"/>
      <w:numFmt w:val="decimal"/>
      <w:lvlText w:val="%4."/>
      <w:lvlJc w:val="left"/>
      <w:pPr>
        <w:tabs>
          <w:tab w:val="num" w:pos="3960"/>
        </w:tabs>
        <w:ind w:left="3960" w:hanging="360"/>
      </w:pPr>
      <w:rPr>
        <w:rFonts w:cs="Times New Roman"/>
      </w:rPr>
    </w:lvl>
    <w:lvl w:ilvl="4" w:tplc="3B522D5A" w:tentative="1">
      <w:start w:val="1"/>
      <w:numFmt w:val="lowerLetter"/>
      <w:lvlText w:val="%5."/>
      <w:lvlJc w:val="left"/>
      <w:pPr>
        <w:tabs>
          <w:tab w:val="num" w:pos="4680"/>
        </w:tabs>
        <w:ind w:left="4680" w:hanging="360"/>
      </w:pPr>
      <w:rPr>
        <w:rFonts w:cs="Times New Roman"/>
      </w:rPr>
    </w:lvl>
    <w:lvl w:ilvl="5" w:tplc="58C01DFC" w:tentative="1">
      <w:start w:val="1"/>
      <w:numFmt w:val="lowerRoman"/>
      <w:lvlText w:val="%6."/>
      <w:lvlJc w:val="right"/>
      <w:pPr>
        <w:tabs>
          <w:tab w:val="num" w:pos="5400"/>
        </w:tabs>
        <w:ind w:left="5400" w:hanging="180"/>
      </w:pPr>
      <w:rPr>
        <w:rFonts w:cs="Times New Roman"/>
      </w:rPr>
    </w:lvl>
    <w:lvl w:ilvl="6" w:tplc="94C48C20" w:tentative="1">
      <w:start w:val="1"/>
      <w:numFmt w:val="decimal"/>
      <w:lvlText w:val="%7."/>
      <w:lvlJc w:val="left"/>
      <w:pPr>
        <w:tabs>
          <w:tab w:val="num" w:pos="6120"/>
        </w:tabs>
        <w:ind w:left="6120" w:hanging="360"/>
      </w:pPr>
      <w:rPr>
        <w:rFonts w:cs="Times New Roman"/>
      </w:rPr>
    </w:lvl>
    <w:lvl w:ilvl="7" w:tplc="3E800468" w:tentative="1">
      <w:start w:val="1"/>
      <w:numFmt w:val="lowerLetter"/>
      <w:lvlText w:val="%8."/>
      <w:lvlJc w:val="left"/>
      <w:pPr>
        <w:tabs>
          <w:tab w:val="num" w:pos="6840"/>
        </w:tabs>
        <w:ind w:left="6840" w:hanging="360"/>
      </w:pPr>
      <w:rPr>
        <w:rFonts w:cs="Times New Roman"/>
      </w:rPr>
    </w:lvl>
    <w:lvl w:ilvl="8" w:tplc="5352CA68" w:tentative="1">
      <w:start w:val="1"/>
      <w:numFmt w:val="lowerRoman"/>
      <w:lvlText w:val="%9."/>
      <w:lvlJc w:val="right"/>
      <w:pPr>
        <w:tabs>
          <w:tab w:val="num" w:pos="7560"/>
        </w:tabs>
        <w:ind w:left="756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9"/>
  </w:num>
  <w:num w:numId="13">
    <w:abstractNumId w:val="7"/>
  </w:num>
  <w:num w:numId="14">
    <w:abstractNumId w:val="6"/>
  </w:num>
  <w:num w:numId="15">
    <w:abstractNumId w:val="5"/>
  </w:num>
  <w:num w:numId="16">
    <w:abstractNumId w:val="8"/>
  </w:num>
  <w:num w:numId="17">
    <w:abstractNumId w:val="3"/>
  </w:num>
  <w:num w:numId="18">
    <w:abstractNumId w:val="2"/>
  </w:num>
  <w:num w:numId="19">
    <w:abstractNumId w:val="4"/>
  </w:num>
  <w:num w:numId="20">
    <w:abstractNumId w:val="1"/>
  </w:num>
  <w:num w:numId="21">
    <w:abstractNumId w:val="0"/>
  </w:num>
  <w:num w:numId="22">
    <w:abstractNumId w:val="29"/>
  </w:num>
  <w:num w:numId="23">
    <w:abstractNumId w:val="22"/>
  </w:num>
  <w:num w:numId="24">
    <w:abstractNumId w:val="30"/>
  </w:num>
  <w:num w:numId="25">
    <w:abstractNumId w:val="14"/>
  </w:num>
  <w:num w:numId="26">
    <w:abstractNumId w:val="13"/>
  </w:num>
  <w:num w:numId="27">
    <w:abstractNumId w:val="10"/>
  </w:num>
  <w:num w:numId="28">
    <w:abstractNumId w:val="17"/>
  </w:num>
  <w:num w:numId="29">
    <w:abstractNumId w:val="18"/>
  </w:num>
  <w:num w:numId="30">
    <w:abstractNumId w:val="21"/>
  </w:num>
  <w:num w:numId="31">
    <w:abstractNumId w:val="32"/>
  </w:num>
  <w:num w:numId="32">
    <w:abstractNumId w:val="27"/>
  </w:num>
  <w:num w:numId="33">
    <w:abstractNumId w:val="25"/>
  </w:num>
  <w:num w:numId="34">
    <w:abstractNumId w:val="16"/>
  </w:num>
  <w:num w:numId="35">
    <w:abstractNumId w:val="11"/>
  </w:num>
  <w:num w:numId="36">
    <w:abstractNumId w:val="33"/>
  </w:num>
  <w:num w:numId="37">
    <w:abstractNumId w:val="26"/>
  </w:num>
  <w:num w:numId="38">
    <w:abstractNumId w:val="24"/>
  </w:num>
  <w:num w:numId="39">
    <w:abstractNumId w:val="20"/>
  </w:num>
  <w:num w:numId="40">
    <w:abstractNumId w:val="23"/>
  </w:num>
  <w:num w:numId="41">
    <w:abstractNumId w:val="19"/>
  </w:num>
  <w:num w:numId="42">
    <w:abstractNumId w:val="31"/>
  </w:num>
  <w:num w:numId="43">
    <w:abstractNumId w:val="28"/>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stylePaneFormatFilter w:val="3F01"/>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HasProfile" w:val="True"/>
  </w:docVars>
  <w:rsids>
    <w:rsidRoot w:val="001F5B77"/>
    <w:rsid w:val="001F5B77"/>
    <w:rsid w:val="00FA3D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B77"/>
    <w:rPr>
      <w:sz w:val="24"/>
    </w:rPr>
  </w:style>
  <w:style w:type="paragraph" w:styleId="Heading1">
    <w:name w:val="heading 1"/>
    <w:basedOn w:val="Normal"/>
    <w:next w:val="BodyText"/>
    <w:link w:val="Heading1Char"/>
    <w:uiPriority w:val="9"/>
    <w:qFormat/>
    <w:rsid w:val="001F5B77"/>
    <w:pPr>
      <w:numPr>
        <w:numId w:val="22"/>
      </w:numPr>
      <w:tabs>
        <w:tab w:val="clear" w:pos="720"/>
      </w:tabs>
      <w:spacing w:after="120"/>
      <w:ind w:left="720"/>
      <w:outlineLvl w:val="0"/>
    </w:pPr>
    <w:rPr>
      <w:kern w:val="28"/>
    </w:rPr>
  </w:style>
  <w:style w:type="paragraph" w:styleId="Heading2">
    <w:name w:val="heading 2"/>
    <w:basedOn w:val="Normal"/>
    <w:next w:val="Normal"/>
    <w:link w:val="Heading2Char"/>
    <w:uiPriority w:val="9"/>
    <w:qFormat/>
    <w:rsid w:val="001F5B77"/>
    <w:pPr>
      <w:numPr>
        <w:ilvl w:val="1"/>
        <w:numId w:val="22"/>
      </w:numPr>
      <w:tabs>
        <w:tab w:val="clear" w:pos="1080"/>
        <w:tab w:val="left" w:pos="1440"/>
      </w:tabs>
      <w:spacing w:after="120"/>
      <w:ind w:left="1440"/>
      <w:outlineLvl w:val="1"/>
    </w:pPr>
  </w:style>
  <w:style w:type="paragraph" w:styleId="Heading3">
    <w:name w:val="heading 3"/>
    <w:basedOn w:val="Normal"/>
    <w:next w:val="Normal"/>
    <w:link w:val="Heading3Char"/>
    <w:uiPriority w:val="9"/>
    <w:qFormat/>
    <w:rsid w:val="001F5B77"/>
    <w:pPr>
      <w:numPr>
        <w:ilvl w:val="2"/>
        <w:numId w:val="22"/>
      </w:numPr>
      <w:tabs>
        <w:tab w:val="clear" w:pos="1800"/>
        <w:tab w:val="left" w:pos="2160"/>
      </w:tabs>
      <w:spacing w:after="120"/>
      <w:ind w:left="2160"/>
      <w:outlineLvl w:val="2"/>
    </w:pPr>
  </w:style>
  <w:style w:type="paragraph" w:styleId="Heading4">
    <w:name w:val="heading 4"/>
    <w:basedOn w:val="Normal"/>
    <w:next w:val="Normal"/>
    <w:link w:val="Heading4Char"/>
    <w:uiPriority w:val="9"/>
    <w:qFormat/>
    <w:rsid w:val="001F5B77"/>
    <w:pPr>
      <w:numPr>
        <w:ilvl w:val="3"/>
        <w:numId w:val="22"/>
      </w:numPr>
      <w:tabs>
        <w:tab w:val="clear" w:pos="2520"/>
        <w:tab w:val="left" w:pos="2880"/>
      </w:tabs>
      <w:spacing w:after="120"/>
      <w:ind w:left="2880"/>
      <w:outlineLvl w:val="3"/>
    </w:pPr>
  </w:style>
  <w:style w:type="paragraph" w:styleId="Heading5">
    <w:name w:val="heading 5"/>
    <w:basedOn w:val="Normal"/>
    <w:next w:val="Normal"/>
    <w:link w:val="Heading5Char"/>
    <w:uiPriority w:val="9"/>
    <w:qFormat/>
    <w:rsid w:val="001F5B77"/>
    <w:pPr>
      <w:numPr>
        <w:ilvl w:val="4"/>
        <w:numId w:val="22"/>
      </w:numPr>
      <w:tabs>
        <w:tab w:val="left" w:pos="3600"/>
      </w:tabs>
      <w:spacing w:after="120"/>
      <w:ind w:left="3600"/>
      <w:outlineLvl w:val="4"/>
    </w:pPr>
  </w:style>
  <w:style w:type="paragraph" w:styleId="Heading6">
    <w:name w:val="heading 6"/>
    <w:basedOn w:val="Normal"/>
    <w:next w:val="Normal"/>
    <w:link w:val="Heading6Char"/>
    <w:uiPriority w:val="9"/>
    <w:qFormat/>
    <w:rsid w:val="001F5B77"/>
    <w:pPr>
      <w:numPr>
        <w:ilvl w:val="5"/>
        <w:numId w:val="22"/>
      </w:numPr>
      <w:tabs>
        <w:tab w:val="clear" w:pos="3960"/>
      </w:tabs>
      <w:spacing w:after="120"/>
      <w:ind w:left="4320"/>
      <w:outlineLvl w:val="5"/>
    </w:pPr>
  </w:style>
  <w:style w:type="paragraph" w:styleId="Heading7">
    <w:name w:val="heading 7"/>
    <w:basedOn w:val="Normal"/>
    <w:next w:val="Normal"/>
    <w:link w:val="Heading7Char"/>
    <w:uiPriority w:val="9"/>
    <w:qFormat/>
    <w:rsid w:val="001F5B77"/>
    <w:pPr>
      <w:numPr>
        <w:ilvl w:val="6"/>
        <w:numId w:val="22"/>
      </w:numPr>
      <w:tabs>
        <w:tab w:val="left" w:pos="5040"/>
      </w:tabs>
      <w:spacing w:after="120"/>
      <w:ind w:left="5040"/>
      <w:outlineLvl w:val="6"/>
    </w:pPr>
  </w:style>
  <w:style w:type="paragraph" w:styleId="Heading8">
    <w:name w:val="heading 8"/>
    <w:basedOn w:val="Normal"/>
    <w:next w:val="Normal"/>
    <w:link w:val="Heading8Char"/>
    <w:uiPriority w:val="9"/>
    <w:qFormat/>
    <w:rsid w:val="001F5B77"/>
    <w:pPr>
      <w:numPr>
        <w:ilvl w:val="7"/>
        <w:numId w:val="22"/>
      </w:numPr>
      <w:tabs>
        <w:tab w:val="clear" w:pos="5400"/>
      </w:tabs>
      <w:spacing w:after="120"/>
      <w:ind w:left="5760"/>
      <w:outlineLvl w:val="7"/>
    </w:pPr>
  </w:style>
  <w:style w:type="paragraph" w:styleId="Heading9">
    <w:name w:val="heading 9"/>
    <w:basedOn w:val="Normal"/>
    <w:next w:val="Normal"/>
    <w:link w:val="Heading9Char"/>
    <w:uiPriority w:val="9"/>
    <w:qFormat/>
    <w:rsid w:val="001F5B77"/>
    <w:pPr>
      <w:numPr>
        <w:ilvl w:val="8"/>
        <w:numId w:val="22"/>
      </w:numPr>
      <w:tabs>
        <w:tab w:val="clear" w:pos="6120"/>
        <w:tab w:val="left" w:pos="6480"/>
      </w:tabs>
      <w:spacing w:after="120"/>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77"/>
    <w:rPr>
      <w:kern w:val="28"/>
      <w:sz w:val="24"/>
    </w:rPr>
  </w:style>
  <w:style w:type="character" w:customStyle="1" w:styleId="Heading2Char">
    <w:name w:val="Heading 2 Char"/>
    <w:basedOn w:val="DefaultParagraphFont"/>
    <w:link w:val="Heading2"/>
    <w:uiPriority w:val="9"/>
    <w:rsid w:val="001F5B77"/>
    <w:rPr>
      <w:sz w:val="24"/>
    </w:rPr>
  </w:style>
  <w:style w:type="character" w:customStyle="1" w:styleId="Heading3Char">
    <w:name w:val="Heading 3 Char"/>
    <w:basedOn w:val="DefaultParagraphFont"/>
    <w:link w:val="Heading3"/>
    <w:uiPriority w:val="9"/>
    <w:rsid w:val="001F5B77"/>
    <w:rPr>
      <w:sz w:val="24"/>
    </w:rPr>
  </w:style>
  <w:style w:type="character" w:customStyle="1" w:styleId="Heading4Char">
    <w:name w:val="Heading 4 Char"/>
    <w:basedOn w:val="DefaultParagraphFont"/>
    <w:link w:val="Heading4"/>
    <w:uiPriority w:val="9"/>
    <w:rsid w:val="001F5B77"/>
    <w:rPr>
      <w:sz w:val="24"/>
    </w:rPr>
  </w:style>
  <w:style w:type="character" w:customStyle="1" w:styleId="Heading5Char">
    <w:name w:val="Heading 5 Char"/>
    <w:basedOn w:val="DefaultParagraphFont"/>
    <w:link w:val="Heading5"/>
    <w:uiPriority w:val="9"/>
    <w:rsid w:val="001F5B77"/>
    <w:rPr>
      <w:sz w:val="24"/>
    </w:rPr>
  </w:style>
  <w:style w:type="character" w:customStyle="1" w:styleId="Heading6Char">
    <w:name w:val="Heading 6 Char"/>
    <w:basedOn w:val="DefaultParagraphFont"/>
    <w:link w:val="Heading6"/>
    <w:uiPriority w:val="9"/>
    <w:rsid w:val="001F5B77"/>
    <w:rPr>
      <w:sz w:val="24"/>
    </w:rPr>
  </w:style>
  <w:style w:type="character" w:customStyle="1" w:styleId="Heading7Char">
    <w:name w:val="Heading 7 Char"/>
    <w:basedOn w:val="DefaultParagraphFont"/>
    <w:link w:val="Heading7"/>
    <w:uiPriority w:val="9"/>
    <w:rsid w:val="001F5B77"/>
    <w:rPr>
      <w:sz w:val="24"/>
    </w:rPr>
  </w:style>
  <w:style w:type="character" w:customStyle="1" w:styleId="Heading8Char">
    <w:name w:val="Heading 8 Char"/>
    <w:basedOn w:val="DefaultParagraphFont"/>
    <w:link w:val="Heading8"/>
    <w:uiPriority w:val="9"/>
    <w:rsid w:val="001F5B77"/>
    <w:rPr>
      <w:sz w:val="24"/>
    </w:rPr>
  </w:style>
  <w:style w:type="character" w:customStyle="1" w:styleId="Heading9Char">
    <w:name w:val="Heading 9 Char"/>
    <w:basedOn w:val="DefaultParagraphFont"/>
    <w:link w:val="Heading9"/>
    <w:uiPriority w:val="9"/>
    <w:rsid w:val="001F5B77"/>
    <w:rPr>
      <w:sz w:val="24"/>
    </w:rPr>
  </w:style>
  <w:style w:type="paragraph" w:styleId="BodyText">
    <w:name w:val="Body Text"/>
    <w:basedOn w:val="Normal"/>
    <w:link w:val="BodyTextChar"/>
    <w:uiPriority w:val="99"/>
    <w:rsid w:val="001F5B77"/>
    <w:pPr>
      <w:jc w:val="both"/>
    </w:pPr>
  </w:style>
  <w:style w:type="character" w:customStyle="1" w:styleId="BodyTextChar">
    <w:name w:val="Body Text Char"/>
    <w:basedOn w:val="DefaultParagraphFont"/>
    <w:link w:val="BodyText"/>
    <w:uiPriority w:val="99"/>
    <w:semiHidden/>
    <w:rsid w:val="001F5B77"/>
    <w:rPr>
      <w:sz w:val="24"/>
    </w:rPr>
  </w:style>
  <w:style w:type="paragraph" w:styleId="Title">
    <w:name w:val="Title"/>
    <w:basedOn w:val="Normal"/>
    <w:link w:val="TitleChar"/>
    <w:uiPriority w:val="10"/>
    <w:qFormat/>
    <w:rsid w:val="001F5B77"/>
    <w:pPr>
      <w:keepNext/>
      <w:keepLines/>
      <w:spacing w:before="240" w:after="480"/>
      <w:jc w:val="center"/>
      <w:outlineLvl w:val="0"/>
    </w:pPr>
    <w:rPr>
      <w:b/>
      <w:spacing w:val="20"/>
      <w:kern w:val="28"/>
      <w:u w:val="single"/>
    </w:rPr>
  </w:style>
  <w:style w:type="character" w:customStyle="1" w:styleId="TitleChar">
    <w:name w:val="Title Char"/>
    <w:basedOn w:val="DefaultParagraphFont"/>
    <w:link w:val="Title"/>
    <w:uiPriority w:val="10"/>
    <w:rsid w:val="001F5B77"/>
    <w:rPr>
      <w:rFonts w:asciiTheme="majorHAnsi" w:eastAsiaTheme="majorEastAsia" w:hAnsiTheme="majorHAnsi" w:cstheme="majorBidi"/>
      <w:b/>
      <w:bCs/>
      <w:kern w:val="28"/>
      <w:sz w:val="32"/>
      <w:szCs w:val="32"/>
    </w:rPr>
  </w:style>
  <w:style w:type="paragraph" w:customStyle="1" w:styleId="MemoHeadings">
    <w:name w:val="Memo Headings"/>
    <w:basedOn w:val="Normal"/>
    <w:rsid w:val="001F5B77"/>
    <w:pP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customStyle="1" w:styleId="MemoHeadingLast">
    <w:name w:val="Memo Heading Last"/>
    <w:basedOn w:val="Normal"/>
    <w:next w:val="BodyText"/>
    <w:rsid w:val="001F5B77"/>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styleId="Header">
    <w:name w:val="header"/>
    <w:basedOn w:val="Normal"/>
    <w:link w:val="HeaderChar"/>
    <w:uiPriority w:val="99"/>
    <w:rsid w:val="001F5B77"/>
    <w:pPr>
      <w:tabs>
        <w:tab w:val="center" w:pos="4320"/>
        <w:tab w:val="right" w:pos="8640"/>
      </w:tabs>
    </w:pPr>
  </w:style>
  <w:style w:type="character" w:customStyle="1" w:styleId="HeaderChar">
    <w:name w:val="Header Char"/>
    <w:basedOn w:val="DefaultParagraphFont"/>
    <w:link w:val="Header"/>
    <w:uiPriority w:val="99"/>
    <w:semiHidden/>
    <w:rsid w:val="001F5B77"/>
    <w:rPr>
      <w:sz w:val="24"/>
    </w:rPr>
  </w:style>
  <w:style w:type="paragraph" w:styleId="Footer">
    <w:name w:val="footer"/>
    <w:basedOn w:val="Normal"/>
    <w:link w:val="FooterChar"/>
    <w:uiPriority w:val="99"/>
    <w:rsid w:val="001F5B77"/>
    <w:pPr>
      <w:tabs>
        <w:tab w:val="center" w:pos="4320"/>
        <w:tab w:val="right" w:pos="8640"/>
      </w:tabs>
    </w:pPr>
    <w:rPr>
      <w:sz w:val="16"/>
    </w:rPr>
  </w:style>
  <w:style w:type="character" w:customStyle="1" w:styleId="FooterChar">
    <w:name w:val="Footer Char"/>
    <w:basedOn w:val="DefaultParagraphFont"/>
    <w:link w:val="Footer"/>
    <w:uiPriority w:val="99"/>
    <w:locked/>
    <w:rsid w:val="00D91842"/>
    <w:rPr>
      <w:sz w:val="16"/>
    </w:rPr>
  </w:style>
  <w:style w:type="character" w:styleId="PageNumber">
    <w:name w:val="page number"/>
    <w:basedOn w:val="DefaultParagraphFont"/>
    <w:uiPriority w:val="99"/>
    <w:rsid w:val="001F5B77"/>
    <w:rPr>
      <w:sz w:val="24"/>
    </w:rPr>
  </w:style>
  <w:style w:type="character" w:styleId="CommentReference">
    <w:name w:val="annotation reference"/>
    <w:basedOn w:val="DefaultParagraphFont"/>
    <w:uiPriority w:val="99"/>
    <w:semiHidden/>
    <w:rsid w:val="001F5B77"/>
    <w:rPr>
      <w:sz w:val="16"/>
    </w:rPr>
  </w:style>
  <w:style w:type="paragraph" w:styleId="CommentText">
    <w:name w:val="annotation text"/>
    <w:basedOn w:val="Normal"/>
    <w:link w:val="CommentTextChar"/>
    <w:uiPriority w:val="99"/>
    <w:semiHidden/>
    <w:rsid w:val="001F5B77"/>
    <w:rPr>
      <w:sz w:val="20"/>
    </w:rPr>
  </w:style>
  <w:style w:type="character" w:customStyle="1" w:styleId="CommentTextChar">
    <w:name w:val="Comment Text Char"/>
    <w:basedOn w:val="DefaultParagraphFont"/>
    <w:link w:val="CommentText"/>
    <w:uiPriority w:val="99"/>
    <w:semiHidden/>
    <w:rsid w:val="001F5B77"/>
  </w:style>
  <w:style w:type="paragraph" w:styleId="BlockText">
    <w:name w:val="Block Text"/>
    <w:basedOn w:val="Normal"/>
    <w:uiPriority w:val="99"/>
    <w:rsid w:val="001F5B77"/>
    <w:pPr>
      <w:spacing w:after="120"/>
      <w:ind w:left="1440" w:right="1440"/>
    </w:pPr>
  </w:style>
  <w:style w:type="paragraph" w:styleId="EnvelopeAddress">
    <w:name w:val="envelope address"/>
    <w:basedOn w:val="Normal"/>
    <w:uiPriority w:val="99"/>
    <w:rsid w:val="001F5B77"/>
    <w:pPr>
      <w:framePr w:w="7920" w:h="1980" w:hRule="exact" w:hSpace="180" w:wrap="auto" w:hAnchor="page" w:xAlign="center" w:yAlign="bottom"/>
      <w:ind w:left="2880"/>
    </w:pPr>
  </w:style>
  <w:style w:type="paragraph" w:styleId="EnvelopeReturn">
    <w:name w:val="envelope return"/>
    <w:basedOn w:val="Normal"/>
    <w:uiPriority w:val="99"/>
    <w:rsid w:val="001F5B77"/>
    <w:rPr>
      <w:sz w:val="20"/>
    </w:rPr>
  </w:style>
  <w:style w:type="character" w:styleId="FollowedHyperlink">
    <w:name w:val="FollowedHyperlink"/>
    <w:basedOn w:val="DefaultParagraphFont"/>
    <w:uiPriority w:val="99"/>
    <w:rsid w:val="001F5B77"/>
    <w:rPr>
      <w:color w:val="800080"/>
      <w:u w:val="none"/>
    </w:rPr>
  </w:style>
  <w:style w:type="character" w:styleId="Hyperlink">
    <w:name w:val="Hyperlink"/>
    <w:basedOn w:val="DefaultParagraphFont"/>
    <w:uiPriority w:val="99"/>
    <w:rsid w:val="001F5B77"/>
    <w:rPr>
      <w:color w:val="0000FF"/>
      <w:u w:val="none"/>
    </w:rPr>
  </w:style>
  <w:style w:type="paragraph" w:styleId="Index1">
    <w:name w:val="index 1"/>
    <w:basedOn w:val="Normal"/>
    <w:next w:val="Normal"/>
    <w:uiPriority w:val="99"/>
    <w:semiHidden/>
    <w:rsid w:val="001F5B77"/>
    <w:pPr>
      <w:ind w:left="240" w:hanging="240"/>
    </w:pPr>
  </w:style>
  <w:style w:type="paragraph" w:styleId="IndexHeading">
    <w:name w:val="index heading"/>
    <w:basedOn w:val="Normal"/>
    <w:next w:val="Index1"/>
    <w:uiPriority w:val="99"/>
    <w:semiHidden/>
    <w:rsid w:val="001F5B77"/>
    <w:rPr>
      <w:b/>
    </w:rPr>
  </w:style>
  <w:style w:type="paragraph" w:styleId="TOAHeading">
    <w:name w:val="toa heading"/>
    <w:basedOn w:val="Normal"/>
    <w:next w:val="Normal"/>
    <w:uiPriority w:val="99"/>
    <w:semiHidden/>
    <w:rsid w:val="001F5B77"/>
    <w:pPr>
      <w:spacing w:before="120"/>
    </w:pPr>
    <w:rPr>
      <w:b/>
    </w:rPr>
  </w:style>
  <w:style w:type="paragraph" w:styleId="TOC2">
    <w:name w:val="toc 2"/>
    <w:basedOn w:val="Normal"/>
    <w:next w:val="Normal"/>
    <w:uiPriority w:val="39"/>
    <w:semiHidden/>
    <w:rsid w:val="001F5B77"/>
    <w:pPr>
      <w:ind w:left="240"/>
    </w:pPr>
  </w:style>
  <w:style w:type="character" w:customStyle="1" w:styleId="IDSmall">
    <w:name w:val="IDSmall"/>
    <w:rsid w:val="001F5B77"/>
    <w:rPr>
      <w:rFonts w:ascii="Times New Roman" w:hAnsi="Times New Roman"/>
      <w:sz w:val="16"/>
    </w:rPr>
  </w:style>
  <w:style w:type="paragraph" w:styleId="BodyText2">
    <w:name w:val="Body Text 2"/>
    <w:basedOn w:val="Normal"/>
    <w:link w:val="BodyText2Char"/>
    <w:uiPriority w:val="99"/>
    <w:rsid w:val="001F5B77"/>
    <w:pPr>
      <w:spacing w:after="120" w:line="480" w:lineRule="auto"/>
    </w:pPr>
  </w:style>
  <w:style w:type="character" w:customStyle="1" w:styleId="BodyText2Char">
    <w:name w:val="Body Text 2 Char"/>
    <w:basedOn w:val="DefaultParagraphFont"/>
    <w:link w:val="BodyText2"/>
    <w:uiPriority w:val="99"/>
    <w:semiHidden/>
    <w:rsid w:val="001F5B77"/>
    <w:rPr>
      <w:sz w:val="24"/>
    </w:rPr>
  </w:style>
  <w:style w:type="paragraph" w:styleId="BodyText3">
    <w:name w:val="Body Text 3"/>
    <w:basedOn w:val="Normal"/>
    <w:link w:val="BodyText3Char"/>
    <w:uiPriority w:val="99"/>
    <w:rsid w:val="001F5B77"/>
    <w:pPr>
      <w:spacing w:after="120"/>
    </w:pPr>
    <w:rPr>
      <w:sz w:val="16"/>
    </w:rPr>
  </w:style>
  <w:style w:type="character" w:customStyle="1" w:styleId="BodyText3Char">
    <w:name w:val="Body Text 3 Char"/>
    <w:basedOn w:val="DefaultParagraphFont"/>
    <w:link w:val="BodyText3"/>
    <w:uiPriority w:val="99"/>
    <w:semiHidden/>
    <w:rsid w:val="001F5B77"/>
    <w:rPr>
      <w:sz w:val="16"/>
      <w:szCs w:val="16"/>
    </w:rPr>
  </w:style>
  <w:style w:type="paragraph" w:styleId="BodyTextFirstIndent">
    <w:name w:val="Body Text First Indent"/>
    <w:basedOn w:val="BodyText"/>
    <w:link w:val="BodyTextFirstIndentChar"/>
    <w:uiPriority w:val="99"/>
    <w:rsid w:val="001F5B77"/>
    <w:pPr>
      <w:spacing w:after="240"/>
      <w:ind w:firstLine="720"/>
    </w:pPr>
  </w:style>
  <w:style w:type="character" w:customStyle="1" w:styleId="BodyTextFirstIndentChar">
    <w:name w:val="Body Text First Indent Char"/>
    <w:basedOn w:val="BodyTextChar"/>
    <w:link w:val="BodyTextFirstIndent"/>
    <w:uiPriority w:val="99"/>
    <w:semiHidden/>
    <w:rsid w:val="001F5B77"/>
  </w:style>
  <w:style w:type="paragraph" w:styleId="BodyTextIndent">
    <w:name w:val="Body Text Indent"/>
    <w:basedOn w:val="Normal"/>
    <w:link w:val="BodyTextIndentChar"/>
    <w:uiPriority w:val="99"/>
    <w:rsid w:val="001F5B77"/>
    <w:pPr>
      <w:spacing w:after="240"/>
      <w:ind w:left="720"/>
      <w:jc w:val="both"/>
    </w:pPr>
  </w:style>
  <w:style w:type="character" w:customStyle="1" w:styleId="BodyTextIndentChar">
    <w:name w:val="Body Text Indent Char"/>
    <w:basedOn w:val="DefaultParagraphFont"/>
    <w:link w:val="BodyTextIndent"/>
    <w:uiPriority w:val="99"/>
    <w:semiHidden/>
    <w:rsid w:val="001F5B77"/>
    <w:rPr>
      <w:sz w:val="24"/>
    </w:rPr>
  </w:style>
  <w:style w:type="paragraph" w:styleId="BodyTextFirstIndent2">
    <w:name w:val="Body Text First Indent 2"/>
    <w:basedOn w:val="BodyTextIndent"/>
    <w:link w:val="BodyTextFirstIndent2Char"/>
    <w:uiPriority w:val="99"/>
    <w:rsid w:val="001F5B77"/>
    <w:pPr>
      <w:ind w:firstLine="720"/>
    </w:pPr>
  </w:style>
  <w:style w:type="character" w:customStyle="1" w:styleId="BodyTextFirstIndent2Char">
    <w:name w:val="Body Text First Indent 2 Char"/>
    <w:basedOn w:val="BodyTextIndentChar"/>
    <w:link w:val="BodyTextFirstIndent2"/>
    <w:uiPriority w:val="99"/>
    <w:semiHidden/>
    <w:rsid w:val="001F5B77"/>
  </w:style>
  <w:style w:type="paragraph" w:styleId="BodyTextIndent2">
    <w:name w:val="Body Text Indent 2"/>
    <w:basedOn w:val="Normal"/>
    <w:link w:val="BodyTextIndent2Char"/>
    <w:uiPriority w:val="99"/>
    <w:rsid w:val="001F5B77"/>
    <w:pPr>
      <w:spacing w:after="240" w:line="480" w:lineRule="auto"/>
      <w:ind w:left="720"/>
      <w:jc w:val="both"/>
    </w:pPr>
  </w:style>
  <w:style w:type="character" w:customStyle="1" w:styleId="BodyTextIndent2Char">
    <w:name w:val="Body Text Indent 2 Char"/>
    <w:basedOn w:val="DefaultParagraphFont"/>
    <w:link w:val="BodyTextIndent2"/>
    <w:uiPriority w:val="99"/>
    <w:semiHidden/>
    <w:rsid w:val="001F5B77"/>
    <w:rPr>
      <w:sz w:val="24"/>
    </w:rPr>
  </w:style>
  <w:style w:type="paragraph" w:styleId="BodyTextIndent3">
    <w:name w:val="Body Text Indent 3"/>
    <w:basedOn w:val="Normal"/>
    <w:link w:val="BodyTextIndent3Char"/>
    <w:uiPriority w:val="99"/>
    <w:rsid w:val="001F5B77"/>
    <w:pPr>
      <w:spacing w:after="120"/>
      <w:ind w:left="360"/>
    </w:pPr>
    <w:rPr>
      <w:sz w:val="16"/>
    </w:rPr>
  </w:style>
  <w:style w:type="character" w:customStyle="1" w:styleId="BodyTextIndent3Char">
    <w:name w:val="Body Text Indent 3 Char"/>
    <w:basedOn w:val="DefaultParagraphFont"/>
    <w:link w:val="BodyTextIndent3"/>
    <w:uiPriority w:val="99"/>
    <w:semiHidden/>
    <w:rsid w:val="001F5B77"/>
    <w:rPr>
      <w:sz w:val="16"/>
      <w:szCs w:val="16"/>
    </w:rPr>
  </w:style>
  <w:style w:type="paragraph" w:styleId="Caption">
    <w:name w:val="caption"/>
    <w:basedOn w:val="Normal"/>
    <w:next w:val="Normal"/>
    <w:uiPriority w:val="35"/>
    <w:qFormat/>
    <w:rsid w:val="001F5B77"/>
    <w:pPr>
      <w:spacing w:before="120" w:after="120"/>
    </w:pPr>
    <w:rPr>
      <w:b/>
    </w:rPr>
  </w:style>
  <w:style w:type="paragraph" w:styleId="Closing">
    <w:name w:val="Closing"/>
    <w:basedOn w:val="Normal"/>
    <w:link w:val="ClosingChar"/>
    <w:uiPriority w:val="99"/>
    <w:rsid w:val="001F5B77"/>
    <w:pPr>
      <w:ind w:left="4320"/>
    </w:pPr>
  </w:style>
  <w:style w:type="character" w:customStyle="1" w:styleId="ClosingChar">
    <w:name w:val="Closing Char"/>
    <w:basedOn w:val="DefaultParagraphFont"/>
    <w:link w:val="Closing"/>
    <w:uiPriority w:val="99"/>
    <w:semiHidden/>
    <w:rsid w:val="001F5B77"/>
    <w:rPr>
      <w:sz w:val="24"/>
    </w:rPr>
  </w:style>
  <w:style w:type="paragraph" w:styleId="Date">
    <w:name w:val="Date"/>
    <w:basedOn w:val="Normal"/>
    <w:next w:val="Normal"/>
    <w:link w:val="DateChar"/>
    <w:uiPriority w:val="99"/>
    <w:rsid w:val="001F5B77"/>
  </w:style>
  <w:style w:type="character" w:customStyle="1" w:styleId="DateChar">
    <w:name w:val="Date Char"/>
    <w:basedOn w:val="DefaultParagraphFont"/>
    <w:link w:val="Date"/>
    <w:uiPriority w:val="99"/>
    <w:semiHidden/>
    <w:rsid w:val="001F5B77"/>
    <w:rPr>
      <w:sz w:val="24"/>
    </w:rPr>
  </w:style>
  <w:style w:type="paragraph" w:styleId="DocumentMap">
    <w:name w:val="Document Map"/>
    <w:basedOn w:val="Normal"/>
    <w:link w:val="DocumentMapChar"/>
    <w:uiPriority w:val="99"/>
    <w:semiHidden/>
    <w:rsid w:val="001F5B7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F5B77"/>
    <w:rPr>
      <w:rFonts w:ascii="Tahoma" w:hAnsi="Tahoma" w:cs="Tahoma"/>
      <w:sz w:val="16"/>
      <w:szCs w:val="16"/>
    </w:rPr>
  </w:style>
  <w:style w:type="paragraph" w:styleId="EndnoteText">
    <w:name w:val="endnote text"/>
    <w:basedOn w:val="Normal"/>
    <w:link w:val="EndnoteTextChar"/>
    <w:uiPriority w:val="99"/>
    <w:semiHidden/>
    <w:rsid w:val="001F5B77"/>
    <w:rPr>
      <w:sz w:val="20"/>
    </w:rPr>
  </w:style>
  <w:style w:type="character" w:customStyle="1" w:styleId="EndnoteTextChar">
    <w:name w:val="Endnote Text Char"/>
    <w:basedOn w:val="DefaultParagraphFont"/>
    <w:link w:val="EndnoteText"/>
    <w:uiPriority w:val="99"/>
    <w:semiHidden/>
    <w:rsid w:val="001F5B77"/>
  </w:style>
  <w:style w:type="paragraph" w:styleId="FootnoteText">
    <w:name w:val="footnote text"/>
    <w:basedOn w:val="Normal"/>
    <w:link w:val="FootnoteTextChar"/>
    <w:uiPriority w:val="99"/>
    <w:semiHidden/>
    <w:rsid w:val="001F5B77"/>
    <w:rPr>
      <w:sz w:val="20"/>
    </w:rPr>
  </w:style>
  <w:style w:type="character" w:customStyle="1" w:styleId="FootnoteTextChar">
    <w:name w:val="Footnote Text Char"/>
    <w:basedOn w:val="DefaultParagraphFont"/>
    <w:link w:val="FootnoteText"/>
    <w:uiPriority w:val="99"/>
    <w:semiHidden/>
    <w:rsid w:val="001F5B77"/>
  </w:style>
  <w:style w:type="paragraph" w:styleId="Index2">
    <w:name w:val="index 2"/>
    <w:basedOn w:val="Normal"/>
    <w:next w:val="Normal"/>
    <w:uiPriority w:val="99"/>
    <w:semiHidden/>
    <w:rsid w:val="001F5B77"/>
    <w:pPr>
      <w:ind w:left="480" w:hanging="240"/>
    </w:pPr>
  </w:style>
  <w:style w:type="paragraph" w:styleId="Index3">
    <w:name w:val="index 3"/>
    <w:basedOn w:val="Normal"/>
    <w:next w:val="Normal"/>
    <w:uiPriority w:val="99"/>
    <w:semiHidden/>
    <w:rsid w:val="001F5B77"/>
    <w:pPr>
      <w:ind w:left="720" w:hanging="240"/>
    </w:pPr>
  </w:style>
  <w:style w:type="paragraph" w:styleId="Index4">
    <w:name w:val="index 4"/>
    <w:basedOn w:val="Normal"/>
    <w:next w:val="Normal"/>
    <w:uiPriority w:val="99"/>
    <w:semiHidden/>
    <w:rsid w:val="001F5B77"/>
    <w:pPr>
      <w:ind w:left="960" w:hanging="240"/>
    </w:pPr>
  </w:style>
  <w:style w:type="paragraph" w:styleId="Index5">
    <w:name w:val="index 5"/>
    <w:basedOn w:val="Normal"/>
    <w:next w:val="Normal"/>
    <w:uiPriority w:val="99"/>
    <w:semiHidden/>
    <w:rsid w:val="001F5B77"/>
    <w:pPr>
      <w:ind w:left="1200" w:hanging="240"/>
    </w:pPr>
  </w:style>
  <w:style w:type="paragraph" w:styleId="Index6">
    <w:name w:val="index 6"/>
    <w:basedOn w:val="Normal"/>
    <w:next w:val="Normal"/>
    <w:uiPriority w:val="99"/>
    <w:semiHidden/>
    <w:rsid w:val="001F5B77"/>
    <w:pPr>
      <w:ind w:left="1440" w:hanging="240"/>
    </w:pPr>
  </w:style>
  <w:style w:type="paragraph" w:styleId="Index7">
    <w:name w:val="index 7"/>
    <w:basedOn w:val="Normal"/>
    <w:next w:val="Normal"/>
    <w:uiPriority w:val="99"/>
    <w:semiHidden/>
    <w:rsid w:val="001F5B77"/>
    <w:pPr>
      <w:ind w:left="1680" w:hanging="240"/>
    </w:pPr>
  </w:style>
  <w:style w:type="paragraph" w:styleId="Index8">
    <w:name w:val="index 8"/>
    <w:basedOn w:val="Normal"/>
    <w:next w:val="Normal"/>
    <w:uiPriority w:val="99"/>
    <w:semiHidden/>
    <w:rsid w:val="001F5B77"/>
    <w:pPr>
      <w:ind w:left="1920" w:hanging="240"/>
    </w:pPr>
  </w:style>
  <w:style w:type="paragraph" w:styleId="Index9">
    <w:name w:val="index 9"/>
    <w:basedOn w:val="Normal"/>
    <w:next w:val="Normal"/>
    <w:uiPriority w:val="99"/>
    <w:semiHidden/>
    <w:rsid w:val="001F5B77"/>
    <w:pPr>
      <w:ind w:left="2160" w:hanging="240"/>
    </w:pPr>
  </w:style>
  <w:style w:type="paragraph" w:styleId="List">
    <w:name w:val="List"/>
    <w:basedOn w:val="Normal"/>
    <w:uiPriority w:val="99"/>
    <w:rsid w:val="001F5B77"/>
    <w:pPr>
      <w:ind w:left="360" w:hanging="360"/>
    </w:pPr>
  </w:style>
  <w:style w:type="paragraph" w:styleId="List2">
    <w:name w:val="List 2"/>
    <w:basedOn w:val="Normal"/>
    <w:uiPriority w:val="99"/>
    <w:rsid w:val="001F5B77"/>
    <w:pPr>
      <w:ind w:left="720" w:hanging="360"/>
    </w:pPr>
  </w:style>
  <w:style w:type="paragraph" w:styleId="List3">
    <w:name w:val="List 3"/>
    <w:basedOn w:val="Normal"/>
    <w:uiPriority w:val="99"/>
    <w:rsid w:val="001F5B77"/>
    <w:pPr>
      <w:ind w:left="1080" w:hanging="360"/>
    </w:pPr>
  </w:style>
  <w:style w:type="paragraph" w:styleId="List4">
    <w:name w:val="List 4"/>
    <w:basedOn w:val="Normal"/>
    <w:uiPriority w:val="99"/>
    <w:rsid w:val="001F5B77"/>
    <w:pPr>
      <w:ind w:left="1440" w:hanging="360"/>
    </w:pPr>
  </w:style>
  <w:style w:type="paragraph" w:styleId="List5">
    <w:name w:val="List 5"/>
    <w:basedOn w:val="Normal"/>
    <w:uiPriority w:val="99"/>
    <w:rsid w:val="001F5B77"/>
    <w:pPr>
      <w:ind w:left="1800" w:hanging="360"/>
    </w:pPr>
  </w:style>
  <w:style w:type="paragraph" w:styleId="ListBullet">
    <w:name w:val="List Bullet"/>
    <w:basedOn w:val="Normal"/>
    <w:uiPriority w:val="99"/>
    <w:rsid w:val="001F5B77"/>
    <w:pPr>
      <w:numPr>
        <w:numId w:val="12"/>
      </w:numPr>
    </w:pPr>
  </w:style>
  <w:style w:type="paragraph" w:styleId="ListBullet2">
    <w:name w:val="List Bullet 2"/>
    <w:basedOn w:val="Normal"/>
    <w:uiPriority w:val="99"/>
    <w:rsid w:val="001F5B77"/>
    <w:pPr>
      <w:numPr>
        <w:numId w:val="13"/>
      </w:numPr>
    </w:pPr>
  </w:style>
  <w:style w:type="paragraph" w:styleId="ListBullet3">
    <w:name w:val="List Bullet 3"/>
    <w:basedOn w:val="Normal"/>
    <w:uiPriority w:val="99"/>
    <w:rsid w:val="001F5B77"/>
    <w:pPr>
      <w:numPr>
        <w:numId w:val="14"/>
      </w:numPr>
    </w:pPr>
  </w:style>
  <w:style w:type="paragraph" w:styleId="ListBullet4">
    <w:name w:val="List Bullet 4"/>
    <w:basedOn w:val="Normal"/>
    <w:uiPriority w:val="99"/>
    <w:rsid w:val="001F5B77"/>
    <w:pPr>
      <w:numPr>
        <w:numId w:val="15"/>
      </w:numPr>
    </w:pPr>
  </w:style>
  <w:style w:type="paragraph" w:styleId="ListBullet5">
    <w:name w:val="List Bullet 5"/>
    <w:basedOn w:val="Normal"/>
    <w:uiPriority w:val="99"/>
    <w:rsid w:val="001F5B77"/>
    <w:pPr>
      <w:numPr>
        <w:numId w:val="19"/>
      </w:numPr>
    </w:pPr>
  </w:style>
  <w:style w:type="paragraph" w:styleId="ListContinue">
    <w:name w:val="List Continue"/>
    <w:basedOn w:val="Normal"/>
    <w:uiPriority w:val="99"/>
    <w:rsid w:val="001F5B77"/>
    <w:pPr>
      <w:spacing w:after="120"/>
      <w:ind w:left="360"/>
    </w:pPr>
  </w:style>
  <w:style w:type="paragraph" w:styleId="ListContinue2">
    <w:name w:val="List Continue 2"/>
    <w:basedOn w:val="Normal"/>
    <w:uiPriority w:val="99"/>
    <w:rsid w:val="001F5B77"/>
    <w:pPr>
      <w:spacing w:after="120"/>
      <w:ind w:left="720"/>
    </w:pPr>
  </w:style>
  <w:style w:type="paragraph" w:styleId="ListContinue3">
    <w:name w:val="List Continue 3"/>
    <w:basedOn w:val="Normal"/>
    <w:uiPriority w:val="99"/>
    <w:rsid w:val="001F5B77"/>
    <w:pPr>
      <w:spacing w:after="120"/>
      <w:ind w:left="1080"/>
    </w:pPr>
  </w:style>
  <w:style w:type="paragraph" w:styleId="ListContinue4">
    <w:name w:val="List Continue 4"/>
    <w:basedOn w:val="Normal"/>
    <w:uiPriority w:val="99"/>
    <w:rsid w:val="001F5B77"/>
    <w:pPr>
      <w:spacing w:after="120"/>
      <w:ind w:left="1440"/>
    </w:pPr>
  </w:style>
  <w:style w:type="paragraph" w:styleId="ListContinue5">
    <w:name w:val="List Continue 5"/>
    <w:basedOn w:val="Normal"/>
    <w:uiPriority w:val="99"/>
    <w:rsid w:val="001F5B77"/>
    <w:pPr>
      <w:spacing w:after="120"/>
      <w:ind w:left="1800"/>
    </w:pPr>
  </w:style>
  <w:style w:type="paragraph" w:styleId="ListNumber">
    <w:name w:val="List Number"/>
    <w:basedOn w:val="Normal"/>
    <w:uiPriority w:val="99"/>
    <w:rsid w:val="001F5B77"/>
    <w:pPr>
      <w:numPr>
        <w:numId w:val="16"/>
      </w:numPr>
    </w:pPr>
  </w:style>
  <w:style w:type="paragraph" w:styleId="ListNumber2">
    <w:name w:val="List Number 2"/>
    <w:basedOn w:val="Normal"/>
    <w:uiPriority w:val="99"/>
    <w:rsid w:val="001F5B77"/>
    <w:pPr>
      <w:numPr>
        <w:numId w:val="17"/>
      </w:numPr>
    </w:pPr>
  </w:style>
  <w:style w:type="paragraph" w:styleId="ListNumber3">
    <w:name w:val="List Number 3"/>
    <w:basedOn w:val="Normal"/>
    <w:uiPriority w:val="99"/>
    <w:rsid w:val="001F5B77"/>
    <w:pPr>
      <w:numPr>
        <w:numId w:val="18"/>
      </w:numPr>
    </w:pPr>
  </w:style>
  <w:style w:type="paragraph" w:styleId="ListNumber4">
    <w:name w:val="List Number 4"/>
    <w:basedOn w:val="Normal"/>
    <w:uiPriority w:val="99"/>
    <w:rsid w:val="001F5B77"/>
    <w:pPr>
      <w:numPr>
        <w:numId w:val="20"/>
      </w:numPr>
    </w:pPr>
  </w:style>
  <w:style w:type="paragraph" w:styleId="ListNumber5">
    <w:name w:val="List Number 5"/>
    <w:basedOn w:val="Normal"/>
    <w:uiPriority w:val="99"/>
    <w:rsid w:val="001F5B77"/>
    <w:pPr>
      <w:numPr>
        <w:numId w:val="21"/>
      </w:numPr>
    </w:pPr>
  </w:style>
  <w:style w:type="paragraph" w:styleId="MacroText">
    <w:name w:val="macro"/>
    <w:link w:val="MacroTextChar"/>
    <w:uiPriority w:val="99"/>
    <w:semiHidden/>
    <w:rsid w:val="001F5B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1F5B77"/>
    <w:rPr>
      <w:rFonts w:ascii="Courier New" w:hAnsi="Courier New" w:cs="Courier New"/>
    </w:rPr>
  </w:style>
  <w:style w:type="paragraph" w:styleId="MessageHeader">
    <w:name w:val="Message Header"/>
    <w:basedOn w:val="Normal"/>
    <w:link w:val="MessageHeaderChar"/>
    <w:uiPriority w:val="99"/>
    <w:rsid w:val="001F5B7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1F5B7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F5B77"/>
    <w:pPr>
      <w:ind w:left="720"/>
    </w:pPr>
  </w:style>
  <w:style w:type="paragraph" w:customStyle="1" w:styleId="NoteHeading1">
    <w:name w:val="Note Heading1"/>
    <w:basedOn w:val="Normal"/>
    <w:next w:val="Normal"/>
    <w:link w:val="NoteHeadingChar"/>
    <w:uiPriority w:val="99"/>
    <w:rsid w:val="001F5B77"/>
  </w:style>
  <w:style w:type="character" w:customStyle="1" w:styleId="NoteHeadingChar">
    <w:name w:val="Note Heading Char"/>
    <w:basedOn w:val="DefaultParagraphFont"/>
    <w:link w:val="NoteHeading1"/>
    <w:uiPriority w:val="99"/>
    <w:semiHidden/>
    <w:rsid w:val="001F5B77"/>
    <w:rPr>
      <w:sz w:val="24"/>
    </w:rPr>
  </w:style>
  <w:style w:type="paragraph" w:styleId="PlainText">
    <w:name w:val="Plain Text"/>
    <w:basedOn w:val="Normal"/>
    <w:link w:val="PlainTextChar"/>
    <w:uiPriority w:val="99"/>
    <w:rsid w:val="001F5B77"/>
    <w:rPr>
      <w:rFonts w:ascii="Courier New" w:hAnsi="Courier New"/>
      <w:sz w:val="20"/>
    </w:rPr>
  </w:style>
  <w:style w:type="character" w:customStyle="1" w:styleId="PlainTextChar">
    <w:name w:val="Plain Text Char"/>
    <w:basedOn w:val="DefaultParagraphFont"/>
    <w:link w:val="PlainText"/>
    <w:uiPriority w:val="99"/>
    <w:semiHidden/>
    <w:rsid w:val="001F5B77"/>
    <w:rPr>
      <w:rFonts w:ascii="Courier New" w:hAnsi="Courier New" w:cs="Courier New"/>
    </w:rPr>
  </w:style>
  <w:style w:type="paragraph" w:styleId="Salutation">
    <w:name w:val="Salutation"/>
    <w:basedOn w:val="Normal"/>
    <w:next w:val="Normal"/>
    <w:link w:val="SalutationChar"/>
    <w:uiPriority w:val="99"/>
    <w:rsid w:val="001F5B77"/>
  </w:style>
  <w:style w:type="character" w:customStyle="1" w:styleId="SalutationChar">
    <w:name w:val="Salutation Char"/>
    <w:basedOn w:val="DefaultParagraphFont"/>
    <w:link w:val="Salutation"/>
    <w:uiPriority w:val="99"/>
    <w:semiHidden/>
    <w:rsid w:val="001F5B77"/>
    <w:rPr>
      <w:sz w:val="24"/>
    </w:rPr>
  </w:style>
  <w:style w:type="paragraph" w:styleId="Signature">
    <w:name w:val="Signature"/>
    <w:basedOn w:val="Normal"/>
    <w:link w:val="SignatureChar"/>
    <w:uiPriority w:val="99"/>
    <w:rsid w:val="001F5B77"/>
    <w:pPr>
      <w:ind w:left="4320"/>
    </w:pPr>
  </w:style>
  <w:style w:type="character" w:customStyle="1" w:styleId="SignatureChar">
    <w:name w:val="Signature Char"/>
    <w:basedOn w:val="DefaultParagraphFont"/>
    <w:link w:val="Signature"/>
    <w:uiPriority w:val="99"/>
    <w:semiHidden/>
    <w:rsid w:val="001F5B77"/>
    <w:rPr>
      <w:sz w:val="24"/>
    </w:rPr>
  </w:style>
  <w:style w:type="paragraph" w:styleId="Subtitle">
    <w:name w:val="Subtitle"/>
    <w:basedOn w:val="Normal"/>
    <w:link w:val="SubtitleChar"/>
    <w:uiPriority w:val="11"/>
    <w:qFormat/>
    <w:rsid w:val="001F5B77"/>
    <w:pPr>
      <w:keepNext/>
      <w:keepLines/>
      <w:spacing w:after="120"/>
      <w:jc w:val="center"/>
      <w:outlineLvl w:val="1"/>
    </w:pPr>
    <w:rPr>
      <w:b/>
    </w:rPr>
  </w:style>
  <w:style w:type="character" w:customStyle="1" w:styleId="SubtitleChar">
    <w:name w:val="Subtitle Char"/>
    <w:basedOn w:val="DefaultParagraphFont"/>
    <w:link w:val="Subtitle"/>
    <w:uiPriority w:val="11"/>
    <w:rsid w:val="001F5B77"/>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1F5B77"/>
    <w:pPr>
      <w:ind w:left="240" w:hanging="240"/>
    </w:pPr>
  </w:style>
  <w:style w:type="paragraph" w:styleId="TableofFigures">
    <w:name w:val="table of figures"/>
    <w:basedOn w:val="Normal"/>
    <w:next w:val="Normal"/>
    <w:uiPriority w:val="99"/>
    <w:semiHidden/>
    <w:rsid w:val="001F5B77"/>
    <w:pPr>
      <w:ind w:left="480" w:hanging="480"/>
    </w:pPr>
  </w:style>
  <w:style w:type="paragraph" w:styleId="TOC1">
    <w:name w:val="toc 1"/>
    <w:basedOn w:val="Normal"/>
    <w:next w:val="Normal"/>
    <w:uiPriority w:val="39"/>
    <w:semiHidden/>
    <w:rsid w:val="001F5B77"/>
  </w:style>
  <w:style w:type="paragraph" w:styleId="TOC3">
    <w:name w:val="toc 3"/>
    <w:basedOn w:val="Normal"/>
    <w:next w:val="Normal"/>
    <w:uiPriority w:val="39"/>
    <w:semiHidden/>
    <w:rsid w:val="001F5B77"/>
    <w:pPr>
      <w:ind w:left="480"/>
    </w:pPr>
  </w:style>
  <w:style w:type="paragraph" w:styleId="TOC4">
    <w:name w:val="toc 4"/>
    <w:basedOn w:val="Normal"/>
    <w:next w:val="Normal"/>
    <w:uiPriority w:val="39"/>
    <w:semiHidden/>
    <w:rsid w:val="001F5B77"/>
    <w:pPr>
      <w:ind w:left="720"/>
    </w:pPr>
  </w:style>
  <w:style w:type="paragraph" w:styleId="TOC5">
    <w:name w:val="toc 5"/>
    <w:basedOn w:val="Normal"/>
    <w:next w:val="Normal"/>
    <w:uiPriority w:val="39"/>
    <w:semiHidden/>
    <w:rsid w:val="001F5B77"/>
    <w:pPr>
      <w:ind w:left="960"/>
    </w:pPr>
  </w:style>
  <w:style w:type="paragraph" w:styleId="TOC6">
    <w:name w:val="toc 6"/>
    <w:basedOn w:val="Normal"/>
    <w:next w:val="Normal"/>
    <w:uiPriority w:val="39"/>
    <w:semiHidden/>
    <w:rsid w:val="001F5B77"/>
    <w:pPr>
      <w:ind w:left="1200"/>
    </w:pPr>
  </w:style>
  <w:style w:type="paragraph" w:styleId="TOC7">
    <w:name w:val="toc 7"/>
    <w:basedOn w:val="Normal"/>
    <w:next w:val="Normal"/>
    <w:uiPriority w:val="39"/>
    <w:semiHidden/>
    <w:rsid w:val="001F5B77"/>
    <w:pPr>
      <w:ind w:left="1440"/>
    </w:pPr>
  </w:style>
  <w:style w:type="paragraph" w:styleId="TOC8">
    <w:name w:val="toc 8"/>
    <w:basedOn w:val="Normal"/>
    <w:next w:val="Normal"/>
    <w:uiPriority w:val="39"/>
    <w:semiHidden/>
    <w:rsid w:val="001F5B77"/>
    <w:pPr>
      <w:ind w:left="1680"/>
    </w:pPr>
  </w:style>
  <w:style w:type="paragraph" w:styleId="TOC9">
    <w:name w:val="toc 9"/>
    <w:basedOn w:val="Normal"/>
    <w:next w:val="Normal"/>
    <w:uiPriority w:val="39"/>
    <w:semiHidden/>
    <w:rsid w:val="001F5B77"/>
    <w:pPr>
      <w:ind w:left="1920"/>
    </w:pPr>
  </w:style>
  <w:style w:type="paragraph" w:customStyle="1" w:styleId="Quote-1indentLeftRight">
    <w:name w:val="Quote - 1&quot; indent Left &amp; Right"/>
    <w:basedOn w:val="BodyText"/>
    <w:next w:val="BodyText"/>
    <w:rsid w:val="001F5B77"/>
    <w:pPr>
      <w:ind w:left="1440" w:right="1440"/>
    </w:pPr>
  </w:style>
  <w:style w:type="paragraph" w:styleId="BalloonText">
    <w:name w:val="Balloon Text"/>
    <w:basedOn w:val="Normal"/>
    <w:link w:val="BalloonTextChar"/>
    <w:uiPriority w:val="99"/>
    <w:semiHidden/>
    <w:rsid w:val="001F5B77"/>
    <w:rPr>
      <w:rFonts w:ascii="Tahoma" w:hAnsi="Tahoma" w:cs="Tahoma"/>
      <w:sz w:val="16"/>
      <w:szCs w:val="16"/>
    </w:rPr>
  </w:style>
  <w:style w:type="character" w:customStyle="1" w:styleId="BalloonTextChar">
    <w:name w:val="Balloon Text Char"/>
    <w:basedOn w:val="DefaultParagraphFont"/>
    <w:link w:val="BalloonText"/>
    <w:uiPriority w:val="99"/>
    <w:semiHidden/>
    <w:rsid w:val="001F5B77"/>
    <w:rPr>
      <w:rFonts w:ascii="Tahoma" w:hAnsi="Tahoma" w:cs="Tahoma"/>
      <w:sz w:val="16"/>
      <w:szCs w:val="16"/>
    </w:rPr>
  </w:style>
  <w:style w:type="paragraph" w:styleId="CommentSubject">
    <w:name w:val="annotation subject"/>
    <w:basedOn w:val="CommentText"/>
    <w:next w:val="CommentText"/>
    <w:link w:val="CommentSubjectChar"/>
    <w:uiPriority w:val="99"/>
    <w:semiHidden/>
    <w:rsid w:val="001F5B77"/>
    <w:rPr>
      <w:b/>
      <w:bCs/>
    </w:rPr>
  </w:style>
  <w:style w:type="character" w:customStyle="1" w:styleId="CommentSubjectChar">
    <w:name w:val="Comment Subject Char"/>
    <w:basedOn w:val="CommentTextChar"/>
    <w:link w:val="CommentSubject"/>
    <w:uiPriority w:val="99"/>
    <w:semiHidden/>
    <w:rsid w:val="001F5B77"/>
    <w:rPr>
      <w:b/>
      <w:bCs/>
    </w:rPr>
  </w:style>
  <w:style w:type="character" w:styleId="FootnoteReference">
    <w:name w:val="footnote reference"/>
    <w:basedOn w:val="DefaultParagraphFont"/>
    <w:uiPriority w:val="99"/>
    <w:semiHidden/>
    <w:rsid w:val="001F5B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7125</Words>
  <Characters>40615</Characters>
  <Application>Microsoft Office Word</Application>
  <DocSecurity>4</DocSecurity>
  <Lines>338</Lines>
  <Paragraphs>95</Paragraphs>
  <ScaleCrop>false</ScaleCrop>
  <Company>Alston &amp; Bird LLP</Company>
  <LinksUpToDate>false</LinksUpToDate>
  <CharactersWithSpaces>47645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Rafael</dc:creator>
  <cp:lastModifiedBy>TMSServices</cp:lastModifiedBy>
  <cp:revision>2</cp:revision>
  <cp:lastPrinted>2006-09-29T22:42:00Z</cp:lastPrinted>
  <dcterms:created xsi:type="dcterms:W3CDTF">2017-03-23T22:40:00Z</dcterms:created>
  <dcterms:modified xsi:type="dcterms:W3CDTF">2017-03-23T22:40:00Z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GLEWW</vt:lpwstr>
  </property>
  <property fmtid="{D5CDD505-2E9C-101B-9397-08002B2CF9AE}" pid="3" name="AUTHORINITIALS">
    <vt:lpwstr>WBG</vt:lpwstr>
  </property>
  <property fmtid="{D5CDD505-2E9C-101B-9397-08002B2CF9AE}" pid="4" name="AUTHORNAME">
    <vt:lpwstr>William B. Glew, Jr.</vt:lpwstr>
  </property>
  <property fmtid="{D5CDD505-2E9C-101B-9397-08002B2CF9AE}" pid="5" name="AUTHORTITLE">
    <vt:lpwstr>Partner</vt:lpwstr>
  </property>
  <property fmtid="{D5CDD505-2E9C-101B-9397-08002B2CF9AE}" pid="6" name="DOCID">
    <vt:lpwstr>LEGAL02/30131204v1</vt:lpwstr>
  </property>
  <property fmtid="{D5CDD505-2E9C-101B-9397-08002B2CF9AE}" pid="7" name="DOCNUMBER">
    <vt:lpwstr>30131204</vt:lpwstr>
  </property>
  <property fmtid="{D5CDD505-2E9C-101B-9397-08002B2CF9AE}" pid="8" name="EMAIL">
    <vt:lpwstr>william.glew@enexusenergy.com</vt:lpwstr>
  </property>
  <property fmtid="{D5CDD505-2E9C-101B-9397-08002B2CF9AE}" pid="9" name="EMAIL_OWNER_ADDRESS">
    <vt:lpwstr>ABAAMV6B7YzPbaL+YCWiwMwN+PrXkFxk+LXhfNkN+2cxQkKqqg242mEOryHKEDuZi7WL</vt:lpwstr>
  </property>
  <property fmtid="{D5CDD505-2E9C-101B-9397-08002B2CF9AE}" pid="10" name="FAX">
    <vt:lpwstr>202-239-3333</vt:lpwstr>
  </property>
  <property fmtid="{D5CDD505-2E9C-101B-9397-08002B2CF9AE}" pid="11" name="FULLNAME">
    <vt:lpwstr>William B. Glew, Jr.</vt:lpwstr>
  </property>
  <property fmtid="{D5CDD505-2E9C-101B-9397-08002B2CF9AE}" pid="12" name="LIBNAME">
    <vt:lpwstr>LEGAL02</vt:lpwstr>
  </property>
  <property fmtid="{D5CDD505-2E9C-101B-9397-08002B2CF9AE}" pid="13" name="LOCATION">
    <vt:lpwstr>WDC</vt:lpwstr>
  </property>
  <property fmtid="{D5CDD505-2E9C-101B-9397-08002B2CF9AE}" pid="14" name="MAIL_MSG_ID1">
    <vt:lpwstr>ABAAVOAfoSrQoyz6E4tw7fOSkjWXR88h48PbPoxRYdDnnAgrQtQSRGOKNyNn0JU688gj</vt:lpwstr>
  </property>
  <property fmtid="{D5CDD505-2E9C-101B-9397-08002B2CF9AE}" pid="15" name="MAIL_MSG_ID2">
    <vt:lpwstr>9tC12kgo4nSgVPeuNLdLUJ/0ADq7JTJ32hApo07u65SapK2jP1QHa1ZIq77GTwtDDSyH1eo90KOYwuPEYfZfKu5E/QCXiOHAQ==</vt:lpwstr>
  </property>
  <property fmtid="{D5CDD505-2E9C-101B-9397-08002B2CF9AE}" pid="16" name="PHONE">
    <vt:lpwstr>202-239-3477</vt:lpwstr>
  </property>
  <property fmtid="{D5CDD505-2E9C-101B-9397-08002B2CF9AE}" pid="17" name="PrefClose">
    <vt:lpwstr>Sincerely,</vt:lpwstr>
  </property>
  <property fmtid="{D5CDD505-2E9C-101B-9397-08002B2CF9AE}" pid="18" name="RESPONSE_SENDER_NAME">
    <vt:lpwstr>gAAAdya76B99d4hLGUR1rQ+8TxTv0GGEPdix</vt:lpwstr>
  </property>
  <property fmtid="{D5CDD505-2E9C-101B-9397-08002B2CF9AE}" pid="19" name="TYPISTINITIALS">
    <vt:lpwstr>WBG</vt:lpwstr>
  </property>
  <property fmtid="{D5CDD505-2E9C-101B-9397-08002B2CF9AE}" pid="20" name="VERSION">
    <vt:lpwstr>1</vt:lpwstr>
  </property>
</Properties>
</file>