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4B" w:rsidRDefault="00F753F8">
      <w:pPr>
        <w:pStyle w:val="Heading2"/>
      </w:pPr>
      <w:bookmarkStart w:id="0" w:name="_Toc261252170"/>
      <w:r>
        <w:t>23.4</w:t>
      </w:r>
      <w:r>
        <w:tab/>
        <w:t>Mitigation Measures</w:t>
      </w:r>
      <w:bookmarkEnd w:id="0"/>
    </w:p>
    <w:p w:rsidR="00791A4B" w:rsidRDefault="00F753F8">
      <w:pPr>
        <w:pStyle w:val="Heading3"/>
      </w:pPr>
      <w:bookmarkStart w:id="1" w:name="_Toc261252171"/>
      <w:r>
        <w:t>23.4.1</w:t>
      </w:r>
      <w:r>
        <w:tab/>
        <w:t>Purpose</w:t>
      </w:r>
      <w:bookmarkEnd w:id="1"/>
      <w:r>
        <w:t xml:space="preserve"> and Terms</w:t>
      </w:r>
    </w:p>
    <w:p w:rsidR="00791A4B" w:rsidRDefault="00F753F8">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791A4B" w:rsidRDefault="00F753F8">
      <w:pPr>
        <w:pStyle w:val="Bodypara"/>
      </w:pPr>
      <w:r>
        <w:t>Terms with initial capitalization not defined in Section 23.4 shall have the meaning set forth in the Open Access Transmission Tariff.</w:t>
      </w:r>
    </w:p>
    <w:p w:rsidR="00791A4B" w:rsidRDefault="00F753F8">
      <w:pPr>
        <w:pStyle w:val="Heading3"/>
      </w:pPr>
      <w:bookmarkStart w:id="2" w:name="_Toc261252172"/>
      <w:r>
        <w:t>23.4.2</w:t>
      </w:r>
      <w:r>
        <w:tab/>
        <w:t>Default</w:t>
      </w:r>
      <w:r>
        <w:t xml:space="preserve"> Bid</w:t>
      </w:r>
      <w:bookmarkEnd w:id="2"/>
    </w:p>
    <w:p w:rsidR="00791A4B" w:rsidRDefault="00F753F8">
      <w:pPr>
        <w:pStyle w:val="Heading4"/>
      </w:pPr>
      <w:bookmarkStart w:id="3" w:name="_DV_M121"/>
      <w:bookmarkEnd w:id="3"/>
      <w:r>
        <w:t>23.4.2.1</w:t>
      </w:r>
      <w:r>
        <w:tab/>
        <w:t>Purpose</w:t>
      </w:r>
    </w:p>
    <w:p w:rsidR="00791A4B" w:rsidRDefault="00F753F8">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791A4B" w:rsidRDefault="00F753F8">
      <w:pPr>
        <w:pStyle w:val="Heading4"/>
      </w:pPr>
      <w:r>
        <w:lastRenderedPageBreak/>
        <w:t>23.4.2.2</w:t>
      </w:r>
      <w:r>
        <w:tab/>
        <w:t>Implementation</w:t>
      </w:r>
    </w:p>
    <w:p w:rsidR="00791A4B" w:rsidRDefault="00F753F8">
      <w:pPr>
        <w:pStyle w:val="romannumeralpara"/>
      </w:pPr>
      <w:bookmarkStart w:id="6" w:name="_DV_M124"/>
      <w:bookmarkEnd w:id="6"/>
      <w:r>
        <w:t>23.4.2.2.1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791A4B" w:rsidRDefault="00F753F8">
      <w:pPr>
        <w:pStyle w:val="romannumeralpara"/>
      </w:pPr>
      <w:bookmarkStart w:id="7" w:name="_DV_IPM80"/>
      <w:bookmarkStart w:id="8" w:name="_DV_C89"/>
      <w:bookmarkStart w:id="9" w:name="_DV_C95"/>
      <w:bookmarkEnd w:id="7"/>
      <w:r>
        <w:t>23.4.2.2.2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791A4B" w:rsidRDefault="00F753F8">
      <w:pPr>
        <w:pStyle w:val="romannumeralpara"/>
      </w:pPr>
      <w:r>
        <w:t>23.4.2.2.3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791A4B" w:rsidRDefault="00F753F8">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791A4B" w:rsidRDefault="00F753F8">
      <w:pPr>
        <w:pStyle w:val="romannumeralpara"/>
      </w:pPr>
      <w:bookmarkStart w:id="10" w:name="_DV_M135"/>
      <w:bookmarkEnd w:id="10"/>
      <w:r>
        <w:t>23.4.2.2.4</w:t>
      </w:r>
      <w:r>
        <w:tab/>
        <w:t>Except as</w:t>
      </w:r>
      <w:r>
        <w:t xml:space="preserve"> may be specifically authorized by the Commission:</w:t>
      </w:r>
    </w:p>
    <w:p w:rsidR="00791A4B" w:rsidRDefault="00F753F8">
      <w:pPr>
        <w:pStyle w:val="romannumeralpara"/>
      </w:pPr>
      <w:r>
        <w:t>23.4.2.2.4.1</w:t>
      </w:r>
      <w:r>
        <w:tab/>
        <w:t>The ISO shall not use a default bid to determine revised market clearing prices for periods prior to the imposition of the default bid.</w:t>
      </w:r>
    </w:p>
    <w:p w:rsidR="00791A4B" w:rsidRDefault="00F753F8">
      <w:pPr>
        <w:pStyle w:val="romannumeralpara"/>
      </w:pPr>
      <w:r>
        <w:t>23.4.2.2.4.2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791A4B" w:rsidRDefault="00F753F8">
      <w:pPr>
        <w:pStyle w:val="romannumeralpara"/>
      </w:pPr>
      <w:bookmarkStart w:id="11" w:name="_DV_M136"/>
      <w:bookmarkEnd w:id="11"/>
      <w:r>
        <w:t>23.4.2.2.5</w:t>
      </w:r>
      <w:r>
        <w:tab/>
        <w:t xml:space="preserve">Automated implementation of default bid mitigation measures shall be subject to </w:t>
      </w:r>
      <w:r>
        <w:t>the following requirements.</w:t>
      </w:r>
    </w:p>
    <w:p w:rsidR="00791A4B" w:rsidRDefault="00F753F8">
      <w:pPr>
        <w:pStyle w:val="romannumeralpara"/>
      </w:pPr>
      <w:r>
        <w:t>23.4.2.2.5.1</w:t>
      </w:r>
      <w:r>
        <w:tab/>
        <w:t>Automated mitigation measures shall not be applied if the price effects of the measures would cause the average day-ahead energy price in the mitigated locations or zones to rise over the entire day.</w:t>
      </w:r>
    </w:p>
    <w:p w:rsidR="00791A4B" w:rsidRDefault="00F753F8">
      <w:pPr>
        <w:pStyle w:val="romannumeralpara"/>
      </w:pPr>
      <w:r>
        <w:t>23.4.2.2.5.2</w:t>
      </w:r>
      <w:r>
        <w:tab/>
        <w:t>Au</w:t>
      </w:r>
      <w:r>
        <w:t>tomated mitigation measures as specified in Section 23.3.2.2.3 shall be applied to Minimum Generation Bids and start-up costs Bids meeting the applicable conduct and impact tests.  When mitigation of Minimum Generation Bids is warranted, mitigation shall b</w:t>
      </w:r>
      <w:r>
        <w:t>e imposed from the first hour in which the impact test is met to the last hour in which the impact test is met, or for the duration of the mitigated Generator’s minimum run time, whichever is longer.</w:t>
      </w:r>
    </w:p>
    <w:p w:rsidR="00791A4B" w:rsidRDefault="00F753F8">
      <w:pPr>
        <w:pStyle w:val="romannumeralpara"/>
      </w:pPr>
      <w:r>
        <w:t>23.4.2.2.5.3</w:t>
      </w:r>
      <w:r>
        <w:tab/>
        <w:t>The posting of the Day-Ahead schedule may b</w:t>
      </w:r>
      <w:r>
        <w:t>e delayed if necessary for the completion of automated mitigation procedures.</w:t>
      </w:r>
    </w:p>
    <w:p w:rsidR="00791A4B" w:rsidRDefault="00F753F8">
      <w:pPr>
        <w:pStyle w:val="romannumeralpara"/>
      </w:pPr>
      <w:bookmarkStart w:id="12" w:name="_DV_M139"/>
      <w:bookmarkEnd w:id="12"/>
      <w:r>
        <w:t>23.4.2.2.5.4</w:t>
      </w:r>
      <w:r>
        <w:tab/>
        <w:t>Bids not mitigated under automated procedures shall remain subject to mitigation by other procedures specified herein as may be appropriate.</w:t>
      </w:r>
    </w:p>
    <w:p w:rsidR="00791A4B" w:rsidRDefault="00F753F8">
      <w:pPr>
        <w:pStyle w:val="romannumeralpara"/>
      </w:pPr>
      <w:r>
        <w:t>23.4.2.2.5.5</w:t>
      </w:r>
      <w:r>
        <w:tab/>
        <w:t>The role of</w:t>
      </w:r>
      <w:r>
        <w:t xml:space="preserve"> automated mitigation measures in the determination of Day-Ahead market clearing prices is described in Section 17.1.3 of Attachment B of the ISO Services Tariff.</w:t>
      </w:r>
    </w:p>
    <w:p w:rsidR="00791A4B" w:rsidRDefault="00F753F8">
      <w:pPr>
        <w:pStyle w:val="romannumeralpara"/>
        <w:rPr>
          <w:i/>
          <w:iCs/>
        </w:rPr>
      </w:pPr>
      <w:r>
        <w:t>23.4.2.2.6</w:t>
      </w:r>
      <w:r>
        <w:tab/>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791A4B" w:rsidRDefault="00F753F8">
      <w:pPr>
        <w:pStyle w:val="romannumeralpara"/>
        <w:rPr>
          <w:b/>
          <w:bCs/>
        </w:rPr>
      </w:pPr>
      <w:r>
        <w:t>23.4.2.2.7</w:t>
      </w:r>
      <w:r>
        <w:tab/>
        <w:t xml:space="preserve">A default bid shall not be imposed on a Generator that is not in the New York Control Area and that is electrically interconnected with another Control </w:t>
      </w:r>
      <w:r>
        <w:t>Area.</w:t>
      </w:r>
    </w:p>
    <w:p w:rsidR="00791A4B" w:rsidRDefault="00F753F8">
      <w:pPr>
        <w:pStyle w:val="Heading3"/>
      </w:pPr>
      <w:bookmarkStart w:id="13" w:name="_Toc261252173"/>
      <w:r>
        <w:t>23.4.3</w:t>
      </w:r>
      <w:r>
        <w:tab/>
        <w:t>Sanctions</w:t>
      </w:r>
      <w:bookmarkEnd w:id="13"/>
    </w:p>
    <w:p w:rsidR="00791A4B" w:rsidRDefault="00F753F8">
      <w:pPr>
        <w:pStyle w:val="Heading4"/>
        <w:rPr>
          <w:bCs/>
        </w:rPr>
      </w:pPr>
      <w:r>
        <w:t>23.</w:t>
      </w:r>
      <w:r>
        <w:rPr>
          <w:bCs/>
        </w:rPr>
        <w:t>4.3.1</w:t>
      </w:r>
      <w:r>
        <w:rPr>
          <w:bCs/>
        </w:rPr>
        <w:tab/>
        <w:t>Types of Sanctions</w:t>
      </w:r>
    </w:p>
    <w:p w:rsidR="00791A4B" w:rsidRDefault="00F753F8">
      <w:pPr>
        <w:pStyle w:val="Bodypara"/>
        <w:rPr>
          <w:bCs/>
        </w:rPr>
      </w:pPr>
      <w:r>
        <w:rPr>
          <w:bCs/>
        </w:rPr>
        <w:t xml:space="preserve">The ISO may </w:t>
      </w:r>
      <w:r>
        <w:t>impose</w:t>
      </w:r>
      <w:r>
        <w:rPr>
          <w:bCs/>
        </w:rPr>
        <w:t xml:space="preserve"> financial penalties on a Market Party in amounts determined as specified </w:t>
      </w:r>
      <w:r>
        <w:t>below</w:t>
      </w:r>
      <w:r>
        <w:rPr>
          <w:bCs/>
        </w:rPr>
        <w:t>.</w:t>
      </w:r>
    </w:p>
    <w:p w:rsidR="00791A4B" w:rsidRDefault="00F753F8">
      <w:pPr>
        <w:pStyle w:val="Heading4"/>
        <w:rPr>
          <w:bCs/>
        </w:rPr>
      </w:pPr>
      <w:r>
        <w:t>23.</w:t>
      </w:r>
      <w:r>
        <w:rPr>
          <w:bCs/>
        </w:rPr>
        <w:t>4.3.2</w:t>
      </w:r>
      <w:r>
        <w:rPr>
          <w:bCs/>
        </w:rPr>
        <w:tab/>
        <w:t>Imposition</w:t>
      </w:r>
    </w:p>
    <w:p w:rsidR="00791A4B" w:rsidRDefault="00F753F8">
      <w:pPr>
        <w:pStyle w:val="Bodypara"/>
        <w:rPr>
          <w:bCs/>
        </w:rPr>
      </w:pPr>
      <w:r>
        <w:rPr>
          <w:bCs/>
        </w:rPr>
        <w:t>The ISO shall impose financial penalties as provided in this</w:t>
      </w:r>
      <w:r>
        <w:t xml:space="preserve"> </w:t>
      </w:r>
      <w:r>
        <w:rPr>
          <w:bCs/>
        </w:rPr>
        <w:t>Section 23.4.3, if</w:t>
      </w:r>
      <w:bookmarkStart w:id="14" w:name="_DV_M140"/>
      <w:bookmarkEnd w:id="14"/>
      <w:r>
        <w:t xml:space="preserve"> the IS</w:t>
      </w:r>
      <w:r>
        <w:t xml:space="preserve">O determines </w:t>
      </w:r>
      <w:r>
        <w:rPr>
          <w:bCs/>
        </w:rPr>
        <w:t>in accordance with the thresholds and other standards</w:t>
      </w:r>
      <w:r>
        <w:t xml:space="preserve"> </w:t>
      </w:r>
      <w:r>
        <w:rPr>
          <w:bCs/>
        </w:rPr>
        <w:t xml:space="preserve">specified in this </w:t>
      </w:r>
      <w:r>
        <w:t xml:space="preserve">Attachment H </w:t>
      </w:r>
      <w:bookmarkStart w:id="15" w:name="_DV_M141"/>
      <w:bookmarkEnd w:id="15"/>
      <w:r>
        <w:t>that</w:t>
      </w:r>
      <w:bookmarkStart w:id="16" w:name="_DV_M142"/>
      <w:bookmarkEnd w:id="16"/>
      <w:r>
        <w:rPr>
          <w:bCs/>
          <w:i/>
          <w:iCs/>
        </w:rPr>
        <w:t>:</w:t>
      </w:r>
      <w:r>
        <w:t xml:space="preserve"> </w:t>
      </w:r>
      <w:r>
        <w:rPr>
          <w:i/>
          <w:iCs/>
        </w:rPr>
        <w:t xml:space="preserve"> </w:t>
      </w:r>
      <w:r>
        <w:t>(i) a Market Party has engaged in physical withholding, including providing the ISO false information regarding the derating or outage of an Electric F</w:t>
      </w:r>
      <w:r>
        <w:t>acility</w:t>
      </w:r>
      <w:r>
        <w:rPr>
          <w:bCs/>
        </w:rPr>
        <w:t>;</w:t>
      </w:r>
      <w:bookmarkStart w:id="17" w:name="_DV_M143"/>
      <w:bookmarkEnd w:id="17"/>
      <w:r>
        <w:t xml:space="preserve"> or (ii) a Market Party or its Affiliates have failed to </w:t>
      </w:r>
      <w:r>
        <w:rPr>
          <w:bCs/>
        </w:rPr>
        <w:t xml:space="preserve">follow the ISOs dispatch instructions in real-time, resulting in a different output level than would have been expected had </w:t>
      </w:r>
      <w:r>
        <w:t>the</w:t>
      </w:r>
      <w:r>
        <w:rPr>
          <w:bCs/>
        </w:rPr>
        <w:t xml:space="preserve"> </w:t>
      </w:r>
      <w:r>
        <w:t>Market Party’s or the Affiliate’s generation</w:t>
      </w:r>
      <w:r>
        <w:rPr>
          <w:bCs/>
        </w:rPr>
        <w:t xml:space="preserve"> followed the ISO’s</w:t>
      </w:r>
      <w:r>
        <w:rPr>
          <w:bCs/>
        </w:rPr>
        <w:t xml:space="preserve"> dispatch instructions</w:t>
      </w:r>
      <w:r>
        <w:t>, and such conduct has caused a material increase in one or more prices or guarantee payments in an ISO Administered Market</w:t>
      </w:r>
      <w:r>
        <w:rPr>
          <w:bCs/>
        </w:rPr>
        <w:t>; or (iii) a Market Party has made unjustifiable changes to one or more operating parameters of a Generator that reduce its ability to provide Energy or Ancillary Services; or (iv) a Load Serving Entity has been subjected to a Penalty Level payment in acco</w:t>
      </w:r>
      <w:r>
        <w:rPr>
          <w:bCs/>
        </w:rPr>
        <w:t>rdance with Section 23.4.4 below; or (v) a Market Party has submitted inaccurate fuel type or fuel price information that is used by the ISO in the development of a Generator’s reference level, where the inaccurate reference level that is developed, in tur</w:t>
      </w:r>
      <w:r>
        <w:rPr>
          <w:bCs/>
        </w:rPr>
        <w:t>n, directly or indirectly impacts guarantee payments or market clearing prices paid to the Market Party; or (vi) the opportunity to submit Incremental Energy Bids into the real-time market that exceed Incremental Energy Bids made in the Day-Ahead Market or</w:t>
      </w:r>
      <w:r>
        <w:rPr>
          <w:bCs/>
        </w:rPr>
        <w:t xml:space="preserve"> mitigated Day-Ahead Incremental Energy Bids where appropriate, has been revoked for a Market Party’s Generator pursuant to Sections  23.4.7.2 and 23.4.7.3 of these Mitigation Measures. </w:t>
      </w:r>
    </w:p>
    <w:p w:rsidR="00791A4B" w:rsidRDefault="00F753F8">
      <w:pPr>
        <w:pStyle w:val="Heading4"/>
      </w:pPr>
      <w:bookmarkStart w:id="18" w:name="_DV_IPM92"/>
      <w:bookmarkStart w:id="19" w:name="_DV_M93"/>
      <w:bookmarkStart w:id="20" w:name="_DV_IPM93"/>
      <w:bookmarkEnd w:id="8"/>
      <w:bookmarkEnd w:id="18"/>
      <w:bookmarkEnd w:id="19"/>
      <w:bookmarkEnd w:id="20"/>
      <w:r>
        <w:t>23.4.3.3</w:t>
      </w:r>
      <w:r>
        <w:tab/>
        <w:t>Base Penalty Amount</w:t>
      </w:r>
    </w:p>
    <w:p w:rsidR="00791A4B" w:rsidRDefault="00F753F8">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791A4B" w:rsidRDefault="00F753F8">
      <w:pPr>
        <w:pStyle w:val="romannumeralpara"/>
        <w:rPr>
          <w:bCs/>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791A4B" w:rsidRDefault="00F753F8">
      <w:pPr>
        <w:pStyle w:val="romannumeralpara"/>
        <w:rPr>
          <w:bCs/>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791A4B" w:rsidRDefault="00F753F8">
      <w:pPr>
        <w:pStyle w:val="romannumeralpara"/>
      </w:pPr>
      <w:r>
        <w:t>23.4.3.3.2</w:t>
      </w:r>
      <w:r>
        <w:rPr>
          <w:bCs/>
        </w:rPr>
        <w:tab/>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791A4B" w:rsidRDefault="00F753F8">
      <w:pPr>
        <w:pStyle w:val="alphapara"/>
        <w:ind w:firstLine="0"/>
        <w:rPr>
          <w:b/>
          <w:bCs/>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791A4B" w:rsidRDefault="00F753F8">
      <w:pPr>
        <w:pStyle w:val="romannumeralpara"/>
      </w:pPr>
      <w:bookmarkStart w:id="21" w:name="_DV_M153"/>
      <w:bookmarkEnd w:id="21"/>
      <w:r>
        <w:t>23.4.3.3.3</w:t>
      </w:r>
      <w:r>
        <w:tab/>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p>
    <w:p w:rsidR="00791A4B" w:rsidRDefault="00F753F8">
      <w:pPr>
        <w:pStyle w:val="romannumeralpara"/>
      </w:pPr>
      <w:r>
        <w:t>23.</w:t>
      </w:r>
      <w:r>
        <w:t>4.3.3.3.1</w:t>
      </w:r>
      <w:r>
        <w:tab/>
        <w:t>Day-Ahead Conduct and Market Impact Tests</w:t>
      </w:r>
    </w:p>
    <w:p w:rsidR="00791A4B" w:rsidRDefault="00F753F8">
      <w:pPr>
        <w:pStyle w:val="romannumeralpara"/>
      </w:pPr>
      <w:r>
        <w:t>23.4.3.3.3.1.1</w:t>
      </w:r>
      <w:r>
        <w:tab/>
        <w:t>Day-Ahead Conduct Test</w:t>
      </w:r>
    </w:p>
    <w:p w:rsidR="00791A4B" w:rsidRDefault="00F753F8">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791A4B" w:rsidRDefault="00F753F8">
      <w:pPr>
        <w:pStyle w:val="romannumeralpara"/>
      </w:pPr>
      <w:r>
        <w:t>23.4.3.3.3.1.2</w:t>
      </w:r>
      <w:r>
        <w:tab/>
        <w:t>Day-Ahead Impact Test</w:t>
      </w:r>
    </w:p>
    <w:p w:rsidR="00791A4B" w:rsidRDefault="00F753F8">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791A4B" w:rsidRDefault="00F753F8">
      <w:pPr>
        <w:pStyle w:val="romannumeralpara"/>
      </w:pPr>
      <w:r>
        <w:rPr>
          <w:szCs w:val="24"/>
        </w:rPr>
        <w:t xml:space="preserve">23.4.3.3.3.1.3 </w:t>
      </w:r>
      <w:r>
        <w:rPr>
          <w:szCs w:val="24"/>
        </w:rPr>
        <w:tab/>
        <w:t>Day-</w:t>
      </w:r>
      <w:r>
        <w:t>Ahead Reliability Commitments in a Constr</w:t>
      </w:r>
      <w:r>
        <w:t xml:space="preserve">ained Area </w:t>
      </w:r>
      <w:r>
        <w:rPr>
          <w:szCs w:val="24"/>
        </w:rPr>
        <w:t xml:space="preserve">Consistent </w:t>
      </w:r>
      <w:r>
        <w:t>with Section 23.5.2 of these Mitigation Measures, the conduct and impact thresholds for In-City Generators committed in the Day-Ahead Market for local reliability shall each be zero.</w:t>
      </w:r>
    </w:p>
    <w:p w:rsidR="00791A4B" w:rsidRDefault="00F753F8">
      <w:pPr>
        <w:pStyle w:val="romannumeralpara"/>
      </w:pPr>
      <w:r>
        <w:t>23.4.3.3.3.2</w:t>
      </w:r>
      <w:r>
        <w:tab/>
        <w:t>Real-Time Conduct and Market Impact Te</w:t>
      </w:r>
      <w:r>
        <w:t>sts</w:t>
      </w:r>
    </w:p>
    <w:p w:rsidR="00791A4B" w:rsidRDefault="00F753F8">
      <w:pPr>
        <w:pStyle w:val="alphapara"/>
      </w:pPr>
      <w:r>
        <w:t>23.4.3.3.3.2.1</w:t>
      </w:r>
      <w:r>
        <w:tab/>
        <w:t>Real-Time Conduct Test</w:t>
      </w:r>
    </w:p>
    <w:p w:rsidR="00791A4B" w:rsidRDefault="00F753F8">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w:t>
      </w:r>
      <w:r>
        <w:t>fuel type and/or fuel price information, test the Bids to determine if they violate the relevant conduct threshold in accordance with the appropriate provision(s) of Section 23.3.1.2 of these Mitigation Measures</w:t>
      </w:r>
    </w:p>
    <w:p w:rsidR="00791A4B" w:rsidRDefault="00F753F8">
      <w:pPr>
        <w:pStyle w:val="romannumeralpara"/>
        <w:keepNext/>
      </w:pPr>
      <w:r>
        <w:t>23.4.3.3.3.2.2</w:t>
      </w:r>
      <w:r>
        <w:tab/>
        <w:t>Real-Time LBMP Impact Test</w:t>
      </w:r>
    </w:p>
    <w:p w:rsidR="00791A4B" w:rsidRDefault="00F753F8">
      <w:pPr>
        <w:pStyle w:val="alphapara"/>
        <w:ind w:firstLine="0"/>
      </w:pPr>
      <w:r>
        <w:t>Th</w:t>
      </w:r>
      <w:r>
        <w:t>e Market Party’s Bids for a Generator will be treated as having a Real-Time Market LBMP impact if the higher of (a) a revised reference level calculated using the Generator’s actual fuel costs, or (b) the reference level that would have been in place for t</w:t>
      </w:r>
      <w:r>
        <w:t xml:space="preserve">he Generator but for a Market Party’s submission of inaccurate fuel type and/or fuel price information, is less than or equal to the real-time LBMP at the PTID that represents the Generator’s location, and the Generator’s reference level that was actually </w:t>
      </w:r>
      <w:r>
        <w:t xml:space="preserve">used to test the Bid for LBMP impact in the Real-Time Market for that hour was greater than or equal to the LBMP at the Generator’s location.  </w:t>
      </w:r>
    </w:p>
    <w:p w:rsidR="00791A4B" w:rsidRDefault="00F753F8">
      <w:pPr>
        <w:pStyle w:val="romannumeralpara"/>
      </w:pPr>
      <w:r>
        <w:t>23.4.3.3.3.2.3</w:t>
      </w:r>
      <w:r>
        <w:tab/>
        <w:t>Real-Time Guarantee Payment Impact Test</w:t>
      </w:r>
    </w:p>
    <w:p w:rsidR="00791A4B" w:rsidRDefault="00F753F8">
      <w:pPr>
        <w:pStyle w:val="alphapara"/>
        <w:ind w:firstLine="0"/>
      </w:pPr>
      <w:r>
        <w:t>Using the greater of (a) a revised reference level calcul</w:t>
      </w:r>
      <w:r>
        <w:t xml:space="preserve">ated using the Generator’s actual fuel costs, or (b) the reference level that would have been in place for the Generator but for the submission of inaccurate fuel type and/or fuel price information, test the Bids for guarantee payment impact in accordance </w:t>
      </w:r>
      <w:r>
        <w:t>with the appropriate provisions of Section 23.3.2.1 of these Mitigation Measures.</w:t>
      </w:r>
    </w:p>
    <w:p w:rsidR="00791A4B" w:rsidRDefault="00F753F8">
      <w:pPr>
        <w:pStyle w:val="romannumeralpara"/>
      </w:pPr>
      <w:r>
        <w:t>23.4.3.3.3.3</w:t>
      </w:r>
      <w:r>
        <w:tab/>
        <w:t>Day-Ahead Market Penalty Calculation</w:t>
      </w:r>
    </w:p>
    <w:p w:rsidR="00791A4B" w:rsidRDefault="00F753F8">
      <w:pPr>
        <w:pStyle w:val="alphapara"/>
        <w:ind w:firstLine="0"/>
      </w:pPr>
      <w:r>
        <w:t>If the results of the Day-Ahead Market impact test indicate that the Market Party’s Bid had either LBMP or guarantee payment</w:t>
      </w:r>
      <w:r>
        <w:t xml:space="preserve"> impact then the ISO shall charge the Market Party a penalty, calculated for each penalized day, for each of its Generators, for each hour of the day, as follows:</w:t>
      </w:r>
    </w:p>
    <w:p w:rsidR="00791A4B" w:rsidRDefault="00F753F8">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w:t>
      </w:r>
      <w:r>
        <w:t>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791A4B" w:rsidRDefault="00F753F8">
      <w:pPr>
        <w:pStyle w:val="alphapara"/>
        <w:ind w:firstLine="0"/>
      </w:pPr>
      <w:r>
        <w:t>Where:</w:t>
      </w:r>
    </w:p>
    <w:p w:rsidR="00791A4B" w:rsidRDefault="00F753F8">
      <w:pPr>
        <w:pStyle w:val="alphapara"/>
        <w:ind w:firstLine="0"/>
      </w:pPr>
      <w:r>
        <w:t>g = an index running across all the Market Party’s Generators</w:t>
      </w:r>
    </w:p>
    <w:p w:rsidR="00791A4B" w:rsidRDefault="00F753F8">
      <w:pPr>
        <w:pStyle w:val="alphapara"/>
        <w:ind w:firstLine="0"/>
      </w:pPr>
      <w:r>
        <w:t>h = for purposes of this Section 23.4.3.3.3, h is an index running across all hours of</w:t>
      </w:r>
      <w:r>
        <w:t xml:space="preserve"> the day</w:t>
      </w:r>
    </w:p>
    <w:p w:rsidR="00791A4B" w:rsidRDefault="00F753F8">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w:t>
      </w:r>
      <w:r>
        <w:t>r which the penalty is being calculated.  In all other cases the ISO shall use a 1.5 Multiplier.</w:t>
      </w:r>
    </w:p>
    <w:p w:rsidR="00791A4B" w:rsidRDefault="00F753F8">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w:t>
      </w:r>
      <w:r>
        <w:t>s the Day Ahead Market guarantee payment impact test in accordance with Section 23.3.2.1.2 of these Mitigation Measures</w:t>
      </w:r>
    </w:p>
    <w:p w:rsidR="00791A4B" w:rsidRDefault="00F753F8">
      <w:pPr>
        <w:pStyle w:val="alphapara"/>
        <w:ind w:firstLine="0"/>
      </w:pPr>
      <w:r>
        <w:t>Market Party MWh</w:t>
      </w:r>
      <w:r>
        <w:rPr>
          <w:vertAlign w:val="subscript"/>
        </w:rPr>
        <w:t>gh</w:t>
      </w:r>
      <w:r>
        <w:t xml:space="preserve"> = the MWh of Energy scheduled in the Day-Ahead Market for Generator g in hour h</w:t>
      </w:r>
    </w:p>
    <w:p w:rsidR="00791A4B" w:rsidRDefault="00F753F8">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791A4B" w:rsidRDefault="00F753F8">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791A4B" w:rsidRDefault="00F753F8">
      <w:pPr>
        <w:pStyle w:val="alphapara"/>
      </w:pPr>
      <w:r>
        <w:t>23.4.3.3.3.4</w:t>
      </w:r>
      <w:r>
        <w:tab/>
        <w:t>Real-Time Market Penalty Calculation</w:t>
      </w:r>
    </w:p>
    <w:p w:rsidR="00791A4B" w:rsidRDefault="00F753F8">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791A4B" w:rsidRDefault="00F753F8">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791A4B" w:rsidRDefault="00F753F8">
      <w:pPr>
        <w:pStyle w:val="alphapara"/>
        <w:ind w:firstLine="0"/>
      </w:pPr>
      <w:r>
        <w:t>Where</w:t>
      </w:r>
    </w:p>
    <w:p w:rsidR="00791A4B" w:rsidRDefault="00F753F8">
      <w:pPr>
        <w:pStyle w:val="alphapara"/>
        <w:ind w:firstLine="0"/>
      </w:pPr>
      <w:r>
        <w:t>g = an index running across all the Market Party’s Generators</w:t>
      </w:r>
    </w:p>
    <w:p w:rsidR="00791A4B" w:rsidRDefault="00F753F8">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791A4B" w:rsidRDefault="00F753F8">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is</w:t>
      </w:r>
      <w:r>
        <w:t xml:space="preserve"> being calculated.  In all other cases the ISO shall use a 1.5 Multiplier.</w:t>
      </w:r>
    </w:p>
    <w:p w:rsidR="00791A4B" w:rsidRDefault="00F753F8">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w:t>
      </w:r>
      <w:r>
        <w:t>e for the Generator in hour h, but for the Market Party’s submission of inaccurate fuel type and/or fuel price information</w:t>
      </w:r>
    </w:p>
    <w:p w:rsidR="00791A4B" w:rsidRDefault="00F753F8">
      <w:pPr>
        <w:pStyle w:val="alphapara"/>
        <w:ind w:firstLine="0"/>
      </w:pPr>
      <w:r>
        <w:t>Original reference level</w:t>
      </w:r>
      <w:r>
        <w:rPr>
          <w:vertAlign w:val="subscript"/>
        </w:rPr>
        <w:t>gh</w:t>
      </w:r>
      <w:r>
        <w:t xml:space="preserve"> = the reference level for Generator g in hour h actually used in the Real-Time Market to perform conduct a</w:t>
      </w:r>
      <w:r>
        <w:t>nd impact testing of the Market Party’s Bids</w:t>
      </w:r>
    </w:p>
    <w:p w:rsidR="00791A4B" w:rsidRDefault="00F753F8">
      <w:pPr>
        <w:pStyle w:val="alphapara"/>
        <w:ind w:firstLine="0"/>
      </w:pPr>
      <w:r>
        <w:t>MWh DAM</w:t>
      </w:r>
      <w:r>
        <w:rPr>
          <w:vertAlign w:val="subscript"/>
        </w:rPr>
        <w:t>gh</w:t>
      </w:r>
      <w:r>
        <w:t xml:space="preserve"> = the MWh that Generator g was scheduled to produce in the Day-Ahead Market in hour h</w:t>
      </w:r>
    </w:p>
    <w:p w:rsidR="00791A4B" w:rsidRDefault="00F753F8">
      <w:pPr>
        <w:pStyle w:val="alphapara"/>
        <w:ind w:firstLine="0"/>
      </w:pPr>
      <w:r>
        <w:t>MWh RT</w:t>
      </w:r>
      <w:r>
        <w:rPr>
          <w:vertAlign w:val="subscript"/>
        </w:rPr>
        <w:t>gh</w:t>
      </w:r>
      <w:r>
        <w:t xml:space="preserve"> = the MWh that Generator g was scheduled to produce in the Real-Time Market in hour h</w:t>
      </w:r>
    </w:p>
    <w:p w:rsidR="00791A4B" w:rsidRDefault="00F753F8">
      <w:pPr>
        <w:pStyle w:val="alphapara"/>
        <w:ind w:firstLine="0"/>
      </w:pPr>
      <w:r>
        <w:t>Market Party MWh</w:t>
      </w:r>
      <w:r>
        <w:rPr>
          <w:vertAlign w:val="subscript"/>
        </w:rPr>
        <w:t>gh</w:t>
      </w:r>
      <w:r>
        <w:t xml:space="preserve"> =</w:t>
      </w:r>
      <w:r>
        <w:t xml:space="preserve"> MWh produced by Market Party’s Generator g that was scheduled to produce energy in hour h in the Real-Time Market  </w:t>
      </w:r>
    </w:p>
    <w:p w:rsidR="00791A4B" w:rsidRDefault="00F753F8">
      <w:pPr>
        <w:pStyle w:val="alphapara"/>
        <w:ind w:firstLine="0"/>
      </w:pPr>
      <w:r>
        <w:t>▲ simplified guarantee payment</w:t>
      </w:r>
      <w:r>
        <w:rPr>
          <w:vertAlign w:val="subscript"/>
        </w:rPr>
        <w:t>g</w:t>
      </w:r>
      <w:r>
        <w:t xml:space="preserve"> = the change in the Real-Time Market guarantee payment that the Market Party receives for Generator g, dete</w:t>
      </w:r>
      <w:r>
        <w:t>rmined when the ISO performs a simplified Bid Production Cost guarantee payment impact test using the threshold specified in Section 23.3.2.1.2 of these Mitigation Measures.  The simplified guarantee payment shall be based upon actual Real-Time Bids, actua</w:t>
      </w:r>
      <w:r>
        <w:t>l Real-Time Generator LBMPs, and reference levels that are the greater of (a) a revised reference level calculated using the Generator’s actual fuel costs, or (b) the reference level that would have been in place for the Generator but for the submission of</w:t>
      </w:r>
      <w:r>
        <w:t xml:space="preserve"> inaccurate fuel type and/or fuel price information</w:t>
      </w:r>
    </w:p>
    <w:p w:rsidR="00791A4B" w:rsidRDefault="00F753F8">
      <w:pPr>
        <w:pStyle w:val="romannumeralpara"/>
      </w:pPr>
      <w:r>
        <w:t>23.4.3.3.4</w:t>
      </w:r>
      <w:r>
        <w:tab/>
        <w:t>If the opportunity to submit Incremental Energy Bids into the real-time market that exceed Incremental Energy Bids made in the Day-Ahead Market or mitigated Day-Ahead Incremental Energy Bids wh</w:t>
      </w:r>
      <w:r>
        <w:t>ere appropriate, has been revoked on a Market Party’s Generator pursuant to Sections 23.4.7.2 and 23.4.7.3 of these Mitigation Measures, then the following virtual market penalty may be imposed on the Market Party:</w:t>
      </w:r>
    </w:p>
    <w:p w:rsidR="00791A4B" w:rsidRDefault="00F753F8">
      <w:pPr>
        <w:pStyle w:val="alphapara"/>
        <w:ind w:firstLine="0"/>
      </w:pPr>
      <w:r>
        <w:t>Virtual market penalty = (Virtual Load MW</w:t>
      </w:r>
      <w:r>
        <w:t>s) * (Amount by which the hourly integrated real-time LBMP exceeds the day-ahead LBMP applicable to the Virtual Load MWs)</w:t>
      </w:r>
    </w:p>
    <w:p w:rsidR="00791A4B" w:rsidRDefault="00F753F8">
      <w:pPr>
        <w:pStyle w:val="alphapara"/>
        <w:ind w:firstLine="0"/>
      </w:pPr>
      <w:r>
        <w:t>WHERE:</w:t>
      </w:r>
    </w:p>
    <w:p w:rsidR="00791A4B" w:rsidRDefault="00F753F8">
      <w:pPr>
        <w:pStyle w:val="alphapara"/>
        <w:ind w:firstLine="0"/>
      </w:pPr>
      <w:r>
        <w:t>Virtual Load MWs are the scheduled MWs of Virtual Load Bid by the Market Party in the hour for which an increased real-time Bid</w:t>
      </w:r>
      <w:r>
        <w:t xml:space="preserve"> for the Market Party’s Generator failed the test specified in Section 23.4.7.2 of these Mitigation Measures; and </w:t>
      </w:r>
    </w:p>
    <w:p w:rsidR="00791A4B" w:rsidRDefault="00F753F8">
      <w:pPr>
        <w:pStyle w:val="alphapara"/>
        <w:ind w:firstLine="0"/>
      </w:pPr>
      <w:r>
        <w:t>LBMP is the LBMP at which the Virtual Load MWs settled in the Day-Ahead and real-time Markets.</w:t>
      </w:r>
    </w:p>
    <w:p w:rsidR="00791A4B" w:rsidRDefault="00F753F8">
      <w:pPr>
        <w:pStyle w:val="alphapara"/>
      </w:pPr>
      <w:r>
        <w:t>23.4.3.3.5</w:t>
      </w:r>
      <w:r>
        <w:tab/>
        <w:t>Real-Time LBMPs shall not be revise</w:t>
      </w:r>
      <w:r>
        <w:t>d as a result of the imposition of a financial obligation as specified in this Section 23.4.3.3, except as may be specifically authorized by the Commission.</w:t>
      </w:r>
    </w:p>
    <w:p w:rsidR="00791A4B" w:rsidRDefault="00F753F8">
      <w:pPr>
        <w:pStyle w:val="Heading4"/>
        <w:rPr>
          <w:bCs/>
        </w:rPr>
      </w:pPr>
      <w:r>
        <w:t>23.</w:t>
      </w:r>
      <w:r>
        <w:rPr>
          <w:bCs/>
        </w:rPr>
        <w:t>4.3.4</w:t>
      </w:r>
      <w:r>
        <w:rPr>
          <w:bCs/>
        </w:rPr>
        <w:tab/>
        <w:t>Multipliers</w:t>
      </w:r>
    </w:p>
    <w:p w:rsidR="00791A4B" w:rsidRDefault="00F753F8">
      <w:pPr>
        <w:pStyle w:val="Bodypara"/>
      </w:pPr>
      <w:bookmarkStart w:id="22" w:name="_DV_C60"/>
      <w:r>
        <w:t>The Base Penalty Amount specified in Section 23.4.3.3.1 shall be subject to th</w:t>
      </w:r>
      <w:r>
        <w:t>e</w:t>
      </w:r>
      <w:r>
        <w:rPr>
          <w:u w:val="single"/>
        </w:rPr>
        <w:t xml:space="preserve"> </w:t>
      </w:r>
      <w:r>
        <w:t>following multipliers:</w:t>
      </w:r>
      <w:bookmarkEnd w:id="22"/>
    </w:p>
    <w:p w:rsidR="00791A4B" w:rsidRDefault="00F753F8">
      <w:pPr>
        <w:pStyle w:val="alphapara"/>
        <w:rPr>
          <w:bCs/>
        </w:rPr>
      </w:pPr>
      <w:bookmarkStart w:id="23" w:name="_DV_IPM94"/>
      <w:bookmarkStart w:id="24" w:name="_DV_IPM95"/>
      <w:bookmarkStart w:id="25" w:name="_DV_C61"/>
      <w:bookmarkEnd w:id="23"/>
      <w:bookmarkEnd w:id="24"/>
      <w:r>
        <w:t>23.</w:t>
      </w:r>
      <w:r>
        <w:rPr>
          <w:bCs/>
        </w:rPr>
        <w:t>4.3.4.1</w:t>
      </w:r>
      <w:r>
        <w:rPr>
          <w:bCs/>
        </w:rPr>
        <w:tab/>
        <w:t xml:space="preserve">For the first instance of a </w:t>
      </w:r>
      <w:r>
        <w:t>type</w:t>
      </w:r>
      <w:r>
        <w:rPr>
          <w:bCs/>
        </w:rPr>
        <w:t xml:space="preserve"> of conduct by a Market Party meeting the standards for mitigation, the multiplier shall be one (1).</w:t>
      </w:r>
      <w:bookmarkEnd w:id="25"/>
    </w:p>
    <w:p w:rsidR="00791A4B" w:rsidRDefault="00F753F8">
      <w:pPr>
        <w:pStyle w:val="alphapara"/>
        <w:rPr>
          <w:bCs/>
        </w:rPr>
      </w:pPr>
      <w:r>
        <w:t>23.</w:t>
      </w:r>
      <w:r>
        <w:rPr>
          <w:bCs/>
        </w:rPr>
        <w:t>4.3.4.2</w:t>
      </w:r>
      <w:r>
        <w:tab/>
        <w:t>For the second instance within the current or the two immediately previous c</w:t>
      </w:r>
      <w:r>
        <w:t>apability periods of substantially similar conduct in the same market by a Market Party or its Affiliates, the multiplier shall be one (1),</w:t>
      </w:r>
    </w:p>
    <w:p w:rsidR="00791A4B" w:rsidRDefault="00F753F8">
      <w:pPr>
        <w:pStyle w:val="alphapara"/>
        <w:rPr>
          <w:bCs/>
        </w:rPr>
      </w:pPr>
      <w:r>
        <w:t>23.</w:t>
      </w:r>
      <w:r>
        <w:rPr>
          <w:bCs/>
        </w:rPr>
        <w:t>4.3.4.3</w:t>
      </w:r>
      <w:r>
        <w:rPr>
          <w:bCs/>
        </w:rPr>
        <w:tab/>
        <w:t xml:space="preserve">For the </w:t>
      </w:r>
      <w:r>
        <w:t>third</w:t>
      </w:r>
      <w:r>
        <w:rPr>
          <w:bCs/>
        </w:rPr>
        <w:t xml:space="preserve"> instance within the current or the two immediately previous capability periods of substantially similar conduct in the same market by a Market</w:t>
      </w:r>
      <w:r>
        <w:t xml:space="preserve"> </w:t>
      </w:r>
      <w:r>
        <w:rPr>
          <w:bCs/>
        </w:rPr>
        <w:t>Party or its Affiliates, the multiplier shall be two (2),</w:t>
      </w:r>
    </w:p>
    <w:p w:rsidR="00791A4B" w:rsidRDefault="00F753F8">
      <w:pPr>
        <w:pStyle w:val="alphapara"/>
        <w:rPr>
          <w:bCs/>
        </w:rPr>
      </w:pPr>
      <w:r>
        <w:t>23.</w:t>
      </w:r>
      <w:r>
        <w:rPr>
          <w:bCs/>
        </w:rPr>
        <w:t>4.3.4.4</w:t>
      </w:r>
      <w:r>
        <w:rPr>
          <w:bCs/>
        </w:rPr>
        <w:tab/>
        <w:t>For the fourth or any additional instance w</w:t>
      </w:r>
      <w:r>
        <w:rPr>
          <w:bCs/>
        </w:rPr>
        <w:t xml:space="preserve">ithin the current or immediately previous capability period of substantially similar conduct in the same market by a </w:t>
      </w:r>
      <w:r>
        <w:t>Market</w:t>
      </w:r>
      <w:r>
        <w:rPr>
          <w:bCs/>
        </w:rPr>
        <w:t xml:space="preserve"> Party or its Affiliates, the multiplier shall be three (3).</w:t>
      </w:r>
    </w:p>
    <w:p w:rsidR="00791A4B" w:rsidRDefault="00F753F8">
      <w:pPr>
        <w:pStyle w:val="Heading4"/>
        <w:rPr>
          <w:bCs/>
        </w:rPr>
      </w:pPr>
      <w:bookmarkStart w:id="26" w:name="_DV_C71"/>
      <w:r>
        <w:t>23.</w:t>
      </w:r>
      <w:r>
        <w:rPr>
          <w:bCs/>
        </w:rPr>
        <w:t>4.3.5</w:t>
      </w:r>
      <w:r>
        <w:rPr>
          <w:bCs/>
        </w:rPr>
        <w:tab/>
        <w:t>Dispute Resolution</w:t>
      </w:r>
      <w:bookmarkEnd w:id="26"/>
    </w:p>
    <w:p w:rsidR="00791A4B" w:rsidRDefault="00F753F8">
      <w:pPr>
        <w:pStyle w:val="alphapara"/>
        <w:rPr>
          <w:bCs/>
        </w:rPr>
      </w:pPr>
      <w:bookmarkStart w:id="27" w:name="_DV_C72"/>
      <w:r>
        <w:t>23.</w:t>
      </w:r>
      <w:r>
        <w:rPr>
          <w:bCs/>
        </w:rPr>
        <w:t>4.3.5.1</w:t>
      </w:r>
      <w:r>
        <w:rPr>
          <w:bCs/>
        </w:rPr>
        <w:tab/>
      </w:r>
      <w:r>
        <w:rPr>
          <w:bCs/>
        </w:rPr>
        <w:t xml:space="preserve">Parties with of disputes arising from or relating to the imposition of a sanction under this Section 23.4.3 may utilize the dispute resolution provisions of the ISO Services Tariff.  The scope of any such proceeding shall include resolution of any dispute </w:t>
      </w:r>
      <w:r>
        <w:rPr>
          <w:bCs/>
        </w:rPr>
        <w:t xml:space="preserve">as to legitimate justifications, </w:t>
      </w:r>
      <w:r>
        <w:t>under</w:t>
      </w:r>
      <w:r>
        <w:rPr>
          <w:bCs/>
        </w:rPr>
        <w:t xml:space="preserve"> applicable legal, regulatory or policy standards, for any conduct that is asserted to warrant a penalty.  Any or all of the issues in any such proceeding may be resolved by agreement of the parties.</w:t>
      </w:r>
      <w:bookmarkEnd w:id="27"/>
    </w:p>
    <w:p w:rsidR="00791A4B" w:rsidRDefault="00F753F8">
      <w:pPr>
        <w:pStyle w:val="alphapara"/>
        <w:rPr>
          <w:bCs/>
        </w:rPr>
      </w:pPr>
      <w:bookmarkStart w:id="28" w:name="_DV_C73"/>
      <w:r>
        <w:t>23.</w:t>
      </w:r>
      <w:r>
        <w:rPr>
          <w:bCs/>
        </w:rPr>
        <w:t>4.3.5.2</w:t>
      </w:r>
      <w:r>
        <w:rPr>
          <w:bCs/>
        </w:rPr>
        <w:tab/>
        <w:t>Payment</w:t>
      </w:r>
      <w:r>
        <w:rPr>
          <w:bCs/>
        </w:rPr>
        <w:t xml:space="preserve"> of a financial penalty may be withheld pending conclusion of any arbitration or other alternate dispute resolution proceeding instituted pursuant to the preceding paragraph and any petition to FERC for review under the Federal Power Act of the determinati</w:t>
      </w:r>
      <w:r>
        <w:rPr>
          <w:bCs/>
        </w:rPr>
        <w:t>on in such dispute resolution proceeding; provided, however, that interest at the ISO’s average cost of borrowing shall be payable on any part of the penalty that is withheld, and that is determined to be payable at the conclusion of the dispute resolution</w:t>
      </w:r>
      <w:r>
        <w:rPr>
          <w:bCs/>
        </w:rPr>
        <w:t>/FERC review process from the date of the infraction giving rise to the penalty to the date of payment.  The exclusive remedy for the inappropriate imposition of a financial penalty, to the exclusion of any claim for damages or any other form of relief, sh</w:t>
      </w:r>
      <w:r>
        <w:rPr>
          <w:bCs/>
        </w:rPr>
        <w:t>all be a determination that a penalty should not have been imposed, and a refund with interest of paid amounts of a penalty determined to have been improperly imposed, as may be determined in the applicable dispute resolution proceedings.</w:t>
      </w:r>
      <w:bookmarkEnd w:id="28"/>
    </w:p>
    <w:p w:rsidR="00791A4B" w:rsidRDefault="00F753F8">
      <w:pPr>
        <w:pStyle w:val="alphapara"/>
        <w:rPr>
          <w:bCs/>
        </w:rPr>
      </w:pPr>
      <w:r>
        <w:t>23.</w:t>
      </w:r>
      <w:r>
        <w:rPr>
          <w:bCs/>
        </w:rPr>
        <w:t>4.3.5.3</w:t>
      </w:r>
      <w:r>
        <w:rPr>
          <w:bCs/>
        </w:rPr>
        <w:tab/>
        <w:t>This S</w:t>
      </w:r>
      <w:r>
        <w:rPr>
          <w:bCs/>
        </w:rPr>
        <w:t>ection 23.4.3 shall not be deemed to provide any right to damages or any other form of relief that would otherwise be barred by Section 30.11 of Attachment O or Section 23.6 of this Attachment H.</w:t>
      </w:r>
    </w:p>
    <w:p w:rsidR="00791A4B" w:rsidRDefault="00F753F8">
      <w:pPr>
        <w:pStyle w:val="alphapara"/>
        <w:rPr>
          <w:bCs/>
        </w:rPr>
      </w:pPr>
      <w:bookmarkStart w:id="29" w:name="_DV_IPM69"/>
      <w:bookmarkEnd w:id="29"/>
      <w:r>
        <w:t>23.</w:t>
      </w:r>
      <w:r>
        <w:rPr>
          <w:bCs/>
        </w:rPr>
        <w:t>4.3.5.4</w:t>
      </w:r>
      <w:r>
        <w:rPr>
          <w:bCs/>
        </w:rPr>
        <w:tab/>
        <w:t xml:space="preserve">This </w:t>
      </w:r>
      <w:r>
        <w:t>Section</w:t>
      </w:r>
      <w:r>
        <w:rPr>
          <w:bCs/>
        </w:rPr>
        <w:t xml:space="preserve"> 23.4.3 shall not restrict the right </w:t>
      </w:r>
      <w:r>
        <w:rPr>
          <w:bCs/>
        </w:rPr>
        <w:t>of any party to make such filing with the Commission as may otherwise be appropriate under the Federal Power Act.</w:t>
      </w:r>
    </w:p>
    <w:p w:rsidR="00791A4B" w:rsidRDefault="00F753F8">
      <w:pPr>
        <w:pStyle w:val="Heading4"/>
      </w:pPr>
      <w:bookmarkStart w:id="30" w:name="_DV_IPM70"/>
      <w:bookmarkEnd w:id="30"/>
      <w:r>
        <w:t>23.4.3.6</w:t>
      </w:r>
      <w:r>
        <w:tab/>
        <w:t>Disposition of Penalty Funds</w:t>
      </w:r>
    </w:p>
    <w:p w:rsidR="00791A4B" w:rsidRDefault="00F753F8">
      <w:pPr>
        <w:pStyle w:val="Bodypara"/>
        <w:rPr>
          <w:bCs/>
        </w:rPr>
      </w:pPr>
      <w:bookmarkStart w:id="31" w:name="_DV_IPM71"/>
      <w:bookmarkEnd w:id="31"/>
      <w:r>
        <w:rPr>
          <w:bCs/>
        </w:rPr>
        <w:t xml:space="preserve">Except as specified in Section 23.4.4.3.2, amounts collected as a result of the imposition of financial </w:t>
      </w:r>
      <w:r>
        <w:rPr>
          <w:bCs/>
        </w:rPr>
        <w:t xml:space="preserve">penalties shall be credited against costs </w:t>
      </w:r>
      <w:r>
        <w:t>collectable</w:t>
      </w:r>
      <w:r>
        <w:rPr>
          <w:bCs/>
        </w:rPr>
        <w:t xml:space="preserve"> under Rate Schedule 1 of the ISO Services Tariff.</w:t>
      </w:r>
    </w:p>
    <w:p w:rsidR="00791A4B" w:rsidRDefault="00F753F8">
      <w:pPr>
        <w:pStyle w:val="Heading3"/>
      </w:pPr>
      <w:bookmarkStart w:id="32" w:name="_DV_M154"/>
      <w:bookmarkStart w:id="33" w:name="_Toc261252174"/>
      <w:bookmarkEnd w:id="32"/>
      <w:r>
        <w:t>23.4.4</w:t>
      </w:r>
      <w:r>
        <w:tab/>
        <w:t>Load Bid Measure</w:t>
      </w:r>
      <w:bookmarkEnd w:id="33"/>
    </w:p>
    <w:p w:rsidR="00791A4B" w:rsidRDefault="00F753F8">
      <w:pPr>
        <w:pStyle w:val="Heading4"/>
      </w:pPr>
      <w:bookmarkStart w:id="34" w:name="_DV_M155"/>
      <w:bookmarkEnd w:id="34"/>
      <w:r>
        <w:t>23.4.4.1</w:t>
      </w:r>
      <w:r>
        <w:tab/>
        <w:t>Purpose</w:t>
      </w:r>
    </w:p>
    <w:p w:rsidR="00791A4B" w:rsidRDefault="00F753F8">
      <w:pPr>
        <w:pStyle w:val="Bodypara"/>
      </w:pPr>
      <w:bookmarkStart w:id="35" w:name="_DV_M156"/>
      <w:bookmarkEnd w:id="35"/>
      <w:r>
        <w:t xml:space="preserve">As initially implemented, the ISO market rules allow loads to choose to purchase power in either the Day-Ahead </w:t>
      </w:r>
      <w:r>
        <w:t xml:space="preserve">Market or in the Real-Time Market, but provide other Market Parties less flexibility in opting to sell their output in the Real-Time Market.  As a result of this and other design features, certain bidding practices may cause Day-Ahead LBMPs not to achieve </w:t>
      </w:r>
      <w:r>
        <w:t xml:space="preserve">the degree of convergence with Real-Time LBMPs that would be expected in a workably competitive market.  A temporary mitigation measure is specified below as an interim remedy if conditions warrant action by the ISO until such time as the ISO develops and </w:t>
      </w:r>
      <w:r>
        <w:t>implements an effective long-term remedy, if needed.  These measures shall only be imposed if persistent unscheduled load causes operational problems, including but not limited to an inability to meet unscheduled load with available resources.  The ISO sha</w:t>
      </w:r>
      <w:r>
        <w:t>ll post a description of any such operational problem on its web site.</w:t>
      </w:r>
    </w:p>
    <w:p w:rsidR="00791A4B" w:rsidRDefault="00F753F8">
      <w:pPr>
        <w:pStyle w:val="Heading4"/>
      </w:pPr>
      <w:bookmarkStart w:id="36" w:name="_DV_M157"/>
      <w:bookmarkEnd w:id="36"/>
      <w:r>
        <w:t>23.4.4.2</w:t>
      </w:r>
      <w:r>
        <w:tab/>
        <w:t>Implementation</w:t>
      </w:r>
    </w:p>
    <w:p w:rsidR="00791A4B" w:rsidRDefault="00F753F8">
      <w:pPr>
        <w:pStyle w:val="romannumeralpara"/>
      </w:pPr>
      <w:bookmarkStart w:id="37" w:name="_DV_M158"/>
      <w:bookmarkEnd w:id="37"/>
      <w:r>
        <w:t>23.4.4.2.1</w:t>
      </w:r>
      <w:r>
        <w:tab/>
        <w:t>Day-Ahead LBMPs and Real-Time LBMPs in each load zone shall be monitored to determine whether there is a persistent hourly deviation between them in a</w:t>
      </w:r>
      <w:r>
        <w:t>ny zone that would not be expected in a workably competitive market. Monitoring of Day-Ahead and real-time LBMPs shall include examination of the following two metrics (along with any additional monitoring tools and procedures that the ISO determines to be</w:t>
      </w:r>
      <w:r>
        <w:t xml:space="preserve"> appropriate to achieve the purpose of this Section 23.4.4):</w:t>
      </w:r>
    </w:p>
    <w:p w:rsidR="00791A4B" w:rsidRDefault="00F753F8">
      <w:pPr>
        <w:pStyle w:val="alphapara"/>
      </w:pPr>
      <w:r>
        <w:tab/>
        <w:t>(1) The ISO shall compute a rolling average of the hourly deviation of real-time zonal LBMPs from Day-Ahead zonal LBMPs.  The hourly deviation shall be measured as: (zonal LBMP</w:t>
      </w:r>
      <w:r>
        <w:rPr>
          <w:vertAlign w:val="subscript"/>
        </w:rPr>
        <w:t>real time</w:t>
      </w:r>
      <w:r>
        <w:t xml:space="preserve"> - zonal </w:t>
      </w:r>
      <w:r>
        <w:t>LBMP</w:t>
      </w:r>
      <w:r>
        <w:rPr>
          <w:vertAlign w:val="subscript"/>
        </w:rPr>
        <w:t>day ahead</w:t>
      </w:r>
      <w:r>
        <w:t xml:space="preserve">).  Each observation of the rolling-average time series shall be a simple average of all the hourly deviations over the previous four weeks, or such other averaging period determined by the ISO to be appropriate to achieve the purpose of this </w:t>
      </w:r>
      <w:r>
        <w:t>Section 23.4.4.</w:t>
      </w:r>
    </w:p>
    <w:p w:rsidR="00791A4B" w:rsidRDefault="00F753F8">
      <w:pPr>
        <w:pStyle w:val="alphapara"/>
      </w:pPr>
      <w:r>
        <w:tab/>
        <w:t xml:space="preserve">(2) The ISO shall also compute the rolling average </w:t>
      </w:r>
      <w:r>
        <w:rPr>
          <w:i/>
        </w:rPr>
        <w:t>percentage</w:t>
      </w:r>
      <w:r>
        <w:t xml:space="preserve"> deviation of real-time zonal LBMPs from Day-Ahead zonal LBMPs.  This percentage deviation shall be calculated by dividing the rolling-average hourly deviation (defined in Sectio</w:t>
      </w:r>
      <w:r>
        <w:t xml:space="preserve">n 23.4.4.2.1 (1) above) by the rolling-average level of Day-Ahead zonal LBMP over the same time period, using the averaging period(s) described in Section 23.4.4.2.1 (1), above. </w:t>
      </w:r>
    </w:p>
    <w:p w:rsidR="00791A4B" w:rsidRDefault="00F753F8">
      <w:pPr>
        <w:pStyle w:val="alphapara"/>
      </w:pPr>
      <w:bookmarkStart w:id="38" w:name="_DV_M159"/>
      <w:bookmarkStart w:id="39" w:name="_DV_M160"/>
      <w:bookmarkEnd w:id="38"/>
      <w:bookmarkEnd w:id="39"/>
      <w:r>
        <w:t>23.4.4.2.2</w:t>
      </w:r>
      <w:r>
        <w:tab/>
        <w:t xml:space="preserve">The ISO shall also estimate and monitor the average percentage of </w:t>
      </w:r>
      <w:r>
        <w:t>each Load Serving Entity’s load scheduled in the Day-Ahead Market, using a methodology intended to identify a sustained pattern of under-bidding as accurately as the ISO deems practicable.  The average percentage will be computed over a specified time peri</w:t>
      </w:r>
      <w:r>
        <w:t>od determined by the ISO to be appropriate to achieve the purpose of this mitigation measure.</w:t>
      </w:r>
    </w:p>
    <w:p w:rsidR="00791A4B" w:rsidRDefault="00F753F8">
      <w:pPr>
        <w:pStyle w:val="alphapara"/>
      </w:pPr>
      <w:bookmarkStart w:id="40" w:name="_DV_IPM88"/>
      <w:bookmarkStart w:id="41" w:name="_DV_IPM100"/>
      <w:bookmarkStart w:id="42" w:name="_DV_M102"/>
      <w:bookmarkStart w:id="43" w:name="_DV_C103"/>
      <w:bookmarkEnd w:id="9"/>
      <w:bookmarkEnd w:id="40"/>
      <w:bookmarkEnd w:id="41"/>
      <w:bookmarkEnd w:id="42"/>
      <w:r>
        <w:t>23.4.4.2.3</w:t>
      </w:r>
      <w:r>
        <w:tab/>
        <w:t>If the ISO determines that (i) the relationship between zonal LBMPs in a zone in the Day-Ahead Market and the Real-Time Market is not what would be exp</w:t>
      </w:r>
      <w:r>
        <w:t xml:space="preserve">ected under conditions of workable competition, (ii) one or more Load Serving Entities have been meeting a substantial portion of their loads with purchases in the Real-Time Market, and (iii) that this practice has contributed to an unwarranted divergence </w:t>
      </w:r>
      <w:r>
        <w:t>of LBMP between the two markets, then the following mitigation measure may be imposed.  Any such measure shall be rescinded upon a determination by the ISO that any one or more of the foregoing conditions is not met.</w:t>
      </w:r>
    </w:p>
    <w:p w:rsidR="00791A4B" w:rsidRDefault="00F753F8">
      <w:pPr>
        <w:pStyle w:val="Heading4"/>
      </w:pPr>
      <w:bookmarkStart w:id="44" w:name="_DV_M103"/>
      <w:bookmarkEnd w:id="44"/>
      <w:r>
        <w:t>23.4.4.3</w:t>
      </w:r>
      <w:r>
        <w:tab/>
        <w:t>Description of the Measure</w:t>
      </w:r>
    </w:p>
    <w:p w:rsidR="00791A4B" w:rsidRDefault="00F753F8">
      <w:pPr>
        <w:pStyle w:val="alphapara"/>
      </w:pPr>
      <w:bookmarkStart w:id="45" w:name="_DV_M104"/>
      <w:bookmarkEnd w:id="45"/>
      <w:r>
        <w:t>23.</w:t>
      </w:r>
      <w:r>
        <w:t>4.4.3.1</w:t>
      </w:r>
      <w:r>
        <w:tab/>
        <w:t>The ISO may require a Load Serving Entity engaging in the purchasing practice described above to purchase or schedule all of its expected power requirements in the Day-Ahead Market.  A Load Serving Entity subject to this requirement may purchase up</w:t>
      </w:r>
      <w:r>
        <w:t xml:space="preserve"> to a specified portion of it actual load requirements (the “Allowance Level”) in the Real-Time Market without penalty, as determined by the ISO to be appropriate in recognition of the uncertainty of load forecasting.  </w:t>
      </w:r>
    </w:p>
    <w:p w:rsidR="00791A4B" w:rsidRDefault="00F753F8">
      <w:pPr>
        <w:pStyle w:val="alphapara"/>
      </w:pPr>
      <w:bookmarkStart w:id="46" w:name="_DV_M105"/>
      <w:bookmarkEnd w:id="46"/>
      <w:r>
        <w:t>23.4.4.3.2</w:t>
      </w:r>
      <w:r>
        <w:tab/>
        <w:t>Effective with the imposi</w:t>
      </w:r>
      <w:r>
        <w:t>tion of the foregoing requirement, all purchases in the Real-Time Market in excess of this Allowance Level (the “Penalty Level”) shall be settled at a specified premium over the applicable zone LBMP.  Revenues from such premiums, if any, shall be rebated o</w:t>
      </w:r>
      <w:r>
        <w:t>n a pro</w:t>
      </w:r>
      <w:r>
        <w:rPr>
          <w:i/>
        </w:rPr>
        <w:t xml:space="preserve"> rata</w:t>
      </w:r>
      <w:r>
        <w:t xml:space="preserve"> basis to the Market Parties that scheduled energy for delivery to load within New York in the Day-Ahead Market for the day in which the revenues were collected.</w:t>
      </w:r>
    </w:p>
    <w:p w:rsidR="00791A4B" w:rsidRDefault="00F753F8">
      <w:pPr>
        <w:pStyle w:val="alphapara"/>
      </w:pPr>
      <w:bookmarkStart w:id="47" w:name="_DV_M106"/>
      <w:bookmarkEnd w:id="47"/>
      <w:r>
        <w:t>23.4.4.3.3</w:t>
      </w:r>
      <w:r>
        <w:tab/>
        <w:t>The Allowance Level and the Penalty Level shall be established by the I</w:t>
      </w:r>
      <w:r>
        <w:t xml:space="preserve">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system condit</w:t>
      </w:r>
      <w:r>
        <w:t>ions.</w:t>
      </w:r>
    </w:p>
    <w:p w:rsidR="00791A4B" w:rsidRDefault="00F753F8">
      <w:pPr>
        <w:pStyle w:val="Heading3"/>
      </w:pPr>
      <w:bookmarkStart w:id="49" w:name="_DV_M108"/>
      <w:bookmarkStart w:id="50" w:name="_Toc261252175"/>
      <w:bookmarkEnd w:id="49"/>
      <w:r>
        <w:t>23.4.5</w:t>
      </w:r>
      <w:r>
        <w:tab/>
        <w:t>Installed Capacity Market Mitigation Measures</w:t>
      </w:r>
      <w:bookmarkEnd w:id="50"/>
    </w:p>
    <w:p w:rsidR="00791A4B" w:rsidRDefault="00F753F8">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of installed</w:t>
      </w:r>
      <w:r>
        <w:t xml:space="preserve"> capacity would be likely to result in a material change in the price for installed capacity in all or some portion of New York, the ISO, in consideration of the comments of the Market Parties and other interested parties, shall amend this Attachment H, in</w:t>
      </w:r>
      <w:r>
        <w:t xml:space="preserve"> accordance with the procedures and requirements for amending the Plan, to implement appropriate mitigation measures for installed capacity markets.</w:t>
      </w:r>
    </w:p>
    <w:p w:rsidR="00791A4B" w:rsidRDefault="00F753F8">
      <w:pPr>
        <w:pStyle w:val="alphapara"/>
        <w:rPr>
          <w:bCs/>
          <w:strike/>
        </w:rPr>
      </w:pPr>
      <w:bookmarkStart w:id="52" w:name="_DV_IPM101"/>
      <w:bookmarkEnd w:id="52"/>
      <w:r>
        <w:t>23.4.5.2</w:t>
      </w:r>
      <w:r>
        <w:rPr>
          <w:bCs/>
        </w:rPr>
        <w:tab/>
        <w:t xml:space="preserve">Offers to sell Mitigated UCAP in an ICAP Spot Market Auction shall not be higher than the higher </w:t>
      </w:r>
      <w:r>
        <w:t>o</w:t>
      </w:r>
      <w:r>
        <w:t>f (a) the UCAP Offer Reference Level for the applicable ICAP Spot Market Auction, or (b) the Going-Forward Costs of the Installed Capacity Supplier supplying the Mitigated UCAP.  Where an Installed Capacity Supplier is a Pivotal Supplier in some, but not a</w:t>
      </w:r>
      <w:r>
        <w:t>ll, Mitigated Capacity Zones in which it has Resources, such Installed Capacity Supplier’s offer to sell Mitigated UCAP in any ICAP Spot Market Auction for any Resource for which it is a Pivotal Supplier shall not be higher than the higher of (a) the lowes</w:t>
      </w:r>
      <w:r>
        <w:t>t of the UCAP Offer Reference Levels for each Mitigated Capacity Zone in which such Installed Capacity Supplier has Resources; or (b) if an Offer for a Resource has an applicable Going-Forward Cost, such Going-Forward Cost.</w:t>
      </w:r>
    </w:p>
    <w:p w:rsidR="00791A4B" w:rsidRDefault="00F753F8">
      <w:pPr>
        <w:pStyle w:val="alphapara"/>
        <w:rPr>
          <w:bCs/>
        </w:rPr>
      </w:pPr>
      <w:r>
        <w:t>23.4.5.3</w:t>
      </w:r>
      <w:r>
        <w:tab/>
        <w:t>An Installed Capacity S</w:t>
      </w:r>
      <w:r>
        <w:t>upplier’s Going-Forward Costs for an ICAP Spot Market Auction shall be determined upon the request of the Responsible Market Party for that Installed Capacity Supplier.  The Going-Forward Costs shall be determined by the ISO after consultation with the Res</w:t>
      </w:r>
      <w:r>
        <w:t>ponsible Market Party, provided such consultation is requested by the Responsible Market Party not later than 50 business days prior to the deadline for offers to sell Unforced Capacity in such auction, and provided such request is supported by a submissio</w:t>
      </w:r>
      <w:r>
        <w:t>n showing the Installed Capacity Supplier’s relevant costs in accordance with specifications provided by the ISO.  Such submission shall show (1) the nature, amount and determination of any claimed Going-Forward Cost, and (2) that the cost would be avoided</w:t>
      </w:r>
      <w:r>
        <w:t xml:space="preserve"> if the Installed Capacity Supplier is taken out of service or retired, as applicable.  If the foregoing requirements are met, the ISO shall determine the level of the Installed Capacity Supplier’s Going-Forward Costs and shall seasonally adjust such costs</w:t>
      </w:r>
      <w:r>
        <w:t xml:space="preserve"> not later than 7 days prior to the deadline for submitting offers to sell Unforced Capacity in such auction.  A Responsible Market Party shall request an updated determination of an Installed Capacity Supplier’s Going-Forward Costs not less often than ann</w:t>
      </w:r>
      <w:r>
        <w:t>ually, in the absence of which request the Installed Capacity Supplier’s offer cap shall revert to the UCAP Offer Reference Level.  An updated determination of Going-Forward Costs may be undertaken by the ISO at any time on its own initiative after consult</w:t>
      </w:r>
      <w:r>
        <w:t>ing with the Responsible Market Party.  Any redetermination of an Installed Capacity Supplier’s Going-Forward Costs shall conform to the consultation and determination schedule specified in this paragraph.  The costs that an Installed Capacity Supplier wou</w:t>
      </w:r>
      <w:r>
        <w:t>ld avoid as a result of retiring should only be included in its Going-Forward Costs if the owner or operator of that Installed Capacity Supplier actually plans to mothball or retire it if the Installed Capacity revenues it receives are not sufficient to co</w:t>
      </w:r>
      <w:r>
        <w:t>ver those costs.</w:t>
      </w:r>
    </w:p>
    <w:p w:rsidR="00791A4B" w:rsidRDefault="00F753F8">
      <w:pPr>
        <w:pStyle w:val="alphapara"/>
      </w:pPr>
      <w:r>
        <w:t>23.4.5.4</w:t>
      </w:r>
      <w:r>
        <w:tab/>
        <w:t>Mitigated UCAP shall be offered in each ICAP Spot Market Auction in accordance with Section 5.14.1.1 of the ISO Services Tariff and applicable ISO procedures, unless it has been exported to an External Control Area or sold to meet</w:t>
      </w:r>
      <w:r>
        <w:t xml:space="preserve"> Installed Capacity requirements outside the Mitigated Capacity Zone in which the ICAP Supplier is a Pivotal Supplier is located in a transaction that does not constitute physical withholding under the standards specified below.  </w:t>
      </w:r>
    </w:p>
    <w:p w:rsidR="00791A4B" w:rsidRDefault="00F753F8">
      <w:pPr>
        <w:pStyle w:val="romannumeralpara"/>
        <w:rPr>
          <w:strike/>
        </w:rPr>
      </w:pPr>
      <w:r>
        <w:t xml:space="preserve">23.4.5.4.1  </w:t>
      </w:r>
      <w:r>
        <w:tab/>
        <w:t>An export to</w:t>
      </w:r>
      <w:r>
        <w:t xml:space="preserve">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w:t>
      </w:r>
      <w:r>
        <w:t xml:space="preserve">) may be subject to audit and review by the ISO to assess whether such action constituted physical withholding of UCAP from a Mitigated Capacity Zone.  External Sale UCAP shall be deemed to have been physically withheld on the basis of a comparison of the </w:t>
      </w:r>
      <w:r>
        <w:t>net revenues from UCAP sales that would have been earned by the sale in a Mitigated Capacity Zone of External Sale UCAP.  The comparison shall be made for the period for which Installed Capacity is committed (the “Comparison Period”) in each of the shortes</w:t>
      </w:r>
      <w:r>
        <w:t>t term organized capacity markets (the “External Reconfiguration Markets”) for the area and during the period in which the Mitigated UCAP was exported or sold.  External Sale ICAP shall be deemed to have been withheld from  a Mitigated Capacity Zone if:  (</w:t>
      </w:r>
      <w:r>
        <w:t>1) the Responsible Market Party for the External Sale UCAP could have made all or a portion of the External Sale UCAP available to be offered in the Mitigated Capacity Zone by buying out of its external capacity obligation through participation in an Exter</w:t>
      </w:r>
      <w:r>
        <w:t>nal Reconfiguration Market; and (2) the net revenues over the Comparison Period from sale in the Mitigated Capacity Zone of the External Sale UCAP that could have been made available for sale in that Locality would have been greater by 15% or more, provide</w:t>
      </w:r>
      <w:r>
        <w:t xml:space="preserve">d that the net revenues were at least $2.00/kilowatt-month more than the net UCAP revenues from that portion of the External Sale UCAP over the Comparison Period.  </w:t>
      </w:r>
    </w:p>
    <w:p w:rsidR="00791A4B" w:rsidRDefault="00F753F8">
      <w:pPr>
        <w:pStyle w:val="romannumeralpara"/>
      </w:pPr>
      <w:r>
        <w:t xml:space="preserve">23.4.5.4.2  </w:t>
      </w:r>
      <w:r>
        <w:tab/>
        <w:t>If Mitigated UCAP is not offered or sold as specified above, the Responsible M</w:t>
      </w:r>
      <w:r>
        <w:t>arket Party for such Installed Capacity Supplier shall pay the ISO an amount equal to the product of (A) 1.5 times the difference between the Market-Clearing Price for the Mitigated Capacity Zone in the ICAP Spot Market Auction with and without the inclusi</w:t>
      </w:r>
      <w:r>
        <w:t>on of the Mitigated UCAP and (B) the total of (1) the amount of Mitigated UCAP not offered or sold as specified above, and (2) all other megawatts of Unforced Capacity in the Mitigated Capacity Zone under common Control with such Mitigated UCAP.  If the fa</w:t>
      </w:r>
      <w:r>
        <w:t>ilure to offer was associated with the same period as the sale of External Sale UCAP, and the failure caused or contributed to an increase in UCAP prices in the Mitigated Capacity Zone of 15 percent or more, provided such increase is at least $2.</w:t>
      </w:r>
      <w:r>
        <w:rPr>
          <w:strike/>
        </w:rPr>
        <w:t>5</w:t>
      </w:r>
      <w:r>
        <w:t>00/kilowa</w:t>
      </w:r>
      <w:r>
        <w:t>tt-month, the Responsible Market Party for such Installed Capacity Supplier shall be required to pay to the ISO an amount equal to 1.5 times the lesser of (A) the difference between the average Market-Clearing Price for the Mitigated Capacity Zone in the I</w:t>
      </w:r>
      <w:r>
        <w:t>CAP Spot Market Auctions for the relevant Comparison Period with and without the inclusion of the External Sale UCAP in those auctions, or (B) the difference between such average price and the clearing price in the External Reconfiguration Market for the r</w:t>
      </w:r>
      <w:r>
        <w:t xml:space="preserve">elevant Comparison Period, times the total of (1) the amount of Mitigated UCAP not offered or sold as specified above, and (2) all other megawatts of Unforced Capacity in the Mitigated Capacity Zone under common Control with such Mitigated UCAP.  </w:t>
      </w:r>
      <w:bookmarkStart w:id="53" w:name="OLE_LINK64"/>
      <w:bookmarkStart w:id="54" w:name="OLE_LINK65"/>
      <w:r>
        <w:t>The ISO w</w:t>
      </w:r>
      <w:r>
        <w:t>ill distribute any amounts recovered in accordance with the foregoing provisions among the LSEs serving Loads in regions affected by the withholding in accordance with ISO Procedures.</w:t>
      </w:r>
      <w:bookmarkEnd w:id="53"/>
      <w:bookmarkEnd w:id="54"/>
    </w:p>
    <w:p w:rsidR="00791A4B" w:rsidRDefault="00F753F8">
      <w:pPr>
        <w:pStyle w:val="romannumeralpara"/>
      </w:pPr>
      <w:r>
        <w:t xml:space="preserve">23.4.5.4.3  </w:t>
      </w:r>
      <w:r>
        <w:tab/>
        <w:t>Reasonably in advance of the deadline for submitting offers</w:t>
      </w:r>
      <w:r>
        <w:t xml:space="preserve"> in an External Reconfiguration Market the Responsible Market Party for External Sale UCAP may request the ISO to provide a projection of ICAP Spot Auction clearing prices for the Mitigated Capacity Zone over the Comparison Period for the External Reconfig</w:t>
      </w:r>
      <w:r>
        <w:t>uration Market.  Such requests, and the ISO’s response, shall be made in accordance with the deadlines specified in ISO Procedures.  Prior to completing its projection of ICAP Spot Auction clearing prices for the Mitigated Capacity Zone over the Comparison</w:t>
      </w:r>
      <w:r>
        <w:t xml:space="preserve"> Period for the External Reconfiguration Market, the ISO shall consult with the Market Monitoring Unit regarding such price projection.  The Responsible Market Party shall be exempt from a physical withholding penalty as specified in Section 23.4.5.4.2, be</w:t>
      </w:r>
      <w:r>
        <w:t>low, if at the time of the deadline for submitting offers in an External Reconfiguration Market its offers, if accepted, would reasonably be expected to produce net revenues from External UCAP Sales that would exceed the net revenues that would have been r</w:t>
      </w:r>
      <w:r>
        <w:t>ealized from sale of the External UCAP Sales capacity in the Mitigated Capacity Zone at the ICAP Spot Auction prices projected by the ISO.  The responsibilities of the Market Monitoring Unit that are addressed in this section of the Mitigation Measures are</w:t>
      </w:r>
      <w:r>
        <w:t xml:space="preserve"> also addressed in Section 30.4.6.2.8 of Attachment O.</w:t>
      </w:r>
    </w:p>
    <w:p w:rsidR="00791A4B" w:rsidRDefault="00F753F8">
      <w:pPr>
        <w:pStyle w:val="romannumeralpara"/>
      </w:pPr>
      <w:r>
        <w:t>23.4.5.5</w:t>
      </w:r>
      <w:r>
        <w:tab/>
        <w:t xml:space="preserve">Control of Unforced Capacity </w:t>
      </w:r>
      <w:r>
        <w:rPr>
          <w:bCs/>
        </w:rPr>
        <w:t xml:space="preserve">shall be rebuttably presumed from (i) ownership of an </w:t>
      </w:r>
      <w:r>
        <w:t>Installed</w:t>
      </w:r>
      <w:r>
        <w:rPr>
          <w:bCs/>
        </w:rPr>
        <w:t xml:space="preserve"> Capacity Supplier, or (ii) status as the Responsible Market Party for an Installed Capacity Supplier, but may also be determined on the basis of other evidence.  </w:t>
      </w:r>
      <w:r>
        <w:t>For purposes of determining if a Responsible Market Party is a Pivotal Supplier in a Mitigate</w:t>
      </w:r>
      <w:r>
        <w:t xml:space="preserve">d Capacity Zone except the G-J Locality, </w:t>
      </w:r>
      <w:r>
        <w:rPr>
          <w:bCs/>
        </w:rPr>
        <w:t>the presumption of Control of Unforced Capacity can be rebutted by:  (1) the sale of Unforced Capacity from the Installed Capacity Supplier in a Capability Period Auction or a Monthly Auction, or (2) demonstrating t</w:t>
      </w:r>
      <w:r>
        <w:rPr>
          <w:bCs/>
        </w:rPr>
        <w:t xml:space="preserve">o the reasonable satisfaction of the ISO that the ability to determine the price and quantity of offers to supply Unforced Capacity has been conveyed to a person or entity that is not an Affiliated Entity without limitation or condition.  </w:t>
      </w:r>
      <w:r>
        <w:t>For purposes of d</w:t>
      </w:r>
      <w:r>
        <w:t>etermining if a Responsible Market Party is a Pivotal Supplier in the G-J Locality, the presumption of Control of Unforced Capacity can be rebutted by demonstrating to the reasonable satisfaction of the ISO</w:t>
      </w:r>
      <w:r>
        <w:rPr>
          <w:bCs/>
        </w:rPr>
        <w:t xml:space="preserve"> that the ability to determine the price and quant</w:t>
      </w:r>
      <w:r>
        <w:rPr>
          <w:bCs/>
        </w:rPr>
        <w:t>ity of offers to supply Unforced Capacity has been conveyed to a person or entity that is not an Affiliated Entity without limitation or condition</w:t>
      </w:r>
      <w:r>
        <w:t xml:space="preserve">, but cannot be rebutted by the sale of Unforced Capacity in a Capability Period or Monthly Auction.  For any </w:t>
      </w:r>
      <w:r>
        <w:t xml:space="preserve">Mitigated Capacity Zone, </w:t>
      </w:r>
      <w:r>
        <w:rPr>
          <w:bCs/>
        </w:rPr>
        <w:t xml:space="preserve">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w:t>
      </w:r>
      <w:r>
        <w:rPr>
          <w:bCs/>
        </w:rPr>
        <w:t>antity or price of Unforced Capacity transactions in an ICAP Spot Market Auction, the ISO may attribute Control of the affected MW of Unforced Capacity from the Installed Capacity Supplier to each such Market Party.  Prior to reaching its decision regardin</w:t>
      </w:r>
      <w:r>
        <w:rPr>
          <w:bCs/>
        </w:rPr>
        <w:t xml:space="preserve">g </w:t>
      </w:r>
      <w:r>
        <w:t>whether</w:t>
      </w:r>
      <w:r>
        <w:rPr>
          <w:bCs/>
        </w:rPr>
        <w:t xml:space="preserve"> the presumption of control of Unforced Capacity has been rebutted, the ISO shall provide its preliminary determination</w:t>
      </w:r>
      <w:r>
        <w:t xml:space="preserve"> to the Market Monitoring Unit for review and comment</w:t>
      </w:r>
      <w:r>
        <w:rPr>
          <w:bCs/>
        </w:rPr>
        <w:t xml:space="preserve">.  </w:t>
      </w:r>
      <w:r>
        <w:t>The responsibilities of the Market Monitoring Unit that are addressed in</w:t>
      </w:r>
      <w:r>
        <w:t xml:space="preserve"> this section of the Mitigation Measures are also addressed in Section 30.4.6.2.9 of Attachment O.  </w:t>
      </w:r>
    </w:p>
    <w:p w:rsidR="00791A4B" w:rsidRDefault="00F753F8">
      <w:pPr>
        <w:pStyle w:val="Heading4"/>
      </w:pPr>
      <w:r>
        <w:t>23.4.5.6</w:t>
      </w:r>
      <w:r>
        <w:tab/>
        <w:t>Audit, Review, and Penalties for Physical Withholding to Increase Market-Clearing Prices</w:t>
      </w:r>
    </w:p>
    <w:p w:rsidR="00791A4B" w:rsidRDefault="00F753F8">
      <w:pPr>
        <w:pStyle w:val="Heading4"/>
      </w:pPr>
      <w:r>
        <w:t>23.4.5.6.1</w:t>
      </w:r>
      <w:r>
        <w:tab/>
        <w:t xml:space="preserve">Audit and Review of Proposals or Decisions to </w:t>
      </w:r>
      <w:r>
        <w:t>Remove or Derate Installed Capacity from a Mitigated Capacity Zone</w:t>
      </w:r>
    </w:p>
    <w:p w:rsidR="00791A4B" w:rsidRDefault="00F753F8">
      <w:pPr>
        <w:pStyle w:val="Bodypara"/>
        <w:rPr>
          <w:u w:val="double"/>
        </w:rPr>
      </w:pPr>
      <w:r>
        <w:t>Any proposal or decision by a Market Participant to retire or otherwise remove an Installed Capacity Supplier from a Mitigated Capacity Zone Unforced Capacity market, or to de-rate the amou</w:t>
      </w:r>
      <w:r>
        <w:t xml:space="preserve">nt of Installed Capacity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a Mitigat</w:t>
      </w:r>
      <w:r>
        <w:t>ed Capacity Zone in which the Resource(s) that is the subject of the proposal or decision is located; provided, however,</w:t>
      </w:r>
      <w:r>
        <w:rPr>
          <w:szCs w:val="24"/>
        </w:rPr>
        <w:t xml:space="preserve"> no audit and review shall be necessary if the Installed Capacity Supplier is a Generator that is being retired or removed from a Mitiga</w:t>
      </w:r>
      <w:r>
        <w:rPr>
          <w:szCs w:val="24"/>
        </w:rPr>
        <w:t>ted Capacity Zone as the result of a Forced Outage that began on or after the effective date of the amendments to this Section 23.4.5.6.1 that was determined by the ISO to be a Catastrophic Failure</w:t>
      </w:r>
      <w:r>
        <w:t>.  Such an audit or review shall assess whether the proposa</w:t>
      </w:r>
      <w:r>
        <w:t xml:space="preserve">l or decision has a legitimate economic justification or is based on an effort to withhold Installed Capacity physically in order to affect prices.  The ISO shall provide the preliminary results of its audit or review to the Market Monitoring Unit for its </w:t>
      </w:r>
      <w:r>
        <w:t>review and comment.</w:t>
      </w:r>
      <w:r>
        <w:rPr>
          <w:rStyle w:val="WFYComments"/>
          <w:rFonts w:ascii="Times New Roman" w:hAnsi="Times New Roman" w:cs="Times New Roman"/>
          <w:color w:val="auto"/>
        </w:rPr>
        <w:t xml:space="preserve">  </w:t>
      </w:r>
      <w:r>
        <w:t>The responsibilities of the Market Monitoring Unit that are addressed in this section of the Mitigation Measures are also addressed in Section 30.4.6.2.10 of Attachment O.</w:t>
      </w:r>
      <w:r>
        <w:rPr>
          <w:u w:val="double"/>
        </w:rPr>
        <w:t xml:space="preserve">  </w:t>
      </w:r>
    </w:p>
    <w:p w:rsidR="00791A4B" w:rsidRDefault="00F753F8">
      <w:pPr>
        <w:pStyle w:val="Heading4"/>
        <w:rPr>
          <w:spacing w:val="-1"/>
        </w:rPr>
      </w:pPr>
      <w:r>
        <w:t xml:space="preserve">23.4.5.6.2 </w:t>
      </w:r>
      <w:r>
        <w:tab/>
        <w:t>Audit and Review of the Reclassification of a Gen</w:t>
      </w:r>
      <w:r>
        <w:t>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791A4B" w:rsidRDefault="00F753F8">
      <w:pPr>
        <w:pStyle w:val="Bodypara"/>
      </w:pPr>
      <w:r>
        <w:t xml:space="preserve">This Section 23.4.5.6.2 shall apply to a Market Party whose Installed Capacity Supplier is a Generator that began a Forced Outage on or after the effective date </w:t>
      </w:r>
      <w:r>
        <w:t>of this Section 23.4.5.6.2.</w:t>
      </w:r>
    </w:p>
    <w:p w:rsidR="00791A4B" w:rsidRDefault="00F753F8">
      <w:pPr>
        <w:pStyle w:val="alphapara"/>
        <w:rPr>
          <w:szCs w:val="24"/>
        </w:rPr>
      </w:pPr>
      <w:r>
        <w:rPr>
          <w:szCs w:val="24"/>
        </w:rPr>
        <w:t>23.4.5.6.2.1</w:t>
      </w:r>
      <w:r>
        <w:rPr>
          <w:b/>
          <w:szCs w:val="24"/>
        </w:rPr>
        <w:t xml:space="preserve">  </w:t>
      </w:r>
      <w:del w:id="55" w:author="cutting" w:date="2015-04-10T13:14:00Z">
        <w:r>
          <w:rPr>
            <w:b/>
            <w:szCs w:val="24"/>
          </w:rPr>
          <w:delText xml:space="preserve"> </w:delText>
        </w:r>
      </w:del>
      <w:r>
        <w:rPr>
          <w:szCs w:val="24"/>
        </w:rPr>
        <w:t xml:space="preserve">Any </w:t>
      </w:r>
      <w:r>
        <w:rPr>
          <w:bCs/>
        </w:rPr>
        <w:t>reclassification</w:t>
      </w:r>
      <w:r>
        <w:rPr>
          <w:szCs w:val="24"/>
        </w:rPr>
        <w:t xml:space="preserve"> of </w:t>
      </w:r>
      <w:del w:id="56" w:author="cutting" w:date="2015-04-10T13:14:00Z">
        <w:r>
          <w:rPr>
            <w:szCs w:val="24"/>
          </w:rPr>
          <w:delText xml:space="preserve"> </w:delText>
        </w:r>
      </w:del>
      <w:r>
        <w:rPr>
          <w:szCs w:val="24"/>
        </w:rPr>
        <w:t xml:space="preserve">an </w:t>
      </w:r>
      <w:r>
        <w:t xml:space="preserve">Installed Capacity Supplier that is a </w:t>
      </w:r>
      <w:r>
        <w:rPr>
          <w:szCs w:val="24"/>
        </w:rPr>
        <w:t>Generator in a</w:t>
      </w:r>
      <w:r>
        <w:rPr>
          <w:spacing w:val="-1"/>
          <w:szCs w:val="24"/>
        </w:rPr>
        <w:t xml:space="preserve"> </w:t>
      </w:r>
      <w:r>
        <w:rPr>
          <w:szCs w:val="24"/>
        </w:rPr>
        <w:t>Miti</w:t>
      </w:r>
      <w:r>
        <w:rPr>
          <w:spacing w:val="-2"/>
          <w:szCs w:val="24"/>
        </w:rPr>
        <w:t>g</w:t>
      </w:r>
      <w:r>
        <w:rPr>
          <w:spacing w:val="-1"/>
          <w:szCs w:val="24"/>
        </w:rPr>
        <w:t>a</w:t>
      </w:r>
      <w:r>
        <w:rPr>
          <w:spacing w:val="3"/>
          <w:szCs w:val="24"/>
        </w:rPr>
        <w:t>t</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w:t>
      </w:r>
      <w:r>
        <w:rPr>
          <w:spacing w:val="2"/>
          <w:szCs w:val="24"/>
        </w:rPr>
        <w:t>n</w:t>
      </w:r>
      <w:r>
        <w:rPr>
          <w:spacing w:val="-1"/>
          <w:szCs w:val="24"/>
        </w:rPr>
        <w:t>e from a Forced Outage</w:t>
      </w:r>
      <w:r>
        <w:rPr>
          <w:szCs w:val="24"/>
        </w:rPr>
        <w:t xml:space="preserve"> to an ICAP Ineligible Forced Outage by a Market Party or otherwise, pursuant to the terms of Section 5.18.2.1 of this Services Tariff,</w:t>
      </w:r>
      <w:r>
        <w:rPr>
          <w:spacing w:val="-1"/>
          <w:szCs w:val="24"/>
        </w:rPr>
        <w:t xml:space="preserve"> </w:t>
      </w:r>
      <w:r>
        <w:rPr>
          <w:szCs w:val="24"/>
        </w:rPr>
        <w:t>m</w:t>
      </w:r>
      <w:r>
        <w:rPr>
          <w:spacing w:val="1"/>
          <w:szCs w:val="24"/>
        </w:rPr>
        <w:t>a</w:t>
      </w:r>
      <w:r>
        <w:rPr>
          <w:szCs w:val="24"/>
        </w:rPr>
        <w:t>y</w:t>
      </w:r>
      <w:r>
        <w:rPr>
          <w:spacing w:val="-5"/>
          <w:szCs w:val="24"/>
        </w:rPr>
        <w:t xml:space="preserve"> </w:t>
      </w:r>
      <w:r>
        <w:rPr>
          <w:spacing w:val="2"/>
          <w:szCs w:val="24"/>
        </w:rPr>
        <w:t>b</w:t>
      </w:r>
      <w:r>
        <w:rPr>
          <w:szCs w:val="24"/>
        </w:rPr>
        <w:t>e</w:t>
      </w:r>
      <w:r>
        <w:rPr>
          <w:spacing w:val="1"/>
          <w:szCs w:val="24"/>
        </w:rPr>
        <w:t xml:space="preserve"> </w:t>
      </w:r>
      <w:r>
        <w:rPr>
          <w:szCs w:val="24"/>
        </w:rPr>
        <w:t>subj</w:t>
      </w:r>
      <w:r>
        <w:rPr>
          <w:spacing w:val="-1"/>
          <w:szCs w:val="24"/>
        </w:rPr>
        <w:t xml:space="preserve">ect </w:t>
      </w:r>
      <w:r>
        <w:rPr>
          <w:szCs w:val="24"/>
        </w:rPr>
        <w:t xml:space="preserve">to </w:t>
      </w:r>
      <w:r>
        <w:rPr>
          <w:spacing w:val="-1"/>
          <w:szCs w:val="24"/>
        </w:rPr>
        <w:t>a</w:t>
      </w:r>
      <w:r>
        <w:rPr>
          <w:szCs w:val="24"/>
        </w:rPr>
        <w:t xml:space="preserve">udit </w:t>
      </w:r>
      <w:r>
        <w:rPr>
          <w:spacing w:val="-1"/>
          <w:szCs w:val="24"/>
        </w:rPr>
        <w:t>a</w:t>
      </w:r>
      <w:r>
        <w:rPr>
          <w:szCs w:val="24"/>
        </w:rPr>
        <w:t xml:space="preserve">nd </w:t>
      </w:r>
      <w:r>
        <w:rPr>
          <w:bCs/>
        </w:rPr>
        <w:t>review</w:t>
      </w:r>
      <w:r>
        <w:rPr>
          <w:szCs w:val="24"/>
        </w:rPr>
        <w:t xml:space="preserve"> </w:t>
      </w:r>
      <w:r>
        <w:rPr>
          <w:spacing w:val="5"/>
          <w:szCs w:val="24"/>
        </w:rPr>
        <w:t>b</w:t>
      </w:r>
      <w:r>
        <w:rPr>
          <w:szCs w:val="24"/>
        </w:rPr>
        <w:t>y</w:t>
      </w:r>
      <w:r>
        <w:rPr>
          <w:spacing w:val="-5"/>
          <w:szCs w:val="24"/>
        </w:rPr>
        <w:t xml:space="preserve"> </w:t>
      </w:r>
      <w:r>
        <w:rPr>
          <w:szCs w:val="24"/>
        </w:rPr>
        <w:t>t</w:t>
      </w:r>
      <w:r>
        <w:rPr>
          <w:spacing w:val="2"/>
          <w:szCs w:val="24"/>
        </w:rPr>
        <w:t>h</w:t>
      </w:r>
      <w:r>
        <w:rPr>
          <w:szCs w:val="24"/>
        </w:rPr>
        <w:t>e</w:t>
      </w:r>
      <w:r>
        <w:rPr>
          <w:spacing w:val="1"/>
          <w:szCs w:val="24"/>
        </w:rPr>
        <w:t xml:space="preserve"> </w:t>
      </w:r>
      <w:r>
        <w:rPr>
          <w:spacing w:val="-6"/>
          <w:szCs w:val="24"/>
        </w:rPr>
        <w:t>I</w:t>
      </w:r>
      <w:r>
        <w:rPr>
          <w:spacing w:val="3"/>
          <w:szCs w:val="24"/>
        </w:rPr>
        <w:t>S</w:t>
      </w:r>
      <w:r>
        <w:rPr>
          <w:szCs w:val="24"/>
        </w:rPr>
        <w:t>O if</w:t>
      </w:r>
      <w:r>
        <w:rPr>
          <w:spacing w:val="-1"/>
          <w:szCs w:val="24"/>
        </w:rPr>
        <w:t xml:space="preserve"> </w:t>
      </w:r>
      <w:r>
        <w:rPr>
          <w:szCs w:val="24"/>
        </w:rPr>
        <w:t>the</w:t>
      </w:r>
      <w:r>
        <w:rPr>
          <w:spacing w:val="1"/>
          <w:szCs w:val="24"/>
        </w:rPr>
        <w:t xml:space="preserve"> </w:t>
      </w:r>
      <w:r>
        <w:rPr>
          <w:spacing w:val="-3"/>
          <w:szCs w:val="24"/>
        </w:rPr>
        <w:t>I</w:t>
      </w:r>
      <w:r>
        <w:rPr>
          <w:spacing w:val="1"/>
          <w:szCs w:val="24"/>
        </w:rPr>
        <w:t>S</w:t>
      </w:r>
      <w:r>
        <w:rPr>
          <w:szCs w:val="24"/>
        </w:rPr>
        <w:t>O d</w:t>
      </w:r>
      <w:r>
        <w:rPr>
          <w:spacing w:val="-1"/>
          <w:szCs w:val="24"/>
        </w:rPr>
        <w:t>e</w:t>
      </w:r>
      <w:r>
        <w:rPr>
          <w:spacing w:val="3"/>
          <w:szCs w:val="24"/>
        </w:rPr>
        <w:t>t</w:t>
      </w:r>
      <w:r>
        <w:rPr>
          <w:spacing w:val="-1"/>
          <w:szCs w:val="24"/>
        </w:rPr>
        <w:t>er</w:t>
      </w:r>
      <w:r>
        <w:rPr>
          <w:szCs w:val="24"/>
        </w:rPr>
        <w:t>min</w:t>
      </w:r>
      <w:r>
        <w:rPr>
          <w:spacing w:val="-1"/>
          <w:szCs w:val="24"/>
        </w:rPr>
        <w:t>e</w:t>
      </w:r>
      <w:r>
        <w:rPr>
          <w:szCs w:val="24"/>
        </w:rPr>
        <w:t>s th</w:t>
      </w:r>
      <w:r>
        <w:rPr>
          <w:spacing w:val="-1"/>
          <w:szCs w:val="24"/>
        </w:rPr>
        <w:t>a</w:t>
      </w:r>
      <w:r>
        <w:rPr>
          <w:szCs w:val="24"/>
        </w:rPr>
        <w:t>t su</w:t>
      </w:r>
      <w:r>
        <w:rPr>
          <w:spacing w:val="-1"/>
          <w:szCs w:val="24"/>
        </w:rPr>
        <w:t>c</w:t>
      </w:r>
      <w:r>
        <w:rPr>
          <w:szCs w:val="24"/>
        </w:rPr>
        <w:t xml:space="preserve">h reclassification </w:t>
      </w:r>
      <w:r>
        <w:rPr>
          <w:spacing w:val="-1"/>
          <w:szCs w:val="24"/>
        </w:rPr>
        <w:t>c</w:t>
      </w:r>
      <w:r>
        <w:rPr>
          <w:szCs w:val="24"/>
        </w:rPr>
        <w:t>ou</w:t>
      </w:r>
      <w:r>
        <w:rPr>
          <w:spacing w:val="3"/>
          <w:szCs w:val="24"/>
        </w:rPr>
        <w:t>l</w:t>
      </w:r>
      <w:r>
        <w:rPr>
          <w:szCs w:val="24"/>
        </w:rPr>
        <w:t xml:space="preserve">d </w:t>
      </w:r>
      <w:r>
        <w:rPr>
          <w:spacing w:val="-1"/>
          <w:szCs w:val="24"/>
        </w:rPr>
        <w:t>rea</w:t>
      </w:r>
      <w:r>
        <w:rPr>
          <w:szCs w:val="24"/>
        </w:rPr>
        <w:t>son</w:t>
      </w:r>
      <w:r>
        <w:rPr>
          <w:spacing w:val="-1"/>
          <w:szCs w:val="24"/>
        </w:rPr>
        <w:t>a</w:t>
      </w:r>
      <w:r>
        <w:rPr>
          <w:szCs w:val="24"/>
        </w:rPr>
        <w:t>b</w:t>
      </w:r>
      <w:r>
        <w:rPr>
          <w:spacing w:val="5"/>
          <w:szCs w:val="24"/>
        </w:rPr>
        <w:t>l</w:t>
      </w:r>
      <w:r>
        <w:rPr>
          <w:szCs w:val="24"/>
        </w:rPr>
        <w:t>y</w:t>
      </w:r>
      <w:r>
        <w:rPr>
          <w:spacing w:val="-5"/>
          <w:szCs w:val="24"/>
        </w:rPr>
        <w:t xml:space="preserve"> </w:t>
      </w:r>
      <w:r>
        <w:rPr>
          <w:spacing w:val="2"/>
          <w:szCs w:val="24"/>
        </w:rPr>
        <w:t>b</w:t>
      </w:r>
      <w:r>
        <w:rPr>
          <w:szCs w:val="24"/>
        </w:rPr>
        <w:t>e</w:t>
      </w:r>
      <w:r>
        <w:rPr>
          <w:spacing w:val="-1"/>
          <w:szCs w:val="24"/>
        </w:rPr>
        <w:t xml:space="preserve"> e</w:t>
      </w:r>
      <w:r>
        <w:rPr>
          <w:spacing w:val="2"/>
          <w:szCs w:val="24"/>
        </w:rPr>
        <w:t>x</w:t>
      </w:r>
      <w:r>
        <w:rPr>
          <w:szCs w:val="24"/>
        </w:rPr>
        <w:t>p</w:t>
      </w:r>
      <w:r>
        <w:rPr>
          <w:spacing w:val="-1"/>
          <w:szCs w:val="24"/>
        </w:rPr>
        <w:t>ec</w:t>
      </w:r>
      <w:r>
        <w:rPr>
          <w:szCs w:val="24"/>
        </w:rPr>
        <w:t>t</w:t>
      </w:r>
      <w:r>
        <w:rPr>
          <w:spacing w:val="-1"/>
          <w:szCs w:val="24"/>
        </w:rPr>
        <w:t>e</w:t>
      </w:r>
      <w:r>
        <w:rPr>
          <w:szCs w:val="24"/>
        </w:rPr>
        <w:t xml:space="preserve">d </w:t>
      </w:r>
      <w:r>
        <w:rPr>
          <w:spacing w:val="3"/>
          <w:szCs w:val="24"/>
        </w:rPr>
        <w:t>t</w:t>
      </w:r>
      <w:r>
        <w:rPr>
          <w:szCs w:val="24"/>
        </w:rPr>
        <w:t xml:space="preserve">o </w:t>
      </w:r>
      <w:r>
        <w:rPr>
          <w:spacing w:val="-1"/>
          <w:szCs w:val="24"/>
        </w:rPr>
        <w:t>aff</w:t>
      </w:r>
      <w:r>
        <w:rPr>
          <w:spacing w:val="1"/>
          <w:szCs w:val="24"/>
        </w:rPr>
        <w:t>e</w:t>
      </w:r>
      <w:r>
        <w:rPr>
          <w:spacing w:val="-1"/>
          <w:szCs w:val="24"/>
        </w:rPr>
        <w:t>c</w:t>
      </w:r>
      <w:r>
        <w:rPr>
          <w:szCs w:val="24"/>
        </w:rPr>
        <w:t>t the M</w:t>
      </w:r>
      <w:r>
        <w:rPr>
          <w:spacing w:val="-1"/>
          <w:szCs w:val="24"/>
        </w:rPr>
        <w:t>ar</w:t>
      </w:r>
      <w:r>
        <w:rPr>
          <w:spacing w:val="2"/>
          <w:szCs w:val="24"/>
        </w:rPr>
        <w:t>k</w:t>
      </w:r>
      <w:r>
        <w:rPr>
          <w:spacing w:val="-1"/>
          <w:szCs w:val="24"/>
        </w:rPr>
        <w:t>e</w:t>
      </w:r>
      <w:r>
        <w:rPr>
          <w:spacing w:val="1"/>
          <w:szCs w:val="24"/>
        </w:rPr>
        <w:t>t</w:t>
      </w:r>
      <w:r>
        <w:rPr>
          <w:spacing w:val="-1"/>
          <w:szCs w:val="24"/>
        </w:rPr>
        <w:t>-</w:t>
      </w:r>
      <w:r>
        <w:rPr>
          <w:spacing w:val="1"/>
          <w:szCs w:val="24"/>
        </w:rPr>
        <w:t>C</w:t>
      </w:r>
      <w:r>
        <w:rPr>
          <w:szCs w:val="24"/>
        </w:rPr>
        <w:t>l</w:t>
      </w:r>
      <w:r>
        <w:rPr>
          <w:spacing w:val="-1"/>
          <w:szCs w:val="24"/>
        </w:rPr>
        <w:t>ear</w:t>
      </w:r>
      <w:r>
        <w:rPr>
          <w:szCs w:val="24"/>
        </w:rPr>
        <w:t>i</w:t>
      </w:r>
      <w:r>
        <w:rPr>
          <w:spacing w:val="2"/>
          <w:szCs w:val="24"/>
        </w:rPr>
        <w:t>n</w:t>
      </w:r>
      <w:r>
        <w:rPr>
          <w:szCs w:val="24"/>
        </w:rPr>
        <w:t>g Price in one</w:t>
      </w:r>
      <w:r>
        <w:rPr>
          <w:spacing w:val="-1"/>
          <w:szCs w:val="24"/>
        </w:rPr>
        <w:t xml:space="preserve"> </w:t>
      </w:r>
      <w:r>
        <w:rPr>
          <w:szCs w:val="24"/>
        </w:rPr>
        <w:t>or</w:t>
      </w:r>
      <w:r>
        <w:rPr>
          <w:spacing w:val="-1"/>
          <w:szCs w:val="24"/>
        </w:rPr>
        <w:t xml:space="preserve"> </w:t>
      </w:r>
      <w:r>
        <w:rPr>
          <w:spacing w:val="1"/>
          <w:szCs w:val="24"/>
        </w:rPr>
        <w:t>m</w:t>
      </w:r>
      <w:r>
        <w:rPr>
          <w:szCs w:val="24"/>
        </w:rPr>
        <w:t>o</w:t>
      </w:r>
      <w:r>
        <w:rPr>
          <w:spacing w:val="-1"/>
          <w:szCs w:val="24"/>
        </w:rPr>
        <w:t>r</w:t>
      </w:r>
      <w:r>
        <w:rPr>
          <w:szCs w:val="24"/>
        </w:rPr>
        <w:t>e</w:t>
      </w:r>
      <w:r>
        <w:rPr>
          <w:spacing w:val="4"/>
          <w:szCs w:val="24"/>
        </w:rPr>
        <w:t xml:space="preserve"> </w:t>
      </w:r>
      <w:r>
        <w:rPr>
          <w:spacing w:val="-6"/>
          <w:szCs w:val="24"/>
        </w:rPr>
        <w:t>I</w:t>
      </w:r>
      <w:r>
        <w:rPr>
          <w:spacing w:val="3"/>
          <w:szCs w:val="24"/>
        </w:rPr>
        <w:t>C</w:t>
      </w:r>
      <w:r>
        <w:rPr>
          <w:szCs w:val="24"/>
        </w:rPr>
        <w:t xml:space="preserve">AP </w:t>
      </w:r>
      <w:r>
        <w:rPr>
          <w:spacing w:val="1"/>
          <w:szCs w:val="24"/>
        </w:rPr>
        <w:t>S</w:t>
      </w:r>
      <w:r>
        <w:rPr>
          <w:szCs w:val="24"/>
        </w:rPr>
        <w:t>pot M</w:t>
      </w:r>
      <w:r>
        <w:rPr>
          <w:spacing w:val="-1"/>
          <w:szCs w:val="24"/>
        </w:rPr>
        <w:t>ar</w:t>
      </w:r>
      <w:r>
        <w:rPr>
          <w:szCs w:val="24"/>
        </w:rPr>
        <w:t>k</w:t>
      </w:r>
      <w:r>
        <w:rPr>
          <w:spacing w:val="-1"/>
          <w:szCs w:val="24"/>
        </w:rPr>
        <w:t>e</w:t>
      </w:r>
      <w:r>
        <w:rPr>
          <w:szCs w:val="24"/>
        </w:rPr>
        <w:t xml:space="preserve">t Auctions </w:t>
      </w:r>
      <w:r>
        <w:rPr>
          <w:spacing w:val="-1"/>
          <w:szCs w:val="24"/>
        </w:rPr>
        <w:t>f</w:t>
      </w:r>
      <w:r>
        <w:rPr>
          <w:spacing w:val="2"/>
          <w:szCs w:val="24"/>
        </w:rPr>
        <w:t>o</w:t>
      </w:r>
      <w:r>
        <w:rPr>
          <w:szCs w:val="24"/>
        </w:rPr>
        <w:t>r</w:t>
      </w:r>
      <w:r>
        <w:rPr>
          <w:spacing w:val="-1"/>
          <w:szCs w:val="24"/>
        </w:rPr>
        <w:t xml:space="preserve"> a </w:t>
      </w:r>
      <w:r>
        <w:rPr>
          <w:szCs w:val="24"/>
        </w:rPr>
        <w:t>Miti</w:t>
      </w:r>
      <w:r>
        <w:rPr>
          <w:spacing w:val="-2"/>
          <w:szCs w:val="24"/>
        </w:rPr>
        <w:t>g</w:t>
      </w:r>
      <w:r>
        <w:rPr>
          <w:spacing w:val="-1"/>
          <w:szCs w:val="24"/>
        </w:rPr>
        <w:t>a</w:t>
      </w:r>
      <w:r>
        <w:rPr>
          <w:szCs w:val="24"/>
        </w:rPr>
        <w:t>t</w:t>
      </w:r>
      <w:r>
        <w:rPr>
          <w:spacing w:val="-1"/>
          <w:szCs w:val="24"/>
        </w:rPr>
        <w:t>e</w:t>
      </w:r>
      <w:r>
        <w:rPr>
          <w:szCs w:val="24"/>
        </w:rPr>
        <w:t xml:space="preserve">d </w:t>
      </w:r>
      <w:r>
        <w:rPr>
          <w:spacing w:val="1"/>
          <w:szCs w:val="24"/>
        </w:rPr>
        <w:t>C</w:t>
      </w:r>
      <w:r>
        <w:rPr>
          <w:spacing w:val="-1"/>
          <w:szCs w:val="24"/>
        </w:rPr>
        <w:t>a</w:t>
      </w:r>
      <w:r>
        <w:rPr>
          <w:spacing w:val="2"/>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one</w:t>
      </w:r>
      <w:r>
        <w:rPr>
          <w:spacing w:val="-1"/>
          <w:szCs w:val="24"/>
        </w:rPr>
        <w:t xml:space="preserve"> </w:t>
      </w:r>
      <w:r>
        <w:rPr>
          <w:szCs w:val="24"/>
        </w:rPr>
        <w:t>in</w:t>
      </w:r>
      <w:r>
        <w:rPr>
          <w:spacing w:val="2"/>
          <w:szCs w:val="24"/>
        </w:rPr>
        <w:t xml:space="preserve"> </w:t>
      </w:r>
      <w:r>
        <w:rPr>
          <w:szCs w:val="24"/>
        </w:rPr>
        <w:t>whi</w:t>
      </w:r>
      <w:r>
        <w:rPr>
          <w:spacing w:val="-1"/>
          <w:szCs w:val="24"/>
        </w:rPr>
        <w:t>c</w:t>
      </w:r>
      <w:r>
        <w:rPr>
          <w:szCs w:val="24"/>
        </w:rPr>
        <w:t>h the</w:t>
      </w:r>
      <w:r>
        <w:rPr>
          <w:spacing w:val="-1"/>
          <w:szCs w:val="24"/>
        </w:rPr>
        <w:t xml:space="preserve"> </w:t>
      </w:r>
      <w:r>
        <w:rPr>
          <w:spacing w:val="2"/>
          <w:szCs w:val="24"/>
        </w:rPr>
        <w:t>Generator</w:t>
      </w:r>
      <w:r>
        <w:rPr>
          <w:spacing w:val="-1"/>
          <w:szCs w:val="24"/>
        </w:rPr>
        <w:t>(</w:t>
      </w:r>
      <w:r>
        <w:rPr>
          <w:spacing w:val="3"/>
          <w:szCs w:val="24"/>
        </w:rPr>
        <w:t>s</w:t>
      </w:r>
      <w:r>
        <w:rPr>
          <w:szCs w:val="24"/>
        </w:rPr>
        <w:t>) th</w:t>
      </w:r>
      <w:r>
        <w:rPr>
          <w:spacing w:val="-1"/>
          <w:szCs w:val="24"/>
        </w:rPr>
        <w:t>a</w:t>
      </w:r>
      <w:r>
        <w:rPr>
          <w:szCs w:val="24"/>
        </w:rPr>
        <w:t>t is the</w:t>
      </w:r>
      <w:r>
        <w:rPr>
          <w:spacing w:val="-1"/>
          <w:szCs w:val="24"/>
        </w:rPr>
        <w:t xml:space="preserve"> </w:t>
      </w:r>
      <w:r>
        <w:rPr>
          <w:szCs w:val="24"/>
        </w:rPr>
        <w:t>subj</w:t>
      </w:r>
      <w:r>
        <w:rPr>
          <w:spacing w:val="-1"/>
          <w:szCs w:val="24"/>
        </w:rPr>
        <w:t>ec</w:t>
      </w:r>
      <w:r>
        <w:rPr>
          <w:szCs w:val="24"/>
        </w:rPr>
        <w:t>t of</w:t>
      </w:r>
      <w:r>
        <w:rPr>
          <w:spacing w:val="-1"/>
          <w:szCs w:val="24"/>
        </w:rPr>
        <w:t xml:space="preserve"> </w:t>
      </w:r>
      <w:r>
        <w:rPr>
          <w:szCs w:val="24"/>
        </w:rPr>
        <w:t>the</w:t>
      </w:r>
      <w:r>
        <w:rPr>
          <w:spacing w:val="1"/>
          <w:szCs w:val="24"/>
        </w:rPr>
        <w:t xml:space="preserve"> reclassification </w:t>
      </w:r>
      <w:r>
        <w:rPr>
          <w:szCs w:val="24"/>
        </w:rPr>
        <w:t>is l</w:t>
      </w:r>
      <w:r>
        <w:rPr>
          <w:spacing w:val="-2"/>
          <w:szCs w:val="24"/>
        </w:rPr>
        <w:t>o</w:t>
      </w:r>
      <w:r>
        <w:rPr>
          <w:spacing w:val="-1"/>
          <w:szCs w:val="24"/>
        </w:rPr>
        <w:t>ca</w:t>
      </w:r>
      <w:r>
        <w:rPr>
          <w:szCs w:val="24"/>
        </w:rPr>
        <w:t>t</w:t>
      </w:r>
      <w:r>
        <w:rPr>
          <w:spacing w:val="-1"/>
          <w:szCs w:val="24"/>
        </w:rPr>
        <w:t>e</w:t>
      </w:r>
      <w:r>
        <w:rPr>
          <w:szCs w:val="24"/>
        </w:rPr>
        <w:t>d, subs</w:t>
      </w:r>
      <w:r>
        <w:rPr>
          <w:spacing w:val="-1"/>
          <w:szCs w:val="24"/>
        </w:rPr>
        <w:t>e</w:t>
      </w:r>
      <w:r>
        <w:rPr>
          <w:szCs w:val="24"/>
        </w:rPr>
        <w:t>q</w:t>
      </w:r>
      <w:r>
        <w:rPr>
          <w:spacing w:val="2"/>
          <w:szCs w:val="24"/>
        </w:rPr>
        <w:t>u</w:t>
      </w:r>
      <w:r>
        <w:rPr>
          <w:spacing w:val="-1"/>
          <w:szCs w:val="24"/>
        </w:rPr>
        <w:t>e</w:t>
      </w:r>
      <w:r>
        <w:rPr>
          <w:szCs w:val="24"/>
        </w:rPr>
        <w:t>nt to su</w:t>
      </w:r>
      <w:r>
        <w:rPr>
          <w:spacing w:val="-1"/>
          <w:szCs w:val="24"/>
        </w:rPr>
        <w:t>c</w:t>
      </w:r>
      <w:r>
        <w:rPr>
          <w:szCs w:val="24"/>
        </w:rPr>
        <w:t xml:space="preserve">h </w:t>
      </w:r>
      <w:r>
        <w:rPr>
          <w:spacing w:val="-1"/>
          <w:szCs w:val="24"/>
        </w:rPr>
        <w:t>ac</w:t>
      </w:r>
      <w:r>
        <w:rPr>
          <w:szCs w:val="24"/>
        </w:rPr>
        <w:t xml:space="preserve">tion; provided, however, if the Market Party’s </w:t>
      </w:r>
      <w:r>
        <w:rPr>
          <w:spacing w:val="2"/>
          <w:szCs w:val="24"/>
        </w:rPr>
        <w:t>Generator</w:t>
      </w:r>
      <w:r>
        <w:rPr>
          <w:szCs w:val="24"/>
        </w:rPr>
        <w:t xml:space="preserve"> experienced the Forced Outage as a result of a Catastrophic Failure, the reclassification of a </w:t>
      </w:r>
      <w:r>
        <w:rPr>
          <w:spacing w:val="2"/>
          <w:szCs w:val="24"/>
        </w:rPr>
        <w:t>Generator</w:t>
      </w:r>
      <w:r>
        <w:rPr>
          <w:szCs w:val="24"/>
        </w:rPr>
        <w:t xml:space="preserve"> in a</w:t>
      </w:r>
      <w:r>
        <w:rPr>
          <w:spacing w:val="-1"/>
          <w:szCs w:val="24"/>
        </w:rPr>
        <w:t xml:space="preserve"> </w:t>
      </w:r>
      <w:r>
        <w:rPr>
          <w:szCs w:val="24"/>
        </w:rPr>
        <w:t>Miti</w:t>
      </w:r>
      <w:r>
        <w:rPr>
          <w:spacing w:val="-2"/>
          <w:szCs w:val="24"/>
        </w:rPr>
        <w:t>g</w:t>
      </w:r>
      <w:r>
        <w:rPr>
          <w:spacing w:val="-1"/>
          <w:szCs w:val="24"/>
        </w:rPr>
        <w:t>a</w:t>
      </w:r>
      <w:r>
        <w:rPr>
          <w:spacing w:val="3"/>
          <w:szCs w:val="24"/>
        </w:rPr>
        <w:t>t</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w:t>
      </w:r>
      <w:r>
        <w:rPr>
          <w:spacing w:val="2"/>
          <w:szCs w:val="24"/>
        </w:rPr>
        <w:t>n</w:t>
      </w:r>
      <w:r>
        <w:rPr>
          <w:spacing w:val="-1"/>
          <w:szCs w:val="24"/>
        </w:rPr>
        <w:t xml:space="preserve">e from a Forced Outage </w:t>
      </w:r>
      <w:r>
        <w:rPr>
          <w:szCs w:val="24"/>
        </w:rPr>
        <w:t>to an ICAP Ineligible Forced Outage</w:t>
      </w:r>
      <w:r>
        <w:rPr>
          <w:spacing w:val="-1"/>
          <w:szCs w:val="24"/>
        </w:rPr>
        <w:t xml:space="preserve"> shall no</w:t>
      </w:r>
      <w:r>
        <w:rPr>
          <w:spacing w:val="-1"/>
          <w:szCs w:val="24"/>
        </w:rPr>
        <w:t>t be subject to audit and review pursuant to this Section 23.4.5.6.2.</w:t>
      </w:r>
      <w:r>
        <w:rPr>
          <w:szCs w:val="24"/>
        </w:rPr>
        <w:t xml:space="preserve"> </w:t>
      </w:r>
    </w:p>
    <w:p w:rsidR="00791A4B" w:rsidRDefault="00F753F8">
      <w:pPr>
        <w:pStyle w:val="alphapara"/>
        <w:ind w:firstLine="720"/>
        <w:rPr>
          <w:szCs w:val="24"/>
        </w:rPr>
      </w:pPr>
      <w:r>
        <w:rPr>
          <w:szCs w:val="24"/>
        </w:rPr>
        <w:t xml:space="preserve">The </w:t>
      </w:r>
      <w:r>
        <w:rPr>
          <w:spacing w:val="-1"/>
          <w:szCs w:val="24"/>
        </w:rPr>
        <w:t>a</w:t>
      </w:r>
      <w:r>
        <w:rPr>
          <w:szCs w:val="24"/>
        </w:rPr>
        <w:t>udit and</w:t>
      </w:r>
      <w:r>
        <w:rPr>
          <w:spacing w:val="-1"/>
          <w:szCs w:val="24"/>
        </w:rPr>
        <w:t xml:space="preserve"> re</w:t>
      </w:r>
      <w:r>
        <w:rPr>
          <w:szCs w:val="24"/>
        </w:rPr>
        <w:t>v</w:t>
      </w:r>
      <w:r>
        <w:rPr>
          <w:spacing w:val="3"/>
          <w:szCs w:val="24"/>
        </w:rPr>
        <w:t>i</w:t>
      </w:r>
      <w:r>
        <w:rPr>
          <w:spacing w:val="-1"/>
          <w:szCs w:val="24"/>
        </w:rPr>
        <w:t>e</w:t>
      </w:r>
      <w:r>
        <w:rPr>
          <w:szCs w:val="24"/>
        </w:rPr>
        <w:t xml:space="preserve">w pursuant to the above paragraph </w:t>
      </w:r>
      <w:r>
        <w:rPr>
          <w:spacing w:val="3"/>
          <w:szCs w:val="24"/>
        </w:rPr>
        <w:t>s</w:t>
      </w:r>
      <w:r>
        <w:rPr>
          <w:szCs w:val="24"/>
        </w:rPr>
        <w:t>h</w:t>
      </w:r>
      <w:r>
        <w:rPr>
          <w:spacing w:val="-1"/>
          <w:szCs w:val="24"/>
        </w:rPr>
        <w:t>a</w:t>
      </w:r>
      <w:r>
        <w:rPr>
          <w:szCs w:val="24"/>
        </w:rPr>
        <w:t xml:space="preserve">ll </w:t>
      </w:r>
      <w:r>
        <w:rPr>
          <w:spacing w:val="-1"/>
          <w:szCs w:val="24"/>
        </w:rPr>
        <w:t>a</w:t>
      </w:r>
      <w:r>
        <w:rPr>
          <w:szCs w:val="24"/>
        </w:rPr>
        <w:t>ss</w:t>
      </w:r>
      <w:r>
        <w:rPr>
          <w:spacing w:val="-1"/>
          <w:szCs w:val="24"/>
        </w:rPr>
        <w:t>e</w:t>
      </w:r>
      <w:r>
        <w:rPr>
          <w:szCs w:val="24"/>
        </w:rPr>
        <w:t>ss wh</w:t>
      </w:r>
      <w:r>
        <w:rPr>
          <w:spacing w:val="-1"/>
          <w:szCs w:val="24"/>
        </w:rPr>
        <w:t>e</w:t>
      </w:r>
      <w:r>
        <w:rPr>
          <w:szCs w:val="24"/>
        </w:rPr>
        <w:t>th</w:t>
      </w:r>
      <w:r>
        <w:rPr>
          <w:spacing w:val="1"/>
          <w:szCs w:val="24"/>
        </w:rPr>
        <w:t>e</w:t>
      </w:r>
      <w:r>
        <w:rPr>
          <w:szCs w:val="24"/>
        </w:rPr>
        <w:t>r</w:t>
      </w:r>
      <w:r>
        <w:rPr>
          <w:spacing w:val="-1"/>
          <w:szCs w:val="24"/>
        </w:rPr>
        <w:t xml:space="preserve"> </w:t>
      </w:r>
      <w:r>
        <w:rPr>
          <w:szCs w:val="24"/>
        </w:rPr>
        <w:t xml:space="preserve">the reclassification of the </w:t>
      </w:r>
      <w:r>
        <w:rPr>
          <w:spacing w:val="2"/>
          <w:szCs w:val="24"/>
        </w:rPr>
        <w:t>Generator</w:t>
      </w:r>
      <w:r>
        <w:rPr>
          <w:szCs w:val="24"/>
        </w:rPr>
        <w:t xml:space="preserve"> in a</w:t>
      </w:r>
      <w:r>
        <w:rPr>
          <w:spacing w:val="-1"/>
          <w:szCs w:val="24"/>
        </w:rPr>
        <w:t xml:space="preserve"> </w:t>
      </w:r>
      <w:r>
        <w:rPr>
          <w:szCs w:val="24"/>
        </w:rPr>
        <w:t>Miti</w:t>
      </w:r>
      <w:r>
        <w:rPr>
          <w:spacing w:val="-2"/>
          <w:szCs w:val="24"/>
        </w:rPr>
        <w:t>g</w:t>
      </w:r>
      <w:r>
        <w:rPr>
          <w:spacing w:val="-1"/>
          <w:szCs w:val="24"/>
        </w:rPr>
        <w:t>a</w:t>
      </w:r>
      <w:r>
        <w:rPr>
          <w:spacing w:val="3"/>
          <w:szCs w:val="24"/>
        </w:rPr>
        <w:t>t</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w:t>
      </w:r>
      <w:r>
        <w:rPr>
          <w:spacing w:val="2"/>
          <w:szCs w:val="24"/>
        </w:rPr>
        <w:t>n</w:t>
      </w:r>
      <w:r>
        <w:rPr>
          <w:spacing w:val="-1"/>
          <w:szCs w:val="24"/>
        </w:rPr>
        <w:t xml:space="preserve">e from a Forced Outage </w:t>
      </w:r>
      <w:r>
        <w:rPr>
          <w:szCs w:val="24"/>
        </w:rPr>
        <w:t>to an ICAP Ineligible F</w:t>
      </w:r>
      <w:r>
        <w:rPr>
          <w:szCs w:val="24"/>
        </w:rPr>
        <w:t>orced Outage had a l</w:t>
      </w:r>
      <w:r>
        <w:rPr>
          <w:spacing w:val="-1"/>
          <w:szCs w:val="24"/>
        </w:rPr>
        <w:t>e</w:t>
      </w:r>
      <w:r>
        <w:rPr>
          <w:spacing w:val="-2"/>
          <w:szCs w:val="24"/>
        </w:rPr>
        <w:t>g</w:t>
      </w:r>
      <w:r>
        <w:rPr>
          <w:szCs w:val="24"/>
        </w:rPr>
        <w:t>itim</w:t>
      </w:r>
      <w:r>
        <w:rPr>
          <w:spacing w:val="-1"/>
          <w:szCs w:val="24"/>
        </w:rPr>
        <w:t>a</w:t>
      </w:r>
      <w:r>
        <w:rPr>
          <w:szCs w:val="24"/>
        </w:rPr>
        <w:t>te</w:t>
      </w:r>
      <w:r>
        <w:rPr>
          <w:spacing w:val="-1"/>
          <w:szCs w:val="24"/>
        </w:rPr>
        <w:t xml:space="preserve"> </w:t>
      </w:r>
      <w:r>
        <w:rPr>
          <w:spacing w:val="1"/>
          <w:szCs w:val="24"/>
        </w:rPr>
        <w:t>e</w:t>
      </w:r>
      <w:r>
        <w:rPr>
          <w:spacing w:val="-1"/>
          <w:szCs w:val="24"/>
        </w:rPr>
        <w:t>c</w:t>
      </w:r>
      <w:r>
        <w:rPr>
          <w:szCs w:val="24"/>
        </w:rPr>
        <w:t>onomic</w:t>
      </w:r>
      <w:r>
        <w:rPr>
          <w:spacing w:val="-1"/>
          <w:szCs w:val="24"/>
        </w:rPr>
        <w:t xml:space="preserve"> </w:t>
      </w:r>
      <w:r>
        <w:rPr>
          <w:szCs w:val="24"/>
        </w:rPr>
        <w:t>justi</w:t>
      </w:r>
      <w:r>
        <w:rPr>
          <w:spacing w:val="-1"/>
          <w:szCs w:val="24"/>
        </w:rPr>
        <w:t>f</w:t>
      </w:r>
      <w:r>
        <w:rPr>
          <w:szCs w:val="24"/>
        </w:rPr>
        <w:t>i</w:t>
      </w:r>
      <w:r>
        <w:rPr>
          <w:spacing w:val="-1"/>
          <w:szCs w:val="24"/>
        </w:rPr>
        <w:t>ca</w:t>
      </w:r>
      <w:r>
        <w:rPr>
          <w:szCs w:val="24"/>
        </w:rPr>
        <w:t>tion or</w:t>
      </w:r>
      <w:r>
        <w:rPr>
          <w:spacing w:val="-1"/>
          <w:szCs w:val="24"/>
        </w:rPr>
        <w:t xml:space="preserve"> is based on a</w:t>
      </w:r>
      <w:r>
        <w:rPr>
          <w:szCs w:val="24"/>
        </w:rPr>
        <w:t>n</w:t>
      </w:r>
      <w:r>
        <w:rPr>
          <w:spacing w:val="2"/>
          <w:szCs w:val="24"/>
        </w:rPr>
        <w:t xml:space="preserve"> </w:t>
      </w:r>
      <w:r>
        <w:rPr>
          <w:spacing w:val="-1"/>
          <w:szCs w:val="24"/>
        </w:rPr>
        <w:t>eff</w:t>
      </w:r>
      <w:r>
        <w:rPr>
          <w:szCs w:val="24"/>
        </w:rPr>
        <w:t>o</w:t>
      </w:r>
      <w:r>
        <w:rPr>
          <w:spacing w:val="-1"/>
          <w:szCs w:val="24"/>
        </w:rPr>
        <w:t>r</w:t>
      </w:r>
      <w:r>
        <w:rPr>
          <w:szCs w:val="24"/>
        </w:rPr>
        <w:t>t to withhold</w:t>
      </w:r>
      <w:r>
        <w:rPr>
          <w:spacing w:val="2"/>
          <w:szCs w:val="24"/>
        </w:rPr>
        <w:t xml:space="preserve"> </w:t>
      </w:r>
      <w:r>
        <w:rPr>
          <w:spacing w:val="-3"/>
          <w:szCs w:val="24"/>
        </w:rPr>
        <w:t>I</w:t>
      </w:r>
      <w:r>
        <w:rPr>
          <w:szCs w:val="24"/>
        </w:rPr>
        <w:t>nst</w:t>
      </w:r>
      <w:r>
        <w:rPr>
          <w:spacing w:val="-1"/>
          <w:szCs w:val="24"/>
        </w:rPr>
        <w:t>a</w:t>
      </w:r>
      <w:r>
        <w:rPr>
          <w:szCs w:val="24"/>
        </w:rPr>
        <w:t>ll</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3"/>
          <w:szCs w:val="24"/>
        </w:rPr>
        <w:t>t</w:t>
      </w:r>
      <w:r>
        <w:rPr>
          <w:szCs w:val="24"/>
        </w:rPr>
        <w:t>y</w:t>
      </w:r>
      <w:r>
        <w:rPr>
          <w:spacing w:val="-5"/>
          <w:szCs w:val="24"/>
        </w:rPr>
        <w:t xml:space="preserve"> </w:t>
      </w:r>
      <w:r>
        <w:rPr>
          <w:szCs w:val="24"/>
        </w:rPr>
        <w:t>p</w:t>
      </w:r>
      <w:r>
        <w:rPr>
          <w:spacing w:val="5"/>
          <w:szCs w:val="24"/>
        </w:rPr>
        <w:t>h</w:t>
      </w:r>
      <w:r>
        <w:rPr>
          <w:spacing w:val="-5"/>
          <w:szCs w:val="24"/>
        </w:rPr>
        <w:t>y</w:t>
      </w:r>
      <w:r>
        <w:rPr>
          <w:szCs w:val="24"/>
        </w:rPr>
        <w:t>s</w:t>
      </w:r>
      <w:r>
        <w:rPr>
          <w:spacing w:val="3"/>
          <w:szCs w:val="24"/>
        </w:rPr>
        <w:t>i</w:t>
      </w:r>
      <w:r>
        <w:rPr>
          <w:spacing w:val="-1"/>
          <w:szCs w:val="24"/>
        </w:rPr>
        <w:t>ca</w:t>
      </w:r>
      <w:r>
        <w:rPr>
          <w:szCs w:val="24"/>
        </w:rPr>
        <w:t>l</w:t>
      </w:r>
      <w:r>
        <w:rPr>
          <w:spacing w:val="5"/>
          <w:szCs w:val="24"/>
        </w:rPr>
        <w:t>l</w:t>
      </w:r>
      <w:r>
        <w:rPr>
          <w:szCs w:val="24"/>
        </w:rPr>
        <w:t>y</w:t>
      </w:r>
      <w:r>
        <w:rPr>
          <w:spacing w:val="-5"/>
          <w:szCs w:val="24"/>
        </w:rPr>
        <w:t xml:space="preserve"> </w:t>
      </w:r>
      <w:r>
        <w:rPr>
          <w:szCs w:val="24"/>
        </w:rPr>
        <w:t>in o</w:t>
      </w:r>
      <w:r>
        <w:rPr>
          <w:spacing w:val="2"/>
          <w:szCs w:val="24"/>
        </w:rPr>
        <w:t>r</w:t>
      </w:r>
      <w:r>
        <w:rPr>
          <w:szCs w:val="24"/>
        </w:rPr>
        <w:t>d</w:t>
      </w:r>
      <w:r>
        <w:rPr>
          <w:spacing w:val="-1"/>
          <w:szCs w:val="24"/>
        </w:rPr>
        <w:t>e</w:t>
      </w:r>
      <w:r>
        <w:rPr>
          <w:szCs w:val="24"/>
        </w:rPr>
        <w:t>r</w:t>
      </w:r>
      <w:r>
        <w:rPr>
          <w:spacing w:val="-1"/>
          <w:szCs w:val="24"/>
        </w:rPr>
        <w:t xml:space="preserve"> </w:t>
      </w:r>
      <w:r>
        <w:rPr>
          <w:szCs w:val="24"/>
        </w:rPr>
        <w:t xml:space="preserve">to </w:t>
      </w:r>
      <w:r>
        <w:rPr>
          <w:spacing w:val="-1"/>
          <w:szCs w:val="24"/>
        </w:rPr>
        <w:t>af</w:t>
      </w:r>
      <w:r>
        <w:rPr>
          <w:spacing w:val="2"/>
          <w:szCs w:val="24"/>
        </w:rPr>
        <w:t>f</w:t>
      </w:r>
      <w:r>
        <w:rPr>
          <w:spacing w:val="-1"/>
          <w:szCs w:val="24"/>
        </w:rPr>
        <w:t>ec</w:t>
      </w:r>
      <w:r>
        <w:rPr>
          <w:szCs w:val="24"/>
        </w:rPr>
        <w:t>t p</w:t>
      </w:r>
      <w:r>
        <w:rPr>
          <w:spacing w:val="-1"/>
          <w:szCs w:val="24"/>
        </w:rPr>
        <w:t>r</w:t>
      </w:r>
      <w:r>
        <w:rPr>
          <w:spacing w:val="3"/>
          <w:szCs w:val="24"/>
        </w:rPr>
        <w:t>i</w:t>
      </w:r>
      <w:r>
        <w:rPr>
          <w:spacing w:val="-1"/>
          <w:szCs w:val="24"/>
        </w:rPr>
        <w:t>ce</w:t>
      </w:r>
      <w:r>
        <w:rPr>
          <w:szCs w:val="24"/>
        </w:rPr>
        <w:t xml:space="preserve">s.  </w:t>
      </w:r>
    </w:p>
    <w:p w:rsidR="00791A4B" w:rsidRDefault="00F753F8">
      <w:pPr>
        <w:pStyle w:val="alphapara"/>
        <w:ind w:firstLine="720"/>
        <w:rPr>
          <w:strike/>
          <w:szCs w:val="24"/>
        </w:rPr>
      </w:pPr>
      <w:r>
        <w:rPr>
          <w:szCs w:val="24"/>
        </w:rPr>
        <w:t>The</w:t>
      </w:r>
      <w:r>
        <w:rPr>
          <w:spacing w:val="1"/>
          <w:szCs w:val="24"/>
        </w:rPr>
        <w:t xml:space="preserve"> </w:t>
      </w:r>
      <w:r>
        <w:rPr>
          <w:spacing w:val="-3"/>
          <w:szCs w:val="24"/>
        </w:rPr>
        <w:t>I</w:t>
      </w:r>
      <w:r>
        <w:rPr>
          <w:spacing w:val="1"/>
          <w:szCs w:val="24"/>
        </w:rPr>
        <w:t>S</w:t>
      </w:r>
      <w:r>
        <w:rPr>
          <w:szCs w:val="24"/>
        </w:rPr>
        <w:t>O sh</w:t>
      </w:r>
      <w:r>
        <w:rPr>
          <w:spacing w:val="-1"/>
          <w:szCs w:val="24"/>
        </w:rPr>
        <w:t>a</w:t>
      </w:r>
      <w:r>
        <w:rPr>
          <w:szCs w:val="24"/>
        </w:rPr>
        <w:t>ll p</w:t>
      </w:r>
      <w:r>
        <w:rPr>
          <w:spacing w:val="-1"/>
          <w:szCs w:val="24"/>
        </w:rPr>
        <w:t>r</w:t>
      </w:r>
      <w:r>
        <w:rPr>
          <w:szCs w:val="24"/>
        </w:rPr>
        <w:t>ovi</w:t>
      </w:r>
      <w:r>
        <w:rPr>
          <w:spacing w:val="2"/>
          <w:szCs w:val="24"/>
        </w:rPr>
        <w:t>d</w:t>
      </w:r>
      <w:r>
        <w:rPr>
          <w:szCs w:val="24"/>
        </w:rPr>
        <w:t>e</w:t>
      </w:r>
      <w:r>
        <w:rPr>
          <w:spacing w:val="-1"/>
          <w:szCs w:val="24"/>
        </w:rPr>
        <w:t xml:space="preserve"> the</w:t>
      </w:r>
      <w:r>
        <w:rPr>
          <w:szCs w:val="24"/>
        </w:rPr>
        <w:t xml:space="preserve"> p</w:t>
      </w:r>
      <w:r>
        <w:rPr>
          <w:spacing w:val="-1"/>
          <w:szCs w:val="24"/>
        </w:rPr>
        <w:t>re</w:t>
      </w:r>
      <w:r>
        <w:rPr>
          <w:szCs w:val="24"/>
        </w:rPr>
        <w:t>limin</w:t>
      </w:r>
      <w:r>
        <w:rPr>
          <w:spacing w:val="-1"/>
          <w:szCs w:val="24"/>
        </w:rPr>
        <w:t>a</w:t>
      </w:r>
      <w:r>
        <w:rPr>
          <w:spacing w:val="4"/>
          <w:szCs w:val="24"/>
        </w:rPr>
        <w:t>r</w:t>
      </w:r>
      <w:r>
        <w:rPr>
          <w:szCs w:val="24"/>
        </w:rPr>
        <w:t>y</w:t>
      </w:r>
      <w:r>
        <w:rPr>
          <w:spacing w:val="-5"/>
          <w:szCs w:val="24"/>
        </w:rPr>
        <w:t xml:space="preserve"> </w:t>
      </w:r>
      <w:r>
        <w:rPr>
          <w:spacing w:val="-1"/>
          <w:szCs w:val="24"/>
        </w:rPr>
        <w:t>re</w:t>
      </w:r>
      <w:r>
        <w:rPr>
          <w:szCs w:val="24"/>
        </w:rPr>
        <w:t>sults of</w:t>
      </w:r>
      <w:r>
        <w:rPr>
          <w:spacing w:val="-1"/>
          <w:szCs w:val="24"/>
        </w:rPr>
        <w:t xml:space="preserve"> </w:t>
      </w:r>
      <w:r>
        <w:rPr>
          <w:szCs w:val="24"/>
        </w:rPr>
        <w:t xml:space="preserve">its </w:t>
      </w:r>
      <w:r>
        <w:rPr>
          <w:spacing w:val="-1"/>
          <w:szCs w:val="24"/>
        </w:rPr>
        <w:t>a</w:t>
      </w:r>
      <w:r>
        <w:rPr>
          <w:szCs w:val="24"/>
        </w:rPr>
        <w:t>udit or</w:t>
      </w:r>
      <w:r>
        <w:rPr>
          <w:spacing w:val="-1"/>
          <w:szCs w:val="24"/>
        </w:rPr>
        <w:t xml:space="preserve"> re</w:t>
      </w:r>
      <w:r>
        <w:rPr>
          <w:szCs w:val="24"/>
        </w:rPr>
        <w:t>vi</w:t>
      </w:r>
      <w:r>
        <w:rPr>
          <w:spacing w:val="-1"/>
          <w:szCs w:val="24"/>
        </w:rPr>
        <w:t>e</w:t>
      </w:r>
      <w:r>
        <w:rPr>
          <w:szCs w:val="24"/>
        </w:rPr>
        <w:t>w to the</w:t>
      </w:r>
      <w:r>
        <w:rPr>
          <w:spacing w:val="-1"/>
          <w:szCs w:val="24"/>
        </w:rPr>
        <w:t xml:space="preserve"> </w:t>
      </w:r>
      <w:r>
        <w:rPr>
          <w:spacing w:val="3"/>
          <w:szCs w:val="24"/>
        </w:rPr>
        <w:t>M</w:t>
      </w:r>
      <w:r>
        <w:rPr>
          <w:spacing w:val="1"/>
          <w:szCs w:val="24"/>
        </w:rPr>
        <w:t>a</w:t>
      </w:r>
      <w:r>
        <w:rPr>
          <w:spacing w:val="-1"/>
          <w:szCs w:val="24"/>
        </w:rPr>
        <w:t>r</w:t>
      </w:r>
      <w:r>
        <w:rPr>
          <w:szCs w:val="24"/>
        </w:rPr>
        <w:t>k</w:t>
      </w:r>
      <w:r>
        <w:rPr>
          <w:spacing w:val="-1"/>
          <w:szCs w:val="24"/>
        </w:rPr>
        <w:t>e</w:t>
      </w:r>
      <w:r>
        <w:rPr>
          <w:szCs w:val="24"/>
        </w:rPr>
        <w:t>t Monito</w:t>
      </w:r>
      <w:r>
        <w:rPr>
          <w:spacing w:val="-1"/>
          <w:szCs w:val="24"/>
        </w:rPr>
        <w:t>r</w:t>
      </w:r>
      <w:r>
        <w:rPr>
          <w:szCs w:val="24"/>
        </w:rPr>
        <w:t>ing</w:t>
      </w:r>
      <w:r>
        <w:rPr>
          <w:spacing w:val="-2"/>
          <w:szCs w:val="24"/>
        </w:rPr>
        <w:t xml:space="preserve"> </w:t>
      </w:r>
      <w:r>
        <w:rPr>
          <w:szCs w:val="24"/>
        </w:rPr>
        <w:t xml:space="preserve">Unit </w:t>
      </w:r>
      <w:r>
        <w:rPr>
          <w:bCs/>
        </w:rPr>
        <w:t>for</w:t>
      </w:r>
      <w:r>
        <w:rPr>
          <w:spacing w:val="2"/>
          <w:szCs w:val="24"/>
        </w:rPr>
        <w:t xml:space="preserve"> </w:t>
      </w:r>
      <w:r>
        <w:rPr>
          <w:szCs w:val="24"/>
        </w:rPr>
        <w:t xml:space="preserve">its </w:t>
      </w:r>
      <w:r>
        <w:rPr>
          <w:spacing w:val="-1"/>
          <w:szCs w:val="24"/>
        </w:rPr>
        <w:t>re</w:t>
      </w:r>
      <w:r>
        <w:rPr>
          <w:szCs w:val="24"/>
        </w:rPr>
        <w:t>vi</w:t>
      </w:r>
      <w:r>
        <w:rPr>
          <w:spacing w:val="-1"/>
          <w:szCs w:val="24"/>
        </w:rPr>
        <w:t>e</w:t>
      </w:r>
      <w:r>
        <w:rPr>
          <w:szCs w:val="24"/>
        </w:rPr>
        <w:t xml:space="preserve">w </w:t>
      </w:r>
      <w:r>
        <w:rPr>
          <w:spacing w:val="-1"/>
          <w:szCs w:val="24"/>
        </w:rPr>
        <w:t>a</w:t>
      </w:r>
      <w:r>
        <w:rPr>
          <w:szCs w:val="24"/>
        </w:rPr>
        <w:t>nd</w:t>
      </w:r>
      <w:r>
        <w:rPr>
          <w:spacing w:val="2"/>
          <w:szCs w:val="24"/>
        </w:rPr>
        <w:t xml:space="preserve"> co</w:t>
      </w:r>
      <w:r>
        <w:rPr>
          <w:szCs w:val="24"/>
        </w:rPr>
        <w:t>mm</w:t>
      </w:r>
      <w:r>
        <w:rPr>
          <w:spacing w:val="-1"/>
          <w:szCs w:val="24"/>
        </w:rPr>
        <w:t>e</w:t>
      </w:r>
      <w:r>
        <w:rPr>
          <w:szCs w:val="24"/>
        </w:rPr>
        <w:t xml:space="preserve">nt. </w:t>
      </w:r>
      <w:r>
        <w:rPr>
          <w:spacing w:val="2"/>
          <w:szCs w:val="24"/>
        </w:rPr>
        <w:t xml:space="preserve"> </w:t>
      </w:r>
      <w:r>
        <w:rPr>
          <w:szCs w:val="24"/>
        </w:rPr>
        <w:t>The</w:t>
      </w:r>
      <w:r>
        <w:rPr>
          <w:spacing w:val="-1"/>
          <w:szCs w:val="24"/>
        </w:rPr>
        <w:t xml:space="preserve"> re</w:t>
      </w:r>
      <w:r>
        <w:rPr>
          <w:szCs w:val="24"/>
        </w:rPr>
        <w:t>sponsibiliti</w:t>
      </w:r>
      <w:r>
        <w:rPr>
          <w:spacing w:val="-1"/>
          <w:szCs w:val="24"/>
        </w:rPr>
        <w:t>e</w:t>
      </w:r>
      <w:r>
        <w:rPr>
          <w:szCs w:val="24"/>
        </w:rPr>
        <w:t>s of</w:t>
      </w:r>
      <w:r>
        <w:rPr>
          <w:spacing w:val="-1"/>
          <w:szCs w:val="24"/>
        </w:rPr>
        <w:t xml:space="preserve"> </w:t>
      </w:r>
      <w:r>
        <w:rPr>
          <w:szCs w:val="24"/>
        </w:rPr>
        <w:t>the</w:t>
      </w:r>
      <w:r>
        <w:rPr>
          <w:spacing w:val="-1"/>
          <w:szCs w:val="24"/>
        </w:rPr>
        <w:t xml:space="preserve"> </w:t>
      </w:r>
      <w:r>
        <w:rPr>
          <w:szCs w:val="24"/>
        </w:rPr>
        <w:t>M</w:t>
      </w:r>
      <w:r>
        <w:rPr>
          <w:spacing w:val="-1"/>
          <w:szCs w:val="24"/>
        </w:rPr>
        <w:t>ar</w:t>
      </w:r>
      <w:r>
        <w:rPr>
          <w:szCs w:val="24"/>
        </w:rPr>
        <w:t>k</w:t>
      </w:r>
      <w:r>
        <w:rPr>
          <w:spacing w:val="-1"/>
          <w:szCs w:val="24"/>
        </w:rPr>
        <w:t>e</w:t>
      </w:r>
      <w:r>
        <w:rPr>
          <w:szCs w:val="24"/>
        </w:rPr>
        <w:t>t Monito</w:t>
      </w:r>
      <w:r>
        <w:rPr>
          <w:spacing w:val="-1"/>
          <w:szCs w:val="24"/>
        </w:rPr>
        <w:t>r</w:t>
      </w:r>
      <w:r>
        <w:rPr>
          <w:szCs w:val="24"/>
        </w:rPr>
        <w:t>i</w:t>
      </w:r>
      <w:r>
        <w:rPr>
          <w:spacing w:val="2"/>
          <w:szCs w:val="24"/>
        </w:rPr>
        <w:t>n</w:t>
      </w:r>
      <w:r>
        <w:rPr>
          <w:szCs w:val="24"/>
        </w:rPr>
        <w:t>g</w:t>
      </w:r>
      <w:r>
        <w:rPr>
          <w:spacing w:val="-2"/>
          <w:szCs w:val="24"/>
        </w:rPr>
        <w:t xml:space="preserve"> </w:t>
      </w:r>
      <w:r>
        <w:rPr>
          <w:szCs w:val="24"/>
        </w:rPr>
        <w:t>Un</w:t>
      </w:r>
      <w:r>
        <w:rPr>
          <w:spacing w:val="3"/>
          <w:szCs w:val="24"/>
        </w:rPr>
        <w:t>i</w:t>
      </w:r>
      <w:r>
        <w:rPr>
          <w:szCs w:val="24"/>
        </w:rPr>
        <w:t>t th</w:t>
      </w:r>
      <w:r>
        <w:rPr>
          <w:spacing w:val="-1"/>
          <w:szCs w:val="24"/>
        </w:rPr>
        <w:t>a</w:t>
      </w:r>
      <w:r>
        <w:rPr>
          <w:szCs w:val="24"/>
        </w:rPr>
        <w:t xml:space="preserve">t </w:t>
      </w:r>
      <w:r>
        <w:rPr>
          <w:spacing w:val="-1"/>
          <w:szCs w:val="24"/>
        </w:rPr>
        <w:t>ar</w:t>
      </w:r>
      <w:r>
        <w:rPr>
          <w:szCs w:val="24"/>
        </w:rPr>
        <w:t>e</w:t>
      </w:r>
      <w:r>
        <w:rPr>
          <w:spacing w:val="-1"/>
          <w:szCs w:val="24"/>
        </w:rPr>
        <w:t xml:space="preserve"> a</w:t>
      </w:r>
      <w:r>
        <w:rPr>
          <w:szCs w:val="24"/>
        </w:rPr>
        <w:t>d</w:t>
      </w:r>
      <w:r>
        <w:rPr>
          <w:spacing w:val="2"/>
          <w:szCs w:val="24"/>
        </w:rPr>
        <w:t>d</w:t>
      </w:r>
      <w:r>
        <w:rPr>
          <w:spacing w:val="-1"/>
          <w:szCs w:val="24"/>
        </w:rPr>
        <w:t>re</w:t>
      </w:r>
      <w:r>
        <w:rPr>
          <w:szCs w:val="24"/>
        </w:rPr>
        <w:t>ss</w:t>
      </w:r>
      <w:r>
        <w:rPr>
          <w:spacing w:val="-1"/>
          <w:szCs w:val="24"/>
        </w:rPr>
        <w:t>e</w:t>
      </w:r>
      <w:r>
        <w:rPr>
          <w:szCs w:val="24"/>
        </w:rPr>
        <w:t>d in th</w:t>
      </w:r>
      <w:r>
        <w:rPr>
          <w:spacing w:val="3"/>
          <w:szCs w:val="24"/>
        </w:rPr>
        <w:t>i</w:t>
      </w:r>
      <w:r>
        <w:rPr>
          <w:szCs w:val="24"/>
        </w:rPr>
        <w:t>s s</w:t>
      </w:r>
      <w:r>
        <w:rPr>
          <w:spacing w:val="-1"/>
          <w:szCs w:val="24"/>
        </w:rPr>
        <w:t>ec</w:t>
      </w:r>
      <w:r>
        <w:rPr>
          <w:szCs w:val="24"/>
        </w:rPr>
        <w:t>tion of</w:t>
      </w:r>
      <w:r>
        <w:rPr>
          <w:spacing w:val="-1"/>
          <w:szCs w:val="24"/>
        </w:rPr>
        <w:t xml:space="preserve"> </w:t>
      </w:r>
      <w:r>
        <w:rPr>
          <w:szCs w:val="24"/>
        </w:rPr>
        <w:t>the</w:t>
      </w:r>
      <w:r>
        <w:rPr>
          <w:spacing w:val="-1"/>
          <w:szCs w:val="24"/>
        </w:rPr>
        <w:t xml:space="preserve"> </w:t>
      </w:r>
      <w:r>
        <w:rPr>
          <w:szCs w:val="24"/>
        </w:rPr>
        <w:t>Miti</w:t>
      </w:r>
      <w:r>
        <w:rPr>
          <w:spacing w:val="-2"/>
          <w:szCs w:val="24"/>
        </w:rPr>
        <w:t>g</w:t>
      </w:r>
      <w:r>
        <w:rPr>
          <w:spacing w:val="-1"/>
          <w:szCs w:val="24"/>
        </w:rPr>
        <w:t>a</w:t>
      </w:r>
      <w:r>
        <w:rPr>
          <w:szCs w:val="24"/>
        </w:rPr>
        <w:t>tion</w:t>
      </w:r>
      <w:r>
        <w:rPr>
          <w:spacing w:val="2"/>
          <w:szCs w:val="24"/>
        </w:rPr>
        <w:t xml:space="preserve"> </w:t>
      </w:r>
      <w:r>
        <w:rPr>
          <w:szCs w:val="24"/>
        </w:rPr>
        <w:t>M</w:t>
      </w:r>
      <w:r>
        <w:rPr>
          <w:spacing w:val="-1"/>
          <w:szCs w:val="24"/>
        </w:rPr>
        <w:t>ea</w:t>
      </w:r>
      <w:r>
        <w:rPr>
          <w:szCs w:val="24"/>
        </w:rPr>
        <w:t>su</w:t>
      </w:r>
      <w:r>
        <w:rPr>
          <w:spacing w:val="-1"/>
          <w:szCs w:val="24"/>
        </w:rPr>
        <w:t>re</w:t>
      </w:r>
      <w:r>
        <w:rPr>
          <w:szCs w:val="24"/>
        </w:rPr>
        <w:t>s</w:t>
      </w:r>
      <w:r>
        <w:rPr>
          <w:spacing w:val="3"/>
          <w:szCs w:val="24"/>
        </w:rPr>
        <w:t xml:space="preserve"> </w:t>
      </w:r>
      <w:r>
        <w:rPr>
          <w:spacing w:val="-1"/>
          <w:szCs w:val="24"/>
        </w:rPr>
        <w:t>ar</w:t>
      </w:r>
      <w:r>
        <w:rPr>
          <w:szCs w:val="24"/>
        </w:rPr>
        <w:t>e</w:t>
      </w:r>
      <w:r>
        <w:rPr>
          <w:spacing w:val="1"/>
          <w:szCs w:val="24"/>
        </w:rPr>
        <w:t xml:space="preserve"> </w:t>
      </w:r>
      <w:r>
        <w:rPr>
          <w:spacing w:val="-1"/>
          <w:szCs w:val="24"/>
        </w:rPr>
        <w:t>a</w:t>
      </w:r>
      <w:r>
        <w:rPr>
          <w:szCs w:val="24"/>
        </w:rPr>
        <w:t xml:space="preserve">lso </w:t>
      </w:r>
      <w:r>
        <w:rPr>
          <w:spacing w:val="-1"/>
          <w:szCs w:val="24"/>
        </w:rPr>
        <w:t>a</w:t>
      </w:r>
      <w:r>
        <w:rPr>
          <w:szCs w:val="24"/>
        </w:rPr>
        <w:t>dd</w:t>
      </w:r>
      <w:r>
        <w:rPr>
          <w:spacing w:val="2"/>
          <w:szCs w:val="24"/>
        </w:rPr>
        <w:t>r</w:t>
      </w:r>
      <w:r>
        <w:rPr>
          <w:spacing w:val="-1"/>
          <w:szCs w:val="24"/>
        </w:rPr>
        <w:t>e</w:t>
      </w:r>
      <w:r>
        <w:rPr>
          <w:szCs w:val="24"/>
        </w:rPr>
        <w:t>ss</w:t>
      </w:r>
      <w:r>
        <w:rPr>
          <w:spacing w:val="-1"/>
          <w:szCs w:val="24"/>
        </w:rPr>
        <w:t>e</w:t>
      </w:r>
      <w:r>
        <w:rPr>
          <w:szCs w:val="24"/>
        </w:rPr>
        <w:t xml:space="preserve">d in </w:t>
      </w:r>
      <w:r>
        <w:rPr>
          <w:spacing w:val="1"/>
          <w:szCs w:val="24"/>
        </w:rPr>
        <w:t>S</w:t>
      </w:r>
      <w:r>
        <w:rPr>
          <w:spacing w:val="-1"/>
          <w:szCs w:val="24"/>
        </w:rPr>
        <w:t>ec</w:t>
      </w:r>
      <w:r>
        <w:rPr>
          <w:szCs w:val="24"/>
        </w:rPr>
        <w:t>tion 30.4.6.2.10 of Att</w:t>
      </w:r>
      <w:r>
        <w:rPr>
          <w:spacing w:val="-1"/>
          <w:szCs w:val="24"/>
        </w:rPr>
        <w:t>ac</w:t>
      </w:r>
      <w:r>
        <w:rPr>
          <w:szCs w:val="24"/>
        </w:rPr>
        <w:t>hm</w:t>
      </w:r>
      <w:r>
        <w:rPr>
          <w:spacing w:val="-1"/>
          <w:szCs w:val="24"/>
        </w:rPr>
        <w:t>e</w:t>
      </w:r>
      <w:r>
        <w:rPr>
          <w:szCs w:val="24"/>
        </w:rPr>
        <w:t>nt O.</w:t>
      </w:r>
    </w:p>
    <w:p w:rsidR="00791A4B" w:rsidRDefault="00F753F8">
      <w:pPr>
        <w:pStyle w:val="alphapara"/>
        <w:rPr>
          <w:szCs w:val="24"/>
        </w:rPr>
      </w:pPr>
      <w:r>
        <w:rPr>
          <w:szCs w:val="24"/>
        </w:rPr>
        <w:t>23.4.5.6.2.2</w:t>
      </w:r>
      <w:r>
        <w:rPr>
          <w:szCs w:val="24"/>
        </w:rPr>
        <w:tab/>
      </w:r>
      <w:r>
        <w:rPr>
          <w:szCs w:val="24"/>
        </w:rPr>
        <w:t xml:space="preserve">The audit and review pursuant to Section 23.4.5.6.2.1 shall be deferred by the ISO beyond the </w:t>
      </w:r>
      <w:r>
        <w:rPr>
          <w:bCs/>
        </w:rPr>
        <w:t>time</w:t>
      </w:r>
      <w:r>
        <w:rPr>
          <w:szCs w:val="24"/>
        </w:rPr>
        <w:t xml:space="preserve"> period established in ISO Procedures for the audit and review of a reclassification of a </w:t>
      </w:r>
      <w:r>
        <w:rPr>
          <w:spacing w:val="2"/>
          <w:szCs w:val="24"/>
        </w:rPr>
        <w:t>Generator</w:t>
      </w:r>
      <w:r>
        <w:rPr>
          <w:szCs w:val="24"/>
        </w:rPr>
        <w:t xml:space="preserve"> from a Forced Outage to an ICAP Ineligible Forced Outage i</w:t>
      </w:r>
      <w:r>
        <w:rPr>
          <w:szCs w:val="24"/>
        </w:rPr>
        <w:t xml:space="preserve">f the </w:t>
      </w:r>
      <w:r>
        <w:rPr>
          <w:spacing w:val="2"/>
          <w:szCs w:val="24"/>
        </w:rPr>
        <w:t>Generator</w:t>
      </w:r>
      <w:r>
        <w:rPr>
          <w:szCs w:val="24"/>
        </w:rPr>
        <w:t xml:space="preserve"> was in a Forced Outage for at least 180 days before the reclassification and one or more Exceptional Circumstances delayed the acquisition of data necessary for the ISO’s audit and review. </w:t>
      </w:r>
    </w:p>
    <w:p w:rsidR="00791A4B" w:rsidRDefault="00F753F8">
      <w:pPr>
        <w:pStyle w:val="alphapara"/>
        <w:ind w:firstLine="720"/>
        <w:rPr>
          <w:szCs w:val="24"/>
        </w:rPr>
      </w:pPr>
      <w:r>
        <w:rPr>
          <w:szCs w:val="24"/>
        </w:rPr>
        <w:t>The ISO shall conduct the audit and review after i</w:t>
      </w:r>
      <w:r>
        <w:rPr>
          <w:szCs w:val="24"/>
        </w:rPr>
        <w:t xml:space="preserve">ts receipt of data that it determines is necessary for </w:t>
      </w:r>
      <w:r>
        <w:rPr>
          <w:spacing w:val="-1"/>
          <w:szCs w:val="24"/>
        </w:rPr>
        <w:t>the</w:t>
      </w:r>
      <w:r>
        <w:rPr>
          <w:szCs w:val="24"/>
        </w:rPr>
        <w:t xml:space="preserve"> audit and review; provided, however, if, at the time the ISO acquires the necessary data, the Market Party has Commenced Repair of the</w:t>
      </w:r>
      <w:r>
        <w:rPr>
          <w:spacing w:val="2"/>
          <w:szCs w:val="24"/>
        </w:rPr>
        <w:t xml:space="preserve"> Generator</w:t>
      </w:r>
      <w:r>
        <w:rPr>
          <w:szCs w:val="24"/>
        </w:rPr>
        <w:t xml:space="preserve">, or the </w:t>
      </w:r>
      <w:r>
        <w:rPr>
          <w:spacing w:val="2"/>
          <w:szCs w:val="24"/>
        </w:rPr>
        <w:t>Generator</w:t>
      </w:r>
      <w:r>
        <w:rPr>
          <w:szCs w:val="24"/>
        </w:rPr>
        <w:t xml:space="preserve"> is determined by the ISO to have h</w:t>
      </w:r>
      <w:r>
        <w:rPr>
          <w:szCs w:val="24"/>
        </w:rPr>
        <w:t>ad a Catastrophic Failure, the Market Party shall not be subject to an audit and review pursuant to Section 23.4.5.6.2.1 of this Services Tariff.  A Generator that Commenced Repair while in an ICAP Ineligible Forced Outage but that ceased or unreasonably d</w:t>
      </w:r>
      <w:r>
        <w:rPr>
          <w:szCs w:val="24"/>
        </w:rPr>
        <w:t xml:space="preserve">elayed </w:t>
      </w:r>
      <w:r>
        <w:rPr>
          <w:bCs/>
        </w:rPr>
        <w:t>that</w:t>
      </w:r>
      <w:r>
        <w:rPr>
          <w:szCs w:val="24"/>
        </w:rPr>
        <w:t xml:space="preserve"> repair shall be subject to audit and review by the ISO pursuant to Section 23.4.5.6.2.1 of this Services Tariff.</w:t>
      </w:r>
    </w:p>
    <w:p w:rsidR="00791A4B" w:rsidRDefault="00F753F8">
      <w:pPr>
        <w:pStyle w:val="alphapara"/>
        <w:ind w:firstLine="720"/>
        <w:rPr>
          <w:strike/>
          <w:szCs w:val="24"/>
        </w:rPr>
      </w:pPr>
      <w:r>
        <w:rPr>
          <w:szCs w:val="24"/>
        </w:rPr>
        <w:t>The</w:t>
      </w:r>
      <w:r>
        <w:rPr>
          <w:spacing w:val="1"/>
          <w:szCs w:val="24"/>
        </w:rPr>
        <w:t xml:space="preserve"> </w:t>
      </w:r>
      <w:r>
        <w:rPr>
          <w:spacing w:val="-3"/>
          <w:szCs w:val="24"/>
        </w:rPr>
        <w:t>I</w:t>
      </w:r>
      <w:r>
        <w:rPr>
          <w:spacing w:val="1"/>
          <w:szCs w:val="24"/>
        </w:rPr>
        <w:t>S</w:t>
      </w:r>
      <w:r>
        <w:rPr>
          <w:szCs w:val="24"/>
        </w:rPr>
        <w:t>O sh</w:t>
      </w:r>
      <w:r>
        <w:rPr>
          <w:spacing w:val="-1"/>
          <w:szCs w:val="24"/>
        </w:rPr>
        <w:t>a</w:t>
      </w:r>
      <w:r>
        <w:rPr>
          <w:szCs w:val="24"/>
        </w:rPr>
        <w:t>ll p</w:t>
      </w:r>
      <w:r>
        <w:rPr>
          <w:spacing w:val="-1"/>
          <w:szCs w:val="24"/>
        </w:rPr>
        <w:t>r</w:t>
      </w:r>
      <w:r>
        <w:rPr>
          <w:szCs w:val="24"/>
        </w:rPr>
        <w:t>ovi</w:t>
      </w:r>
      <w:r>
        <w:rPr>
          <w:spacing w:val="2"/>
          <w:szCs w:val="24"/>
        </w:rPr>
        <w:t>d</w:t>
      </w:r>
      <w:r>
        <w:rPr>
          <w:szCs w:val="24"/>
        </w:rPr>
        <w:t>e</w:t>
      </w:r>
      <w:r>
        <w:rPr>
          <w:spacing w:val="-1"/>
          <w:szCs w:val="24"/>
        </w:rPr>
        <w:t xml:space="preserve"> </w:t>
      </w:r>
      <w:r>
        <w:rPr>
          <w:szCs w:val="24"/>
        </w:rPr>
        <w:t>the p</w:t>
      </w:r>
      <w:r>
        <w:rPr>
          <w:spacing w:val="-1"/>
          <w:szCs w:val="24"/>
        </w:rPr>
        <w:t>re</w:t>
      </w:r>
      <w:r>
        <w:rPr>
          <w:szCs w:val="24"/>
        </w:rPr>
        <w:t>limin</w:t>
      </w:r>
      <w:r>
        <w:rPr>
          <w:spacing w:val="-1"/>
          <w:szCs w:val="24"/>
        </w:rPr>
        <w:t>a</w:t>
      </w:r>
      <w:r>
        <w:rPr>
          <w:spacing w:val="4"/>
          <w:szCs w:val="24"/>
        </w:rPr>
        <w:t>r</w:t>
      </w:r>
      <w:r>
        <w:rPr>
          <w:szCs w:val="24"/>
        </w:rPr>
        <w:t>y</w:t>
      </w:r>
      <w:r>
        <w:rPr>
          <w:spacing w:val="-5"/>
          <w:szCs w:val="24"/>
        </w:rPr>
        <w:t xml:space="preserve"> </w:t>
      </w:r>
      <w:r>
        <w:rPr>
          <w:spacing w:val="-1"/>
          <w:szCs w:val="24"/>
        </w:rPr>
        <w:t>re</w:t>
      </w:r>
      <w:r>
        <w:rPr>
          <w:szCs w:val="24"/>
        </w:rPr>
        <w:t>sults of</w:t>
      </w:r>
      <w:r>
        <w:rPr>
          <w:spacing w:val="-1"/>
          <w:szCs w:val="24"/>
        </w:rPr>
        <w:t xml:space="preserve"> </w:t>
      </w:r>
      <w:r>
        <w:rPr>
          <w:szCs w:val="24"/>
        </w:rPr>
        <w:t xml:space="preserve">its </w:t>
      </w:r>
      <w:r>
        <w:rPr>
          <w:spacing w:val="-1"/>
          <w:szCs w:val="24"/>
        </w:rPr>
        <w:t>a</w:t>
      </w:r>
      <w:r>
        <w:rPr>
          <w:szCs w:val="24"/>
        </w:rPr>
        <w:t>udit or</w:t>
      </w:r>
      <w:r>
        <w:rPr>
          <w:spacing w:val="-1"/>
          <w:szCs w:val="24"/>
        </w:rPr>
        <w:t xml:space="preserve"> re</w:t>
      </w:r>
      <w:r>
        <w:rPr>
          <w:szCs w:val="24"/>
        </w:rPr>
        <w:t>vi</w:t>
      </w:r>
      <w:r>
        <w:rPr>
          <w:spacing w:val="-1"/>
          <w:szCs w:val="24"/>
        </w:rPr>
        <w:t>e</w:t>
      </w:r>
      <w:r>
        <w:rPr>
          <w:szCs w:val="24"/>
        </w:rPr>
        <w:t>w to the</w:t>
      </w:r>
      <w:r>
        <w:rPr>
          <w:spacing w:val="-1"/>
          <w:szCs w:val="24"/>
        </w:rPr>
        <w:t xml:space="preserve"> </w:t>
      </w:r>
      <w:r>
        <w:rPr>
          <w:spacing w:val="3"/>
          <w:szCs w:val="24"/>
        </w:rPr>
        <w:t>M</w:t>
      </w:r>
      <w:r>
        <w:rPr>
          <w:spacing w:val="1"/>
          <w:szCs w:val="24"/>
        </w:rPr>
        <w:t>a</w:t>
      </w:r>
      <w:r>
        <w:rPr>
          <w:spacing w:val="-1"/>
          <w:szCs w:val="24"/>
        </w:rPr>
        <w:t>r</w:t>
      </w:r>
      <w:r>
        <w:rPr>
          <w:szCs w:val="24"/>
        </w:rPr>
        <w:t>k</w:t>
      </w:r>
      <w:r>
        <w:rPr>
          <w:spacing w:val="-1"/>
          <w:szCs w:val="24"/>
        </w:rPr>
        <w:t>e</w:t>
      </w:r>
      <w:r>
        <w:rPr>
          <w:szCs w:val="24"/>
        </w:rPr>
        <w:t>t Monito</w:t>
      </w:r>
      <w:r>
        <w:rPr>
          <w:spacing w:val="-1"/>
          <w:szCs w:val="24"/>
        </w:rPr>
        <w:t>r</w:t>
      </w:r>
      <w:r>
        <w:rPr>
          <w:szCs w:val="24"/>
        </w:rPr>
        <w:t>ing</w:t>
      </w:r>
      <w:r>
        <w:rPr>
          <w:spacing w:val="-2"/>
          <w:szCs w:val="24"/>
        </w:rPr>
        <w:t xml:space="preserve"> </w:t>
      </w:r>
      <w:r>
        <w:rPr>
          <w:szCs w:val="24"/>
        </w:rPr>
        <w:t xml:space="preserve">Unit </w:t>
      </w:r>
      <w:r>
        <w:rPr>
          <w:spacing w:val="-1"/>
          <w:szCs w:val="24"/>
        </w:rPr>
        <w:t>f</w:t>
      </w:r>
      <w:r>
        <w:rPr>
          <w:szCs w:val="24"/>
        </w:rPr>
        <w:t>or</w:t>
      </w:r>
      <w:r>
        <w:rPr>
          <w:spacing w:val="2"/>
          <w:szCs w:val="24"/>
        </w:rPr>
        <w:t xml:space="preserve"> </w:t>
      </w:r>
      <w:r>
        <w:rPr>
          <w:szCs w:val="24"/>
        </w:rPr>
        <w:t xml:space="preserve">its </w:t>
      </w:r>
      <w:r>
        <w:rPr>
          <w:spacing w:val="-1"/>
          <w:szCs w:val="24"/>
        </w:rPr>
        <w:t>re</w:t>
      </w:r>
      <w:r>
        <w:rPr>
          <w:szCs w:val="24"/>
        </w:rPr>
        <w:t>vi</w:t>
      </w:r>
      <w:r>
        <w:rPr>
          <w:spacing w:val="-1"/>
          <w:szCs w:val="24"/>
        </w:rPr>
        <w:t>e</w:t>
      </w:r>
      <w:r>
        <w:rPr>
          <w:szCs w:val="24"/>
        </w:rPr>
        <w:t xml:space="preserve">w </w:t>
      </w:r>
      <w:r>
        <w:rPr>
          <w:spacing w:val="-1"/>
          <w:szCs w:val="24"/>
        </w:rPr>
        <w:t>a</w:t>
      </w:r>
      <w:r>
        <w:rPr>
          <w:szCs w:val="24"/>
        </w:rPr>
        <w:t>nd</w:t>
      </w:r>
      <w:r>
        <w:rPr>
          <w:spacing w:val="2"/>
          <w:szCs w:val="24"/>
        </w:rPr>
        <w:t xml:space="preserve"> co</w:t>
      </w:r>
      <w:r>
        <w:rPr>
          <w:szCs w:val="24"/>
        </w:rPr>
        <w:t>mm</w:t>
      </w:r>
      <w:r>
        <w:rPr>
          <w:spacing w:val="-1"/>
          <w:szCs w:val="24"/>
        </w:rPr>
        <w:t>e</w:t>
      </w:r>
      <w:r>
        <w:rPr>
          <w:szCs w:val="24"/>
        </w:rPr>
        <w:t xml:space="preserve">nt. </w:t>
      </w:r>
      <w:r>
        <w:rPr>
          <w:spacing w:val="2"/>
          <w:szCs w:val="24"/>
        </w:rPr>
        <w:t xml:space="preserve"> </w:t>
      </w:r>
      <w:r>
        <w:rPr>
          <w:szCs w:val="24"/>
        </w:rPr>
        <w:t>The</w:t>
      </w:r>
      <w:r>
        <w:rPr>
          <w:spacing w:val="-1"/>
          <w:szCs w:val="24"/>
        </w:rPr>
        <w:t xml:space="preserve"> re</w:t>
      </w:r>
      <w:r>
        <w:rPr>
          <w:szCs w:val="24"/>
        </w:rPr>
        <w:t>sponsibiliti</w:t>
      </w:r>
      <w:r>
        <w:rPr>
          <w:spacing w:val="-1"/>
          <w:szCs w:val="24"/>
        </w:rPr>
        <w:t>e</w:t>
      </w:r>
      <w:r>
        <w:rPr>
          <w:szCs w:val="24"/>
        </w:rPr>
        <w:t>s of</w:t>
      </w:r>
      <w:r>
        <w:rPr>
          <w:spacing w:val="-1"/>
          <w:szCs w:val="24"/>
        </w:rPr>
        <w:t xml:space="preserve"> </w:t>
      </w:r>
      <w:r>
        <w:rPr>
          <w:szCs w:val="24"/>
        </w:rPr>
        <w:t>the</w:t>
      </w:r>
      <w:r>
        <w:rPr>
          <w:spacing w:val="-1"/>
          <w:szCs w:val="24"/>
        </w:rPr>
        <w:t xml:space="preserve"> </w:t>
      </w:r>
      <w:r>
        <w:rPr>
          <w:szCs w:val="24"/>
        </w:rPr>
        <w:t>M</w:t>
      </w:r>
      <w:r>
        <w:rPr>
          <w:spacing w:val="-1"/>
          <w:szCs w:val="24"/>
        </w:rPr>
        <w:t>ar</w:t>
      </w:r>
      <w:r>
        <w:rPr>
          <w:szCs w:val="24"/>
        </w:rPr>
        <w:t>k</w:t>
      </w:r>
      <w:r>
        <w:rPr>
          <w:spacing w:val="-1"/>
          <w:szCs w:val="24"/>
        </w:rPr>
        <w:t>e</w:t>
      </w:r>
      <w:r>
        <w:rPr>
          <w:szCs w:val="24"/>
        </w:rPr>
        <w:t>t Monito</w:t>
      </w:r>
      <w:r>
        <w:rPr>
          <w:spacing w:val="-1"/>
          <w:szCs w:val="24"/>
        </w:rPr>
        <w:t>r</w:t>
      </w:r>
      <w:r>
        <w:rPr>
          <w:szCs w:val="24"/>
        </w:rPr>
        <w:t>i</w:t>
      </w:r>
      <w:r>
        <w:rPr>
          <w:spacing w:val="2"/>
          <w:szCs w:val="24"/>
        </w:rPr>
        <w:t>n</w:t>
      </w:r>
      <w:r>
        <w:rPr>
          <w:szCs w:val="24"/>
        </w:rPr>
        <w:t>g</w:t>
      </w:r>
      <w:r>
        <w:rPr>
          <w:spacing w:val="-2"/>
          <w:szCs w:val="24"/>
        </w:rPr>
        <w:t xml:space="preserve"> </w:t>
      </w:r>
      <w:r>
        <w:rPr>
          <w:bCs/>
        </w:rPr>
        <w:t>Un</w:t>
      </w:r>
      <w:r>
        <w:rPr>
          <w:bCs/>
          <w:spacing w:val="3"/>
        </w:rPr>
        <w:t>i</w:t>
      </w:r>
      <w:r>
        <w:rPr>
          <w:bCs/>
        </w:rPr>
        <w:t>t</w:t>
      </w:r>
      <w:r>
        <w:rPr>
          <w:szCs w:val="24"/>
        </w:rPr>
        <w:t xml:space="preserve"> th</w:t>
      </w:r>
      <w:r>
        <w:rPr>
          <w:spacing w:val="-1"/>
          <w:szCs w:val="24"/>
        </w:rPr>
        <w:t>a</w:t>
      </w:r>
      <w:r>
        <w:rPr>
          <w:szCs w:val="24"/>
        </w:rPr>
        <w:t xml:space="preserve">t </w:t>
      </w:r>
      <w:r>
        <w:rPr>
          <w:spacing w:val="-1"/>
          <w:szCs w:val="24"/>
        </w:rPr>
        <w:t>ar</w:t>
      </w:r>
      <w:r>
        <w:rPr>
          <w:szCs w:val="24"/>
        </w:rPr>
        <w:t>e</w:t>
      </w:r>
      <w:r>
        <w:rPr>
          <w:spacing w:val="-1"/>
          <w:szCs w:val="24"/>
        </w:rPr>
        <w:t xml:space="preserve"> a</w:t>
      </w:r>
      <w:r>
        <w:rPr>
          <w:szCs w:val="24"/>
        </w:rPr>
        <w:t>d</w:t>
      </w:r>
      <w:r>
        <w:rPr>
          <w:spacing w:val="2"/>
          <w:szCs w:val="24"/>
        </w:rPr>
        <w:t>d</w:t>
      </w:r>
      <w:r>
        <w:rPr>
          <w:spacing w:val="-1"/>
          <w:szCs w:val="24"/>
        </w:rPr>
        <w:t>re</w:t>
      </w:r>
      <w:r>
        <w:rPr>
          <w:szCs w:val="24"/>
        </w:rPr>
        <w:t>ss</w:t>
      </w:r>
      <w:r>
        <w:rPr>
          <w:spacing w:val="-1"/>
          <w:szCs w:val="24"/>
        </w:rPr>
        <w:t>e</w:t>
      </w:r>
      <w:r>
        <w:rPr>
          <w:szCs w:val="24"/>
        </w:rPr>
        <w:t>d in th</w:t>
      </w:r>
      <w:r>
        <w:rPr>
          <w:spacing w:val="3"/>
          <w:szCs w:val="24"/>
        </w:rPr>
        <w:t>i</w:t>
      </w:r>
      <w:r>
        <w:rPr>
          <w:szCs w:val="24"/>
        </w:rPr>
        <w:t>s s</w:t>
      </w:r>
      <w:r>
        <w:rPr>
          <w:spacing w:val="-1"/>
          <w:szCs w:val="24"/>
        </w:rPr>
        <w:t>ec</w:t>
      </w:r>
      <w:r>
        <w:rPr>
          <w:szCs w:val="24"/>
        </w:rPr>
        <w:t>tion of</w:t>
      </w:r>
      <w:r>
        <w:rPr>
          <w:spacing w:val="-1"/>
          <w:szCs w:val="24"/>
        </w:rPr>
        <w:t xml:space="preserve"> </w:t>
      </w:r>
      <w:r>
        <w:rPr>
          <w:szCs w:val="24"/>
        </w:rPr>
        <w:t>the</w:t>
      </w:r>
      <w:r>
        <w:rPr>
          <w:spacing w:val="-1"/>
          <w:szCs w:val="24"/>
        </w:rPr>
        <w:t xml:space="preserve"> </w:t>
      </w:r>
      <w:r>
        <w:rPr>
          <w:szCs w:val="24"/>
        </w:rPr>
        <w:t>Miti</w:t>
      </w:r>
      <w:r>
        <w:rPr>
          <w:spacing w:val="-2"/>
          <w:szCs w:val="24"/>
        </w:rPr>
        <w:t>g</w:t>
      </w:r>
      <w:r>
        <w:rPr>
          <w:spacing w:val="-1"/>
          <w:szCs w:val="24"/>
        </w:rPr>
        <w:t>a</w:t>
      </w:r>
      <w:r>
        <w:rPr>
          <w:szCs w:val="24"/>
        </w:rPr>
        <w:t>tion</w:t>
      </w:r>
      <w:r>
        <w:rPr>
          <w:spacing w:val="2"/>
          <w:szCs w:val="24"/>
        </w:rPr>
        <w:t xml:space="preserve"> </w:t>
      </w:r>
      <w:r>
        <w:rPr>
          <w:szCs w:val="24"/>
        </w:rPr>
        <w:t>M</w:t>
      </w:r>
      <w:r>
        <w:rPr>
          <w:spacing w:val="-1"/>
          <w:szCs w:val="24"/>
        </w:rPr>
        <w:t>ea</w:t>
      </w:r>
      <w:r>
        <w:rPr>
          <w:szCs w:val="24"/>
        </w:rPr>
        <w:t>su</w:t>
      </w:r>
      <w:r>
        <w:rPr>
          <w:spacing w:val="-1"/>
          <w:szCs w:val="24"/>
        </w:rPr>
        <w:t>re</w:t>
      </w:r>
      <w:r>
        <w:rPr>
          <w:szCs w:val="24"/>
        </w:rPr>
        <w:t>s</w:t>
      </w:r>
      <w:r>
        <w:rPr>
          <w:spacing w:val="3"/>
          <w:szCs w:val="24"/>
        </w:rPr>
        <w:t xml:space="preserve"> </w:t>
      </w:r>
      <w:r>
        <w:rPr>
          <w:spacing w:val="-1"/>
          <w:szCs w:val="24"/>
        </w:rPr>
        <w:t>ar</w:t>
      </w:r>
      <w:r>
        <w:rPr>
          <w:szCs w:val="24"/>
        </w:rPr>
        <w:t>e</w:t>
      </w:r>
      <w:r>
        <w:rPr>
          <w:spacing w:val="1"/>
          <w:szCs w:val="24"/>
        </w:rPr>
        <w:t xml:space="preserve"> </w:t>
      </w:r>
      <w:r>
        <w:rPr>
          <w:spacing w:val="-1"/>
          <w:szCs w:val="24"/>
        </w:rPr>
        <w:t>a</w:t>
      </w:r>
      <w:r>
        <w:rPr>
          <w:szCs w:val="24"/>
        </w:rPr>
        <w:t xml:space="preserve">lso </w:t>
      </w:r>
      <w:r>
        <w:rPr>
          <w:spacing w:val="-1"/>
          <w:szCs w:val="24"/>
        </w:rPr>
        <w:t>a</w:t>
      </w:r>
      <w:r>
        <w:rPr>
          <w:szCs w:val="24"/>
        </w:rPr>
        <w:t>dd</w:t>
      </w:r>
      <w:r>
        <w:rPr>
          <w:spacing w:val="2"/>
          <w:szCs w:val="24"/>
        </w:rPr>
        <w:t>r</w:t>
      </w:r>
      <w:r>
        <w:rPr>
          <w:spacing w:val="-1"/>
          <w:szCs w:val="24"/>
        </w:rPr>
        <w:t>e</w:t>
      </w:r>
      <w:r>
        <w:rPr>
          <w:szCs w:val="24"/>
        </w:rPr>
        <w:t>ss</w:t>
      </w:r>
      <w:r>
        <w:rPr>
          <w:spacing w:val="-1"/>
          <w:szCs w:val="24"/>
        </w:rPr>
        <w:t>e</w:t>
      </w:r>
      <w:r>
        <w:rPr>
          <w:szCs w:val="24"/>
        </w:rPr>
        <w:t xml:space="preserve">d in </w:t>
      </w:r>
      <w:r>
        <w:rPr>
          <w:spacing w:val="1"/>
          <w:szCs w:val="24"/>
        </w:rPr>
        <w:t>S</w:t>
      </w:r>
      <w:r>
        <w:rPr>
          <w:spacing w:val="-1"/>
          <w:szCs w:val="24"/>
        </w:rPr>
        <w:t>ec</w:t>
      </w:r>
      <w:r>
        <w:rPr>
          <w:szCs w:val="24"/>
        </w:rPr>
        <w:t>tion 30.4.6.2.10 of Att</w:t>
      </w:r>
      <w:r>
        <w:rPr>
          <w:spacing w:val="-1"/>
          <w:szCs w:val="24"/>
        </w:rPr>
        <w:t>ac</w:t>
      </w:r>
      <w:r>
        <w:rPr>
          <w:szCs w:val="24"/>
        </w:rPr>
        <w:t>hm</w:t>
      </w:r>
      <w:r>
        <w:rPr>
          <w:spacing w:val="-1"/>
          <w:szCs w:val="24"/>
        </w:rPr>
        <w:t>e</w:t>
      </w:r>
      <w:r>
        <w:rPr>
          <w:szCs w:val="24"/>
        </w:rPr>
        <w:t>nt O.</w:t>
      </w:r>
    </w:p>
    <w:p w:rsidR="00791A4B" w:rsidRDefault="00F753F8">
      <w:pPr>
        <w:pStyle w:val="alphapara"/>
        <w:rPr>
          <w:strike/>
          <w:szCs w:val="24"/>
        </w:rPr>
      </w:pPr>
      <w:r>
        <w:rPr>
          <w:szCs w:val="24"/>
        </w:rPr>
        <w:t>23.4.5.6.2.3</w:t>
      </w:r>
      <w:r>
        <w:rPr>
          <w:szCs w:val="24"/>
        </w:rPr>
        <w:tab/>
      </w:r>
      <w:r>
        <w:rPr>
          <w:bCs/>
        </w:rPr>
        <w:t>The</w:t>
      </w:r>
      <w:r>
        <w:rPr>
          <w:szCs w:val="24"/>
        </w:rPr>
        <w:t xml:space="preserve"> audit and review of the removal of a </w:t>
      </w:r>
      <w:r>
        <w:rPr>
          <w:spacing w:val="2"/>
          <w:szCs w:val="24"/>
        </w:rPr>
        <w:t>Generator</w:t>
      </w:r>
      <w:r>
        <w:rPr>
          <w:szCs w:val="24"/>
        </w:rPr>
        <w:t xml:space="preserve"> from a Forced Outage to</w:t>
      </w:r>
      <w:r>
        <w:rPr>
          <w:szCs w:val="24"/>
        </w:rPr>
        <w:t xml:space="preserve"> an ICAP Ineligible Forced Outage, and the determinations of Catastrophic Failure and Exceptional Circumstances, will be pursuant to specific timelines established in ISO Procedures.  </w:t>
      </w:r>
    </w:p>
    <w:p w:rsidR="00791A4B" w:rsidRDefault="00F753F8">
      <w:pPr>
        <w:pStyle w:val="Heading4"/>
        <w:rPr>
          <w:position w:val="-1"/>
        </w:rPr>
      </w:pPr>
      <w:r>
        <w:rPr>
          <w:position w:val="-1"/>
        </w:rPr>
        <w:t>23.4.5.6.3</w:t>
      </w:r>
      <w:r>
        <w:rPr>
          <w:position w:val="-1"/>
        </w:rPr>
        <w:tab/>
        <w:t xml:space="preserve">Penalties for </w:t>
      </w:r>
      <w:r>
        <w:t>Withholding</w:t>
      </w:r>
      <w:r>
        <w:rPr>
          <w:spacing w:val="2"/>
        </w:rPr>
        <w:t xml:space="preserve"> </w:t>
      </w:r>
      <w:r>
        <w:rPr>
          <w:spacing w:val="-3"/>
        </w:rPr>
        <w:t>I</w:t>
      </w:r>
      <w:r>
        <w:t xml:space="preserve">nstalled </w:t>
      </w:r>
      <w:r>
        <w:rPr>
          <w:spacing w:val="1"/>
        </w:rPr>
        <w:t>C</w:t>
      </w:r>
      <w:r>
        <w:t>apaci</w:t>
      </w:r>
      <w:r>
        <w:rPr>
          <w:spacing w:val="3"/>
        </w:rPr>
        <w:t>t</w:t>
      </w:r>
      <w:r>
        <w:t>y</w:t>
      </w:r>
      <w:r>
        <w:rPr>
          <w:spacing w:val="-5"/>
        </w:rPr>
        <w:t xml:space="preserve"> </w:t>
      </w:r>
      <w:r>
        <w:t>P</w:t>
      </w:r>
      <w:r>
        <w:rPr>
          <w:spacing w:val="5"/>
        </w:rPr>
        <w:t>h</w:t>
      </w:r>
      <w:r>
        <w:rPr>
          <w:spacing w:val="-5"/>
        </w:rPr>
        <w:t>y</w:t>
      </w:r>
      <w:r>
        <w:t>s</w:t>
      </w:r>
      <w:r>
        <w:rPr>
          <w:spacing w:val="3"/>
        </w:rPr>
        <w:t>i</w:t>
      </w:r>
      <w:r>
        <w:t>cal</w:t>
      </w:r>
      <w:r>
        <w:rPr>
          <w:spacing w:val="5"/>
        </w:rPr>
        <w:t>l</w:t>
      </w:r>
      <w:r>
        <w:t>y</w:t>
      </w:r>
      <w:r>
        <w:rPr>
          <w:spacing w:val="-5"/>
        </w:rPr>
        <w:t xml:space="preserve"> </w:t>
      </w:r>
      <w:r>
        <w:t>In O</w:t>
      </w:r>
      <w:r>
        <w:rPr>
          <w:spacing w:val="2"/>
        </w:rPr>
        <w:t>r</w:t>
      </w:r>
      <w:r>
        <w:t>der To Af</w:t>
      </w:r>
      <w:r>
        <w:rPr>
          <w:spacing w:val="2"/>
        </w:rPr>
        <w:t>f</w:t>
      </w:r>
      <w:r>
        <w:t>ect Pr</w:t>
      </w:r>
      <w:r>
        <w:rPr>
          <w:spacing w:val="3"/>
        </w:rPr>
        <w:t>i</w:t>
      </w:r>
      <w:r>
        <w:t>ces</w:t>
      </w:r>
      <w:r>
        <w:rPr>
          <w:position w:val="-1"/>
        </w:rPr>
        <w:t xml:space="preserve"> </w:t>
      </w:r>
    </w:p>
    <w:p w:rsidR="00791A4B" w:rsidRDefault="00F753F8">
      <w:pPr>
        <w:pStyle w:val="Bodypara"/>
      </w:pPr>
      <w:r>
        <w:t>If the ISO determines that either: i) pursuant to Section 23.4.5.6.1, the proposal or</w:t>
      </w:r>
      <w:r>
        <w:rPr>
          <w:spacing w:val="-1"/>
        </w:rPr>
        <w:t xml:space="preserve"> </w:t>
      </w:r>
      <w:r>
        <w:rPr>
          <w:spacing w:val="2"/>
        </w:rPr>
        <w:t>d</w:t>
      </w:r>
      <w:r>
        <w:rPr>
          <w:spacing w:val="-1"/>
        </w:rPr>
        <w:t>ec</w:t>
      </w:r>
      <w:r>
        <w:t xml:space="preserve">ision </w:t>
      </w:r>
      <w:r>
        <w:rPr>
          <w:spacing w:val="2"/>
        </w:rPr>
        <w:t>b</w:t>
      </w:r>
      <w:r>
        <w:t>y</w:t>
      </w:r>
      <w:r>
        <w:rPr>
          <w:spacing w:val="-5"/>
        </w:rPr>
        <w:t xml:space="preserve"> </w:t>
      </w:r>
      <w:r>
        <w:t>a</w:t>
      </w:r>
      <w:r>
        <w:rPr>
          <w:spacing w:val="-1"/>
        </w:rPr>
        <w:t xml:space="preserve"> </w:t>
      </w:r>
      <w:r>
        <w:rPr>
          <w:spacing w:val="3"/>
        </w:rPr>
        <w:t>M</w:t>
      </w:r>
      <w:r>
        <w:rPr>
          <w:spacing w:val="-1"/>
        </w:rPr>
        <w:t>ar</w:t>
      </w:r>
      <w:r>
        <w:t>k</w:t>
      </w:r>
      <w:r>
        <w:rPr>
          <w:spacing w:val="-1"/>
        </w:rPr>
        <w:t>e</w:t>
      </w:r>
      <w:r>
        <w:t xml:space="preserve">t </w:t>
      </w:r>
      <w:r>
        <w:rPr>
          <w:spacing w:val="1"/>
        </w:rPr>
        <w:t>Party</w:t>
      </w:r>
      <w:r>
        <w:t xml:space="preserve"> to </w:t>
      </w:r>
      <w:r>
        <w:rPr>
          <w:spacing w:val="-1"/>
        </w:rPr>
        <w:t>re</w:t>
      </w:r>
      <w:r>
        <w:t>ti</w:t>
      </w:r>
      <w:r>
        <w:rPr>
          <w:spacing w:val="-1"/>
        </w:rPr>
        <w:t>r</w:t>
      </w:r>
      <w:r>
        <w:t>e</w:t>
      </w:r>
      <w:r>
        <w:rPr>
          <w:spacing w:val="-1"/>
        </w:rPr>
        <w:t xml:space="preserve"> </w:t>
      </w:r>
      <w:r>
        <w:t>or</w:t>
      </w:r>
      <w:r>
        <w:rPr>
          <w:spacing w:val="-1"/>
        </w:rPr>
        <w:t xml:space="preserve"> </w:t>
      </w:r>
      <w:r>
        <w:t>oth</w:t>
      </w:r>
      <w:r>
        <w:rPr>
          <w:spacing w:val="1"/>
        </w:rPr>
        <w:t>e</w:t>
      </w:r>
      <w:r>
        <w:rPr>
          <w:spacing w:val="-1"/>
        </w:rPr>
        <w:t>r</w:t>
      </w:r>
      <w:r>
        <w:t xml:space="preserve">wise </w:t>
      </w:r>
      <w:r>
        <w:rPr>
          <w:spacing w:val="-1"/>
        </w:rPr>
        <w:t>re</w:t>
      </w:r>
      <w:r>
        <w:t>move</w:t>
      </w:r>
      <w:r>
        <w:rPr>
          <w:spacing w:val="-1"/>
        </w:rPr>
        <w:t xml:space="preserve"> an Installed Capacity Supplier fr</w:t>
      </w:r>
      <w:r>
        <w:t>om</w:t>
      </w:r>
      <w:r>
        <w:rPr>
          <w:spacing w:val="3"/>
        </w:rPr>
        <w:t xml:space="preserve"> </w:t>
      </w:r>
      <w:r>
        <w:t>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or </w:t>
      </w:r>
      <w:r>
        <w:rPr>
          <w:spacing w:val="3"/>
        </w:rPr>
        <w:t>t</w:t>
      </w:r>
      <w:r>
        <w:t>o d</w:t>
      </w:r>
      <w:r>
        <w:rPr>
          <w:spacing w:val="-1"/>
        </w:rPr>
        <w:t>e</w:t>
      </w:r>
      <w:r>
        <w:t>-</w:t>
      </w:r>
      <w:r>
        <w:rPr>
          <w:spacing w:val="-1"/>
        </w:rPr>
        <w:t>ra</w:t>
      </w:r>
      <w:r>
        <w:t>te</w:t>
      </w:r>
      <w:r>
        <w:rPr>
          <w:spacing w:val="-1"/>
        </w:rPr>
        <w:t xml:space="preserve"> </w:t>
      </w:r>
      <w:r>
        <w:t>the</w:t>
      </w:r>
      <w:r>
        <w:rPr>
          <w:spacing w:val="-1"/>
        </w:rPr>
        <w:t xml:space="preserve"> a</w:t>
      </w:r>
      <w:r>
        <w:t>mount of</w:t>
      </w:r>
      <w:r>
        <w:rPr>
          <w:spacing w:val="4"/>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rPr>
          <w:spacing w:val="-1"/>
        </w:rPr>
        <w:t>a</w:t>
      </w:r>
      <w:r>
        <w:rPr>
          <w:spacing w:val="2"/>
        </w:rPr>
        <w:t>v</w:t>
      </w:r>
      <w:r>
        <w:rPr>
          <w:spacing w:val="-1"/>
        </w:rPr>
        <w:t>a</w:t>
      </w:r>
      <w:r>
        <w:t>il</w:t>
      </w:r>
      <w:r>
        <w:rPr>
          <w:spacing w:val="-1"/>
        </w:rPr>
        <w:t>a</w:t>
      </w:r>
      <w:r>
        <w:t>ble</w:t>
      </w:r>
      <w:r>
        <w:rPr>
          <w:spacing w:val="-1"/>
        </w:rPr>
        <w:t xml:space="preserve"> fr</w:t>
      </w:r>
      <w:r>
        <w:rPr>
          <w:spacing w:val="2"/>
        </w:rPr>
        <w:t>o</w:t>
      </w:r>
      <w:r>
        <w:t>m su</w:t>
      </w:r>
      <w:r>
        <w:rPr>
          <w:spacing w:val="-1"/>
        </w:rPr>
        <w:t>c</w:t>
      </w:r>
      <w:r>
        <w:t xml:space="preserve">h  supplier, or ii) pursuant to Section 23.4.5.6.2, the ISO determines that the reclassification of an Installed Capacity Supplier that is a Generator from a Forced Outage to an ICAP Ineligible Forced Outage </w:t>
      </w:r>
      <w:r>
        <w:rPr>
          <w:spacing w:val="-1"/>
        </w:rPr>
        <w:t>c</w:t>
      </w:r>
      <w:r>
        <w:t>onstitut</w:t>
      </w:r>
      <w:r>
        <w:rPr>
          <w:spacing w:val="-1"/>
        </w:rPr>
        <w:t>e</w:t>
      </w:r>
      <w:r>
        <w:t>s p</w:t>
      </w:r>
      <w:r>
        <w:rPr>
          <w:spacing w:val="2"/>
        </w:rPr>
        <w:t>h</w:t>
      </w:r>
      <w:r>
        <w:rPr>
          <w:spacing w:val="-5"/>
        </w:rPr>
        <w:t>y</w:t>
      </w:r>
      <w:r>
        <w:t>si</w:t>
      </w:r>
      <w:r>
        <w:rPr>
          <w:spacing w:val="-1"/>
        </w:rPr>
        <w:t>ca</w:t>
      </w:r>
      <w:r>
        <w:t>l wit</w:t>
      </w:r>
      <w:r>
        <w:rPr>
          <w:spacing w:val="2"/>
        </w:rPr>
        <w:t>h</w:t>
      </w:r>
      <w:r>
        <w:t>holdin</w:t>
      </w:r>
      <w:r>
        <w:rPr>
          <w:spacing w:val="-2"/>
        </w:rPr>
        <w:t>g</w:t>
      </w:r>
      <w:r>
        <w:t xml:space="preserve">, </w:t>
      </w:r>
      <w:r>
        <w:rPr>
          <w:spacing w:val="-1"/>
        </w:rPr>
        <w:t>a</w:t>
      </w:r>
      <w:r>
        <w:t>nd would in</w:t>
      </w:r>
      <w:r>
        <w:rPr>
          <w:spacing w:val="-1"/>
        </w:rPr>
        <w:t>c</w:t>
      </w:r>
      <w:r>
        <w:rPr>
          <w:spacing w:val="2"/>
        </w:rPr>
        <w:t>r</w:t>
      </w:r>
      <w:r>
        <w:rPr>
          <w:spacing w:val="1"/>
        </w:rPr>
        <w:t>e</w:t>
      </w:r>
      <w:r>
        <w:rPr>
          <w:spacing w:val="-1"/>
        </w:rPr>
        <w:t>a</w:t>
      </w:r>
      <w:r>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Pr>
          <w:position w:val="-1"/>
        </w:rPr>
        <w:t>odu</w:t>
      </w:r>
      <w:r>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 xml:space="preserve">een the </w:t>
      </w:r>
      <w:r w:rsidR="00C42165" w:rsidRPr="00C42165">
        <w:rPr>
          <w:noProof/>
          <w:snapToGrid/>
          <w:spacing w:val="-1"/>
          <w:position w:val="-1"/>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Pr>
          <w:spacing w:val="-1"/>
          <w:position w:val="-1"/>
        </w:rPr>
        <w:t>Market Clearing Price for the</w:t>
      </w:r>
      <w:r>
        <w:t xml:space="preserv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 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791A4B" w:rsidRDefault="00F753F8">
      <w:pPr>
        <w:pStyle w:val="alphapara"/>
      </w:pPr>
      <w:r>
        <w:t>23.4.5.7</w:t>
      </w:r>
      <w:r>
        <w:rPr>
          <w:bCs/>
        </w:rPr>
        <w:tab/>
        <w:t>Unless exempt as specified below, offers to supply Unforced Capacity from a Mitigate</w:t>
      </w:r>
      <w:r>
        <w:rPr>
          <w:bCs/>
        </w:rPr>
        <w:t xml:space="preserve">d Capacity Zone Installed Capacity Supplier: (i) shall equal or exceed the applicable Offer Floor; and (ii) can only be offered in the ICAP Spot Market Auctions.  </w:t>
      </w:r>
      <w:ins w:id="57" w:author="zimberlin" w:date="2015-03-20T16:25:00Z">
        <w:r>
          <w:rPr>
            <w:bCs/>
          </w:rPr>
          <w:t xml:space="preserve">Except for Offer Floors applied pursuant to Section </w:t>
        </w:r>
        <w:r w:rsidR="00C42165" w:rsidRPr="00C42165">
          <w:rPr>
            <w:bCs/>
            <w:rPrChange w:id="58" w:author="kavanah" w:date="2015-04-09T15:55:00Z">
              <w:rPr>
                <w:bCs/>
                <w:highlight w:val="cyan"/>
              </w:rPr>
            </w:rPrChange>
          </w:rPr>
          <w:t>23.4.5.7.</w:t>
        </w:r>
      </w:ins>
      <w:ins w:id="59" w:author="NJ&amp;NC" w:date="2015-03-24T17:05:00Z">
        <w:r w:rsidR="00C42165" w:rsidRPr="00C42165">
          <w:rPr>
            <w:bCs/>
            <w:rPrChange w:id="60" w:author="kavanah" w:date="2015-04-09T15:55:00Z">
              <w:rPr>
                <w:bCs/>
                <w:highlight w:val="cyan"/>
              </w:rPr>
            </w:rPrChange>
          </w:rPr>
          <w:t>9</w:t>
        </w:r>
      </w:ins>
      <w:ins w:id="61" w:author="zimberlin" w:date="2015-03-20T16:25:00Z">
        <w:r w:rsidR="00C42165" w:rsidRPr="00C42165">
          <w:rPr>
            <w:bCs/>
            <w:rPrChange w:id="62" w:author="kavanah" w:date="2015-04-09T15:55:00Z">
              <w:rPr>
                <w:bCs/>
                <w:highlight w:val="cyan"/>
              </w:rPr>
            </w:rPrChange>
          </w:rPr>
          <w:t>.5.</w:t>
        </w:r>
      </w:ins>
      <w:ins w:id="63" w:author="kavanah" w:date="2015-04-01T12:58:00Z">
        <w:r w:rsidR="00C42165" w:rsidRPr="00C42165">
          <w:rPr>
            <w:bCs/>
            <w:rPrChange w:id="64" w:author="kavanah" w:date="2015-04-09T15:55:00Z">
              <w:rPr>
                <w:bCs/>
                <w:highlight w:val="cyan"/>
              </w:rPr>
            </w:rPrChange>
          </w:rPr>
          <w:t>2</w:t>
        </w:r>
      </w:ins>
      <w:ins w:id="65" w:author="zimberlin" w:date="2015-03-20T16:25:00Z">
        <w:r>
          <w:rPr>
            <w:bCs/>
          </w:rPr>
          <w:t xml:space="preserve"> (</w:t>
        </w:r>
        <w:r>
          <w:rPr>
            <w:bCs/>
            <w:i/>
          </w:rPr>
          <w:t xml:space="preserve">i.e., </w:t>
        </w:r>
        <w:r>
          <w:rPr>
            <w:bCs/>
          </w:rPr>
          <w:t xml:space="preserve">after the </w:t>
        </w:r>
        <w:r>
          <w:rPr>
            <w:bCs/>
          </w:rPr>
          <w:t>revocation of a Competitive Entry Exemption),</w:t>
        </w:r>
      </w:ins>
      <w:ins w:id="66" w:author="GK 4-7-2105" w:date="2015-04-07T19:49:00Z">
        <w:r>
          <w:rPr>
            <w:bCs/>
          </w:rPr>
          <w:t xml:space="preserve"> </w:t>
        </w:r>
      </w:ins>
      <w:del w:id="67" w:author="zimberlin" w:date="2015-03-20T16:25:00Z">
        <w:r>
          <w:rPr>
            <w:bCs/>
          </w:rPr>
          <w:delText>T</w:delText>
        </w:r>
      </w:del>
      <w:ins w:id="68" w:author="zimberlin" w:date="2015-03-20T16:25:00Z">
        <w:r>
          <w:rPr>
            <w:bCs/>
          </w:rPr>
          <w:t>t</w:t>
        </w:r>
      </w:ins>
      <w:r>
        <w:rPr>
          <w:bCs/>
        </w:rPr>
        <w:t>he Offer Floor shall apply to offers for Unforced Capacity from the Installed Capacity Supplier, if it is not a Special Case Resource, starting with the Capability Period for which the Installed Capacity Supp</w:t>
      </w:r>
      <w:r>
        <w:rPr>
          <w:bCs/>
        </w:rPr>
        <w:t xml:space="preserve">lier first offers to supply UCAP.  </w:t>
      </w:r>
      <w:ins w:id="69" w:author="zimberlin" w:date="2015-03-20T16:25:00Z">
        <w:r>
          <w:rPr>
            <w:bCs/>
          </w:rPr>
          <w:t xml:space="preserve">Offer Floors applied pursuant to Section </w:t>
        </w:r>
        <w:r w:rsidR="00C42165" w:rsidRPr="00C42165">
          <w:rPr>
            <w:bCs/>
            <w:rPrChange w:id="70" w:author="kavanah" w:date="2015-04-09T15:55:00Z">
              <w:rPr>
                <w:bCs/>
                <w:highlight w:val="cyan"/>
              </w:rPr>
            </w:rPrChange>
          </w:rPr>
          <w:t>23.4.5.7.</w:t>
        </w:r>
      </w:ins>
      <w:ins w:id="71" w:author="NJ&amp;NC" w:date="2015-03-24T17:05:00Z">
        <w:r w:rsidR="00C42165" w:rsidRPr="00C42165">
          <w:rPr>
            <w:bCs/>
            <w:rPrChange w:id="72" w:author="kavanah" w:date="2015-04-09T15:55:00Z">
              <w:rPr>
                <w:bCs/>
                <w:highlight w:val="cyan"/>
              </w:rPr>
            </w:rPrChange>
          </w:rPr>
          <w:t>9</w:t>
        </w:r>
      </w:ins>
      <w:ins w:id="73" w:author="kavanah" w:date="2015-04-01T13:01:00Z">
        <w:r w:rsidR="00C42165" w:rsidRPr="00C42165">
          <w:rPr>
            <w:bCs/>
            <w:rPrChange w:id="74" w:author="kavanah" w:date="2015-04-09T15:55:00Z">
              <w:rPr>
                <w:bCs/>
                <w:highlight w:val="cyan"/>
              </w:rPr>
            </w:rPrChange>
          </w:rPr>
          <w:t>.5.2</w:t>
        </w:r>
        <w:r>
          <w:rPr>
            <w:bCs/>
          </w:rPr>
          <w:t xml:space="preserve"> </w:t>
        </w:r>
      </w:ins>
      <w:ins w:id="75" w:author="zimberlin" w:date="2015-03-20T16:25:00Z">
        <w:r>
          <w:rPr>
            <w:bCs/>
          </w:rPr>
          <w:t xml:space="preserve">shall apply to offers for Unforced Capacity from an Installed Capacity Supplier starting with all ICAP auction activity subsequent to the date of the revocation.  </w:t>
        </w:r>
      </w:ins>
      <w:r>
        <w:rPr>
          <w:bCs/>
        </w:rPr>
        <w:t>Of</w:t>
      </w:r>
      <w:r>
        <w:rPr>
          <w:bCs/>
        </w:rPr>
        <w:t>fer Floors shall cease to apply to that portion of a resource’s UCAP (rounded down to the nearest tenth of a MW) that has cleared for any twelve, not-necessarily-consecutive, months (such cleared amount, “Cleared UCAP”).  Offer Floors shall be adjusted ann</w:t>
      </w:r>
      <w:r>
        <w:rPr>
          <w:bCs/>
        </w:rPr>
        <w:t xml:space="preserve">ually using the inflation rate component of the escalation factor of the relevant effective ICAP Demand Curves that have been accepted by the Commission. </w:t>
      </w:r>
    </w:p>
    <w:p w:rsidR="00791A4B" w:rsidRDefault="00F753F8">
      <w:pPr>
        <w:pStyle w:val="alphapara"/>
      </w:pPr>
      <w:r>
        <w:t>23.4.5.7.1</w:t>
      </w:r>
      <w:r>
        <w:tab/>
        <w:t>Unforced Capacity from an Installed Capacity Supplier that is subject to an Offer Floor ma</w:t>
      </w:r>
      <w:r>
        <w:t xml:space="preserve">y not be used to satisfy any LSE Unforced Capacity Obligation for Mitigated Capacity Zone Load unless such Unforced Capacity is obtained through participation in an ICAP Spot Market Auction.  </w:t>
      </w:r>
    </w:p>
    <w:p w:rsidR="00791A4B" w:rsidRDefault="00F753F8">
      <w:pPr>
        <w:pStyle w:val="alphapara"/>
      </w:pPr>
      <w:r>
        <w:t>23.4.5.7.2</w:t>
      </w:r>
      <w:r>
        <w:tab/>
        <w:t>An Installed Capacity Supplier, in a Mitigated Capac</w:t>
      </w:r>
      <w:r>
        <w:t xml:space="preserve">ity Zone for which the Commission has accepted an ICAP Demand Curve, shall be exempt from an Offer Floor if:  (a) the price that is equal to the (x) average of the ICAP Spot Market Auction price for each month in the two Capability Periods, beginning with </w:t>
      </w:r>
      <w:r>
        <w:t>the Summer Capability Period commencing three years from the start of the year of the Class Year (the “Starting Capability Period”) is projected by the ISO to be higher, with the inclusion of the Installed Capacity Supplier, than (y) the</w:t>
      </w:r>
      <w:del w:id="76" w:author="zimberlin" w:date="2015-03-20T16:28:00Z">
        <w:r>
          <w:delText xml:space="preserve"> highest Offer Floo</w:delText>
        </w:r>
        <w:r>
          <w:delText>r based on</w:delText>
        </w:r>
      </w:del>
      <w:r>
        <w:t xml:space="preserve"> </w:t>
      </w:r>
      <w:ins w:id="77" w:author="zimberlin" w:date="2015-03-20T16:28:00Z">
        <w:r>
          <w:rPr>
            <w:bCs/>
            <w:color w:val="1F497D"/>
            <w:u w:val="single"/>
          </w:rPr>
          <w:t xml:space="preserve">numerical value equal to </w:t>
        </w:r>
      </w:ins>
      <w:ins w:id="78" w:author="zimberlin" w:date="2015-04-13T15:57:00Z">
        <w:r>
          <w:rPr>
            <w:bCs/>
            <w:color w:val="1F497D"/>
            <w:u w:val="single"/>
          </w:rPr>
          <w:t>75</w:t>
        </w:r>
      </w:ins>
      <w:ins w:id="79" w:author="zimberlin" w:date="2015-03-20T16:28:00Z">
        <w:r>
          <w:rPr>
            <w:bCs/>
            <w:color w:val="1F497D"/>
            <w:u w:val="single"/>
          </w:rPr>
          <w:t xml:space="preserve"> percent of</w:t>
        </w:r>
        <w:r>
          <w:rPr>
            <w:b/>
            <w:bCs/>
            <w:color w:val="1F497D"/>
            <w:u w:val="single"/>
          </w:rPr>
          <w:t xml:space="preserve"> </w:t>
        </w:r>
      </w:ins>
      <w:r>
        <w:t>the Mitigation Net CONE that would be applicable to such supplier in the same two (2) Capability Periods (utilized to compute (x)),</w:t>
      </w:r>
      <w:del w:id="80" w:author="zimberlin" w:date="2015-03-20T16:28:00Z">
        <w:r>
          <w:delText xml:space="preserve"> or</w:delText>
        </w:r>
      </w:del>
      <w:r>
        <w:t xml:space="preserve"> (b) the price that is equal to the average of the ICAP Spot Market Auct</w:t>
      </w:r>
      <w:r>
        <w:t>ion prices in the six Capability Periods beginning with the Starting Capability Period is projected by the ISO to be higher, with the inclusion of the Installed Capacity Supplier, than the reasonably anticipated Unit Net CONE of the Installed Capacity Supp</w:t>
      </w:r>
      <w:r>
        <w:t>lier</w:t>
      </w:r>
      <w:ins w:id="81" w:author="zimberlin" w:date="2015-03-20T16:29:00Z">
        <w:r>
          <w:t>, or (c) it has been determined to be exempt pursuant to Section 23.4.5.7.</w:t>
        </w:r>
      </w:ins>
      <w:ins w:id="82" w:author="NJ&amp;NC" w:date="2015-03-24T17:20:00Z">
        <w:r>
          <w:t>9</w:t>
        </w:r>
      </w:ins>
      <w:r>
        <w:t xml:space="preserve"> </w:t>
      </w:r>
      <w:ins w:id="83" w:author="zimberlin" w:date="2015-03-20T16:29:00Z">
        <w:r>
          <w:t>(the “Competitive Entry Exemption”)</w:t>
        </w:r>
      </w:ins>
      <w:r>
        <w:t>.</w:t>
      </w:r>
      <w:ins w:id="84" w:author="zimberlin" w:date="2015-03-20T16:30:00Z">
        <w:r>
          <w:t xml:space="preserve"> </w:t>
        </w:r>
      </w:ins>
      <w:r>
        <w:t xml:space="preserve"> For purposes of the determinations pursuant to (a) and (b) of this section, the ISO shall identify Unit Net CONE and the price on the ICAP Demand Curve projected for a future Mitigation Study Period consistent with Sections 23.4.5.7.3.2 or 23.4.5.7.4, as </w:t>
      </w:r>
      <w:r>
        <w:t>appropriate, for each Examined Facility promptly after it (i) has accepted its SDU Project Cost Allocation and deliverable MW, if any, from the Final Decision Round and (ii) along with all other remaining members, has posted any associated security pursuan</w:t>
      </w:r>
      <w:r>
        <w:t xml:space="preserve">t to OATT Section 25 (OATT Attachment S) (for purposes of Section 23.4, a project that “remains a member of a completed Class Year”).  The first year value of an Examined Facility’s Unit Net CONE will be calculated pursuant to Section 23.4.5.7, Section </w:t>
      </w:r>
      <w:r>
        <w:rPr>
          <w:bCs/>
        </w:rPr>
        <w:t>23.</w:t>
      </w:r>
      <w:r>
        <w:rPr>
          <w:bCs/>
        </w:rPr>
        <w:t>4.5.7.2.4, or 23.4.5.7.3.2,</w:t>
      </w:r>
      <w:r>
        <w:t xml:space="preserve"> will be established at the time such Examined Facility first offers UCAP, and will be used by the ISO in subsequent mitigation exemption or Offer Floor determinations for Additional CRIS MW.  Any determination received pursuant </w:t>
      </w:r>
      <w:r>
        <w:t>to this Section 23.4.5.7.2, Section 23.4.5.7.6. or 23.4.5.7.7 shall not become final for the relevant Examined Facility unless the Examined Facility accepts its SDU Project Cost Allocation and deliverable MW, if any, from the Final Decision Round, and post</w:t>
      </w:r>
      <w:r>
        <w:t>ed any associated security pursuant to OATT Section 25, and remains a member of the completed Class Year.  The Unit Net CONE or exemption determination pursuant to this Section shall be final on the date the ISO issues a notice to stakeholders that the Cla</w:t>
      </w:r>
      <w:r>
        <w:t>ss Year decisional process has been</w:t>
      </w:r>
      <w:r>
        <w:rPr>
          <w:bCs/>
        </w:rPr>
        <w:t xml:space="preserve"> completed</w:t>
      </w:r>
      <w:r>
        <w:t>.</w:t>
      </w:r>
    </w:p>
    <w:p w:rsidR="00791A4B" w:rsidRDefault="00F753F8">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any NCZ Examined Projec</w:t>
      </w:r>
      <w:r>
        <w:rPr>
          <w:bCs/>
        </w:rPr>
        <w:t>t that is in a completed Class Year and has received CRIS, unless exempt pursuant to section 23.4.5.7.7 or 23.4.5.7.8.</w:t>
      </w:r>
    </w:p>
    <w:p w:rsidR="00791A4B" w:rsidRDefault="00F753F8">
      <w:pPr>
        <w:pStyle w:val="romannumeralpara"/>
        <w:rPr>
          <w:bCs/>
        </w:rPr>
      </w:pPr>
      <w:r>
        <w:rPr>
          <w:bCs/>
        </w:rPr>
        <w:t>23.4.5.7.2.2</w:t>
      </w:r>
      <w:r>
        <w:rPr>
          <w:bCs/>
        </w:rPr>
        <w:tab/>
        <w:t>The ISO shall make an “Indicative  Buyer-Side Mitigation Exemption Determination” for any NCZ Examined Project if  (i) the C</w:t>
      </w:r>
      <w:r>
        <w:rPr>
          <w:bCs/>
        </w:rPr>
        <w:t>ommission has accepted an ICAP Demand Curve for the Mitigated Capacity Zone that will become effective when the Mitigated Capacity Zone is first effective,  or (ii) if the Commission has not accepted the first ICAP Demand Curve to apply specifically to the</w:t>
      </w:r>
      <w:r>
        <w:rPr>
          <w:bCs/>
        </w:rPr>
        <w:t xml:space="preserve"> Mitigated Capacity Zone in which the NCZ Examined Project is located, provided the ISO has filed an ICAP Demand Curve pursuant to Services Tariff Section 5.14.1.2.11.  The Indicative Buyer-Side Mitigation Exemption Determination shall be computed using su</w:t>
      </w:r>
      <w:r>
        <w:rPr>
          <w:bCs/>
        </w:rPr>
        <w:t>ch ICAP Demand Curve for the Mitigated Capacity Zone concurrent with the determinations the ISO makes for Examined Facilities pursuant to Sections 23.4.5.7.3.2 and 23.4.5.7.3.3.  The ISO shall recompute the Indicative Buyer-Side Mitigation Exemption Determ</w:t>
      </w:r>
      <w:r>
        <w:rPr>
          <w:bCs/>
        </w:rPr>
        <w:t>ination promptly after Commission acceptance of the first ICAP Demand Curve for the applicable Locality provided that such NCZ Examined Project (i) received CRIS if the Class Year completed at the time the Commission accepts the Demand Curve, or (ii) has n</w:t>
      </w:r>
      <w:r>
        <w:rPr>
          <w:bCs/>
        </w:rPr>
        <w:t>ot been removed from the Class Year Deliverability Study if the Class Year is not completed.  The Indicative Buyer-Side Mitigation Exemption Determination is for informational purposes only.  The exemption or Offer Floor for an NCZ Examined Project to whic</w:t>
      </w:r>
      <w:r>
        <w:rPr>
          <w:bCs/>
        </w:rPr>
        <w:t>h this Section applies shall be determined for such projects receiving CRIS using the Commission-accepted Locality Demand Curve.</w:t>
      </w:r>
    </w:p>
    <w:p w:rsidR="00791A4B" w:rsidRDefault="00F753F8">
      <w:pPr>
        <w:pStyle w:val="romannumeralpara"/>
        <w:rPr>
          <w:bCs/>
        </w:rPr>
      </w:pPr>
      <w:r>
        <w:rPr>
          <w:bCs/>
        </w:rPr>
        <w:t>23.4.5.7.2.3</w:t>
      </w:r>
      <w:r>
        <w:rPr>
          <w:bCs/>
        </w:rPr>
        <w:tab/>
        <w:t>Any NCZ Examined Project not exempt pursuant to 23.4.5.7.8 shall provide data and information requested by the ISO</w:t>
      </w:r>
      <w:r>
        <w:rPr>
          <w:bCs/>
        </w:rPr>
        <w:t xml:space="preserve"> by the date specified by the ISO, in accordance with the ISO Procedures.</w:t>
      </w:r>
    </w:p>
    <w:p w:rsidR="00791A4B" w:rsidRDefault="00F753F8">
      <w:pPr>
        <w:pStyle w:val="romannumeralpara"/>
        <w:rPr>
          <w:bCs/>
        </w:rPr>
      </w:pPr>
      <w:r>
        <w:rPr>
          <w:bCs/>
        </w:rPr>
        <w:tab/>
        <w:t xml:space="preserve">The ISO </w:t>
      </w:r>
      <w:r>
        <w:t>shall</w:t>
      </w:r>
      <w:r>
        <w:rPr>
          <w:bCs/>
        </w:rPr>
        <w:t xml:space="preserve"> compute the reasonably anticipated ICAP Spot Market Auction forecast price based on Expected Retirements (as defined in subsection 23.4.5.7.2.3.1), plus each NCZ Exami</w:t>
      </w:r>
      <w:r>
        <w:rPr>
          <w:bCs/>
        </w:rPr>
        <w:t>ned Project.</w:t>
      </w:r>
    </w:p>
    <w:p w:rsidR="00791A4B" w:rsidRDefault="00F753F8">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facilities, or any Generator 2 MW or less that </w:t>
      </w:r>
      <w:r>
        <w:rPr>
          <w:bCs/>
        </w:rPr>
        <w:t>provided written notice to the ISO that it intends to retire.</w:t>
      </w:r>
    </w:p>
    <w:p w:rsidR="00791A4B" w:rsidRDefault="00F753F8">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w:t>
      </w:r>
      <w:r>
        <w:rPr>
          <w:bCs/>
        </w:rPr>
        <w:t>ed Capacity Zone that is part of the Special Case Resource data set forth in the most-recently published Load and Capacity Data (Gold Book).</w:t>
      </w:r>
    </w:p>
    <w:p w:rsidR="00791A4B" w:rsidRDefault="00F753F8">
      <w:pPr>
        <w:pStyle w:val="romannumeralpara"/>
        <w:rPr>
          <w:bCs/>
        </w:rPr>
      </w:pPr>
      <w:r>
        <w:rPr>
          <w:bCs/>
        </w:rPr>
        <w:t>23.4.5.7.2.4</w:t>
      </w:r>
      <w:r>
        <w:rPr>
          <w:bCs/>
        </w:rPr>
        <w:tab/>
        <w:t>The ISO shall post on its website the inputs of the reasonably anticipated ICAP Spot Market Auction fo</w:t>
      </w:r>
      <w:r>
        <w:rPr>
          <w:bCs/>
        </w:rPr>
        <w:t>recast prices determined in accordance with 23.4.5.7.2.3 (except for the posting of an input which would disclose Confidential Information), the Expected Retirements, and the NCZ Examined Projects, before the exemption or Offer Floor determination under th</w:t>
      </w:r>
      <w:r>
        <w:rPr>
          <w:bCs/>
        </w:rPr>
        <w:t xml:space="preserve">is Section.  </w:t>
      </w:r>
    </w:p>
    <w:p w:rsidR="00791A4B" w:rsidRDefault="00F753F8">
      <w:pPr>
        <w:pStyle w:val="romannumeralpara"/>
        <w:rPr>
          <w:bCs/>
        </w:rPr>
      </w:pPr>
      <w:r>
        <w:rPr>
          <w:bCs/>
        </w:rPr>
        <w:tab/>
      </w:r>
      <w:r>
        <w:rPr>
          <w:bCs/>
        </w:rPr>
        <w:tab/>
        <w:t xml:space="preserve">When the ISO is evaluating more than one NCZ Examined Project </w:t>
      </w:r>
      <w:r>
        <w:t>concurrently</w:t>
      </w:r>
      <w:r>
        <w:rPr>
          <w:bCs/>
        </w:rPr>
        <w:t>, the ISO shall recognize in its computation of the anticipated ICAP Spot Market Auction forecast price that Generators or UDR facilities will clear from lowest to hi</w:t>
      </w:r>
      <w:r>
        <w:rPr>
          <w:bCs/>
        </w:rPr>
        <w:t xml:space="preserve">ghest, using for each NCZ Examined Project the lower of (i) the first year value of its Unit Net CONE, or (ii) the numerical value equal to 75 percent of the Mitigation Net Cone, then escalated in accordance with 23.4.5.7 for each of the year two and year </w:t>
      </w:r>
      <w:r>
        <w:rPr>
          <w:bCs/>
        </w:rPr>
        <w:t>three of the Mitigation Study Period.</w:t>
      </w:r>
    </w:p>
    <w:p w:rsidR="00791A4B" w:rsidRDefault="00F753F8">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on matters relating to the determination of price project</w:t>
      </w:r>
      <w:r>
        <w:rPr>
          <w:bCs/>
        </w:rPr>
        <w:t>ions and cost calculations.  The ISO shall inform the NCZ Examined Project of the Offer Floor or Offer Floor exemption determination or Indicative Buyer-Side Mitigation Exemption Determination promptly.  The responsibilities of the Market Monitoring Unit t</w:t>
      </w:r>
      <w:r>
        <w:rPr>
          <w:bCs/>
        </w:rPr>
        <w:t xml:space="preserve">hat are addressed in this Section 23.4.5.7.2.5 are also addressed in Section 30.4.6.2.11 of Attachment O.  </w:t>
      </w:r>
    </w:p>
    <w:p w:rsidR="00791A4B" w:rsidRDefault="00F753F8">
      <w:pPr>
        <w:pStyle w:val="romannumeralpara"/>
        <w:rPr>
          <w:bCs/>
        </w:rPr>
      </w:pPr>
      <w:r>
        <w:rPr>
          <w:bCs/>
        </w:rPr>
        <w:t>23.4.5.7.2.6</w:t>
      </w:r>
      <w:r>
        <w:rPr>
          <w:bCs/>
        </w:rPr>
        <w:tab/>
        <w:t>If an NCZ Examined Project under the criteria in 23.4.5.7.2.1 or 23.4.5.7.2.2 does not provide all of the requested data by the date sp</w:t>
      </w:r>
      <w:r>
        <w:rPr>
          <w:bCs/>
        </w:rPr>
        <w:t>ecified by the ISO, the MW of CRIS received at that time by the project shall be subject to the Mitigation Net CONE Offer Floor for the period determined by the ISO in accordance with Section 23.4.5.7.</w:t>
      </w:r>
    </w:p>
    <w:p w:rsidR="00791A4B" w:rsidRDefault="00F753F8">
      <w:pPr>
        <w:pStyle w:val="romannumeralpara"/>
        <w:rPr>
          <w:bCs/>
        </w:rPr>
      </w:pPr>
      <w:r>
        <w:rPr>
          <w:bCs/>
        </w:rPr>
        <w:t>23.4.5.7.2.7</w:t>
      </w:r>
      <w:r>
        <w:rPr>
          <w:bCs/>
        </w:rPr>
        <w:tab/>
      </w:r>
      <w:r>
        <w:rPr>
          <w:bCs/>
        </w:rPr>
        <w:t xml:space="preserve">An NCZ Examined Project or Examined Facility located in more than one </w:t>
      </w:r>
      <w:r>
        <w:t>Mitigated</w:t>
      </w:r>
      <w:r>
        <w:rPr>
          <w:bCs/>
        </w:rPr>
        <w:t xml:space="preserve"> Capacity Zone shall be evaluated pursuant to the tests in Section 23.4.5.7.2 (a) and (b) or 23.4.5.7.3 (as applicable), calculating Mitigation Net CONE for the smallest Mitigat</w:t>
      </w:r>
      <w:r>
        <w:rPr>
          <w:bCs/>
        </w:rPr>
        <w:t>ed Capacity Zone that contains the Load Zone in which such NCZ Examined Project or Examined Facility is electrically located.</w:t>
      </w:r>
    </w:p>
    <w:p w:rsidR="00791A4B" w:rsidRDefault="00F753F8">
      <w:pPr>
        <w:pStyle w:val="romannumeralpara"/>
        <w:rPr>
          <w:bCs/>
        </w:rPr>
      </w:pPr>
      <w:r>
        <w:rPr>
          <w:bCs/>
        </w:rPr>
        <w:t>23.4.5.7.3</w:t>
      </w:r>
      <w:r>
        <w:rPr>
          <w:bCs/>
        </w:rPr>
        <w:tab/>
        <w:t xml:space="preserve">The ISO shall make such exemption and Unit Net CONE determination for each “Examined Facility” (collectively “Examined </w:t>
      </w:r>
      <w:r>
        <w:rPr>
          <w:bCs/>
        </w:rPr>
        <w:t xml:space="preserve">Facilities”) which term shall mean (I) </w:t>
      </w:r>
      <w:r>
        <w:t>each</w:t>
      </w:r>
      <w:r>
        <w:rPr>
          <w:bCs/>
        </w:rPr>
        <w:t xml:space="preserve"> proposed new Generator and proposed new UDR project, and each existing Generator that has ERIS only and no CRIS, that is a member of the Class Year that requested CRIS, or that requested an evaluation of the tran</w:t>
      </w:r>
      <w:r>
        <w:rPr>
          <w:bCs/>
        </w:rPr>
        <w:t>sfer of CRIS rights from another location, in the Class Year Facilities Study commencing in the calendar year in which the Class Year Facility Study determination is being made (the Capability Periods of expected entry as further described below in this Se</w:t>
      </w:r>
      <w:r>
        <w:rPr>
          <w:bCs/>
        </w:rPr>
        <w:t>ction, the “Mitigation Study Period”), (II) each (i) existing Generator that did not have CRIS rights, and (ii) proposed new Generator and proposed new UDR project, that is an expected recipient of transferred CRIS rights at the same location regarding whi</w:t>
      </w:r>
      <w:r>
        <w:rPr>
          <w:bCs/>
        </w:rPr>
        <w:t>ch the ISO has been notified by the transferor or the transferee of a transfer pursuant to OATT Attachment S Section 25.9.4 that will be effective on a date within the Mitigation Study Period, (III) each proposed new Generator that (a) is either (i) in the</w:t>
      </w:r>
      <w:r>
        <w:rPr>
          <w:bCs/>
        </w:rPr>
        <w:t xml:space="preserve"> ISO Interconnection Queue, in a Class Year prior to 2009/10, and has not commenced commercial operation or been canceled, and for which the ISO has not made an exemption or Unit Net CONE determination, or (ii) not subject to a deliverability requirement (</w:t>
      </w:r>
      <w:r>
        <w:rPr>
          <w:bCs/>
        </w:rPr>
        <w:t xml:space="preserve">and therefore, is not in a Class Year) and (b) provides specific written notification to the ISO no later than the date identified by the ISO, that it plans to commence commercial operation and offer UCAP in a month that coincides with a Capability Period </w:t>
      </w:r>
      <w:r>
        <w:rPr>
          <w:bCs/>
        </w:rPr>
        <w:t>of the Mitigation Study Period.  The term “Examined Facilities” does not include any facility exempt from an Offer Floor pursuant to the provisions of Section 23.4.5.7.</w:t>
      </w:r>
    </w:p>
    <w:p w:rsidR="00791A4B" w:rsidRDefault="00F753F8">
      <w:pPr>
        <w:pStyle w:val="romannumeralpara"/>
        <w:rPr>
          <w:bCs/>
        </w:rPr>
      </w:pPr>
      <w:r>
        <w:rPr>
          <w:bCs/>
        </w:rPr>
        <w:t>23.4.5.7.3.1</w:t>
      </w:r>
      <w:r>
        <w:rPr>
          <w:bCs/>
        </w:rPr>
        <w:tab/>
        <w:t>The commercial operation date to be used by the ISO solely for purposes of</w:t>
      </w:r>
      <w:r>
        <w:rPr>
          <w:bCs/>
        </w:rPr>
        <w:t xml:space="preserve"> identifying the Examined Facilities will be determined by the ISO at the time of the Class Year Study as the date most-recently (A) identified by the project  to the ISO in the Interconnection Facilities Study process or (B) reflected in the Interconnecti</w:t>
      </w:r>
      <w:r>
        <w:rPr>
          <w:bCs/>
        </w:rPr>
        <w:t>on Queue, or if neither of the foregoing is applicable, then the date identified by the project to the Transmission Owner to which it has proposed interconnecting.</w:t>
      </w:r>
    </w:p>
    <w:p w:rsidR="00791A4B" w:rsidRDefault="00F753F8">
      <w:pPr>
        <w:pStyle w:val="romannumeralpara"/>
        <w:rPr>
          <w:bCs/>
        </w:rPr>
      </w:pPr>
      <w:r>
        <w:rPr>
          <w:bCs/>
        </w:rPr>
        <w:t>23.4.5.7.3.2</w:t>
      </w:r>
      <w:r>
        <w:rPr>
          <w:bCs/>
        </w:rPr>
        <w:tab/>
        <w:t>The ISO shall compute the reasonably anticipated ICAP Spot Market Auction forec</w:t>
      </w:r>
      <w:r>
        <w:rPr>
          <w:bCs/>
        </w:rPr>
        <w:t>ast price for any Mitigated Capacity Zone based on Expected Retirements (as defined in this subsection 23.4.5.7.3.2), plus each Examined Facility in 23.4.5.7.3 (I), (II), and (III).</w:t>
      </w:r>
    </w:p>
    <w:p w:rsidR="00791A4B" w:rsidRDefault="00F753F8">
      <w:pPr>
        <w:pStyle w:val="romannumeralpara"/>
        <w:ind w:firstLine="0"/>
        <w:rPr>
          <w:bCs/>
        </w:rPr>
      </w:pPr>
      <w:r>
        <w:rPr>
          <w:bCs/>
        </w:rPr>
        <w:t>Expected Retirements shall be determined based on any Generator that provi</w:t>
      </w:r>
      <w:r>
        <w:rPr>
          <w:bCs/>
        </w:rPr>
        <w:t>ded written notice to the New York State Public Service Commission that it intends to retire, plus any UDR facility or Generator 2 MW or less that provided written notice to the ISO that it intends to retire.</w:t>
      </w:r>
    </w:p>
    <w:p w:rsidR="00791A4B" w:rsidRDefault="00F753F8">
      <w:pPr>
        <w:pStyle w:val="romannumeralpara"/>
        <w:ind w:firstLine="0"/>
        <w:rPr>
          <w:bCs/>
        </w:rPr>
      </w:pPr>
      <w:r>
        <w:rPr>
          <w:bCs/>
        </w:rPr>
        <w:t>The load forecast and Special Case Resources sh</w:t>
      </w:r>
      <w:r>
        <w:rPr>
          <w:bCs/>
        </w:rPr>
        <w:t>all be as set forth in the most-recently published Load and Capacity Data (Gold Book).</w:t>
      </w:r>
    </w:p>
    <w:p w:rsidR="00791A4B" w:rsidRDefault="00F753F8">
      <w:pPr>
        <w:pStyle w:val="romannumeralpara"/>
        <w:ind w:firstLine="0"/>
        <w:rPr>
          <w:bCs/>
        </w:rPr>
      </w:pPr>
      <w:r>
        <w:rPr>
          <w:bCs/>
        </w:rPr>
        <w:t>Before the commencement of the Initial Decision Period for the Class Year, the ISO shall post on its website the inputs of the reasonably anticipated ICAP Spot Market Au</w:t>
      </w:r>
      <w:r>
        <w:rPr>
          <w:bCs/>
        </w:rPr>
        <w:t>ction forecast prices determined in accordance with 23.4.5.7.3.2, the Expected Retirements, and the Examined Facilities, before the Initial Project Cost Allocation, subject to any restrictions on the disclosure of Confidential Information or Critical Energ</w:t>
      </w:r>
      <w:r>
        <w:rPr>
          <w:bCs/>
        </w:rPr>
        <w:t>y Infrastructure Information.</w:t>
      </w:r>
    </w:p>
    <w:p w:rsidR="00791A4B" w:rsidRDefault="00F753F8">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w:t>
      </w:r>
      <w:r>
        <w:rPr>
          <w:bCs/>
        </w:rPr>
        <w:t>owest to highest, using for each Examined Facility the lower of (i) the first year value of its Unit Net CONE, or (ii) the numerical value equal to 75 percent of the Mitigation Net Cone, then escalated in accordance with 23.4.5.7 for each of the year two a</w:t>
      </w:r>
      <w:r>
        <w:rPr>
          <w:bCs/>
        </w:rPr>
        <w:t xml:space="preserve">nd year three of the Mitigation Study Period. </w:t>
      </w:r>
    </w:p>
    <w:p w:rsidR="00791A4B" w:rsidRDefault="00F753F8">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w:t>
      </w:r>
      <w:r>
        <w:rPr>
          <w:bCs/>
        </w:rPr>
        <w:t>pecified by the ISO, in accordance with the ISO Procedures.  For any such Examined Facility that is in a Class Year but that only has ERIS rights after the Project Cost Allocation process is complete, the ISO shall utilize the data first provided in its an</w:t>
      </w:r>
      <w:r>
        <w:rPr>
          <w:bCs/>
        </w:rPr>
        <w:t>alysis of the Unit Net CONE in its review of the project in any future Class Year in which the Generator or UDR facility requests CRIS.  The ISO shall determine the reasonably anticipated Unit Net CONE less the costs to be determined in the Project Cost Al</w:t>
      </w:r>
      <w:r>
        <w:rPr>
          <w:bCs/>
        </w:rPr>
        <w:t>location or Revised Project Cost Allocation, as applicable, prior to the commencement of the Initial Decision Period Class Year, and shall provide to the Examined Facility the ISO’s initial determination of an exemption or the Offer Floor.  On or before th</w:t>
      </w:r>
      <w:r>
        <w:rPr>
          <w:bCs/>
        </w:rPr>
        <w:t xml:space="preserve">e three (3) days prior to the ISO’s issuance of the Revised Project Cost Allocation, the ISO will revise its forecast of ICAP Spot Market Auction prices for the Capability Periods in the Mitigation Study Period based on the Examined Facilities that remain </w:t>
      </w:r>
      <w:r>
        <w:rPr>
          <w:bCs/>
        </w:rPr>
        <w:t>in the Class Year for CRIS and the Examined Facilities that meet 23.4.5.7.3 (II) or (III).  When evaluating Examined Capacity pursuant to this Section 23.4.5.7, the ISO shall seek comment from the Market Monitoring Unit on matters relating to the determina</w:t>
      </w:r>
      <w:r>
        <w:rPr>
          <w:bCs/>
        </w:rPr>
        <w:t xml:space="preserve">tion of price projections and cost calculations.  The ISO shall provide to each project its revised price forecast and a revised initial determination for a Subsequent Decision Period no later than the ISO’s issuance of a Revised Project Cost Allocation.  </w:t>
      </w:r>
      <w:r>
        <w:rPr>
          <w:bCs/>
        </w:rPr>
        <w:t>If a project remains a member of a completed Class Year, the ISO shall inform the project of the final determination of the Offer Floor or whether the Offer Floor exemption specified above in this Section is applicable as soon as practicable after the date</w:t>
      </w:r>
      <w:r>
        <w:rPr>
          <w:bCs/>
        </w:rPr>
        <w:t xml:space="preserve"> the ISO issues a notice to stakeholders that the Class Year decisional process has been completed, in accordance with methods and procedures specified in ISO Procedures.  </w:t>
      </w:r>
      <w:r>
        <w:t>The responsibilities of the Market Monitoring Unit that are addressed in this sectio</w:t>
      </w:r>
      <w:r>
        <w:t xml:space="preserve">n of the Mitigation Measures are also addressed in Section 30.4.6.2.11 of Attachment O.  </w:t>
      </w:r>
    </w:p>
    <w:p w:rsidR="00791A4B" w:rsidRDefault="00F753F8">
      <w:pPr>
        <w:pStyle w:val="romannumeralpara"/>
      </w:pPr>
      <w:r>
        <w:t>23.4.5.7.3.4</w:t>
      </w:r>
      <w:r>
        <w:tab/>
        <w:t xml:space="preserve">If an Examined Facility under the criteria in 23.4.5.7.3 (II) or (III) has not provided written notice to the ISO on or before the date specified by the </w:t>
      </w:r>
      <w:r>
        <w:t>ISO, or any Examined Facility required to be reviewed does not provide all of the requested data by the date specified by the ISO, the proposed Capacity shall be subject to the Mitigation Net CONE Offer Floor for the period determined by the ISO in accorda</w:t>
      </w:r>
      <w:r>
        <w:t>nce with Section 23.4.5.7.</w:t>
      </w:r>
    </w:p>
    <w:p w:rsidR="00791A4B" w:rsidRDefault="00F753F8">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w:t>
      </w:r>
      <w:r>
        <w:t>er Floor determination if it meets the criteria in Section 23.4.5.7.3 (I) and either (a) enters a new Class Year for CRIS or (b) intends to receive transferred CRIS rights at the same location.  An Examined Facility under the criteria in 23.4.5.7.3 (II) th</w:t>
      </w:r>
      <w:r>
        <w:t xml:space="preserve">at did receive CRIS rights will be bound by the determination rendered and will not be reevaluated, and an Examined Facility under the criteria in 23.4.5.7.3 (III) will not be reevaluated.  </w:t>
      </w:r>
    </w:p>
    <w:p w:rsidR="00791A4B" w:rsidRDefault="00F753F8">
      <w:pPr>
        <w:pStyle w:val="romannumeralpara"/>
        <w:rPr>
          <w:ins w:id="85" w:author="GK 4-7-2105" w:date="2015-04-07T20:14:00Z"/>
        </w:rPr>
      </w:pPr>
      <w:r>
        <w:t xml:space="preserve">23.4.5.7.3.6 </w:t>
      </w:r>
      <w:r>
        <w:tab/>
        <w:t>If an Installed Capacity Supplier demonstrates to t</w:t>
      </w:r>
      <w:r>
        <w:t>he reasonable satisfaction of the ISO</w:t>
      </w:r>
      <w:r>
        <w:rPr>
          <w:bCs/>
        </w:rPr>
        <w:t xml:space="preserve"> </w:t>
      </w:r>
      <w:r>
        <w:t xml:space="preserve">that the value equal to the first of the three year values that comprise its Unit Net CONE is less than any Offer Floor that would otherwise be applicable to the Installed Capacity Supplier, then its Offer Floor shall </w:t>
      </w:r>
      <w:r>
        <w:t>be reduced to a numerical value equal to the first year of its Unit Net CONE.</w:t>
      </w:r>
    </w:p>
    <w:p w:rsidR="00791A4B" w:rsidRDefault="00F753F8">
      <w:pPr>
        <w:pStyle w:val="romannumeralpara"/>
        <w:rPr>
          <w:bCs/>
        </w:rPr>
      </w:pPr>
      <w:del w:id="86" w:author="cutting" w:date="2015-04-10T13:58:00Z">
        <w:r>
          <w:delText xml:space="preserve">  </w:delText>
        </w:r>
      </w:del>
      <w:ins w:id="87" w:author="GK 4-7-2105" w:date="2015-04-07T20:14:00Z">
        <w:r>
          <w:t>23.4.5.7.3.</w:t>
        </w:r>
      </w:ins>
      <w:ins w:id="88" w:author="GK 4-7-2105" w:date="2015-04-07T20:15:00Z">
        <w:r>
          <w:t>7</w:t>
        </w:r>
        <w:r>
          <w:tab/>
        </w:r>
      </w:ins>
      <w:r>
        <w:t xml:space="preserve">If the Installed Capacity Supplier first offers UCAP prior to the first Capability Year of the Mitigation Study Period for which it was evaluated, its Offer Floor </w:t>
      </w:r>
      <w:r>
        <w:t>shall be reduced using the inflation rate component identified in Section 23.4.5.7.  If the Installed Capacity Supplier first offers UCAP after the first Capability Year of the Mitigation Study Period for which it was evaluated, its Offer Floor shall be in</w:t>
      </w:r>
      <w:r>
        <w:t>creased using the inflation rate component identified in 23.4.5.7.</w:t>
      </w:r>
    </w:p>
    <w:p w:rsidR="00791A4B" w:rsidRDefault="00F753F8">
      <w:pPr>
        <w:pStyle w:val="romannumeralpara"/>
        <w:rPr>
          <w:bCs/>
        </w:rPr>
      </w:pPr>
      <w:r>
        <w:t>23.4.5.7.4</w:t>
      </w:r>
      <w:del w:id="89" w:author="cutting" w:date="2015-04-10T13:59:00Z">
        <w:r>
          <w:rPr>
            <w:bCs/>
          </w:rPr>
          <w:delText xml:space="preserve"> </w:delText>
        </w:r>
      </w:del>
      <w:r>
        <w:rPr>
          <w:bCs/>
        </w:rPr>
        <w:tab/>
      </w:r>
      <w:r>
        <w:t>For purposes of Sections 23.4.5.7.2(b) and 23.4.5.7.6(b), the ISO shall identify the Unit Net CONE and the price on the ICAP Demand Curve projected for a future Mitigation Study</w:t>
      </w:r>
      <w:r>
        <w:t xml:space="preserve"> Period using: (i) the escalation factor of the relevant ICAP Demand Curves for any year for which there are accepted ICAP Demand Curves; or (ii) the inflation rate component of the escalation factor of the relevant ICAP Demand Curve for any year for which</w:t>
      </w:r>
      <w:r>
        <w:t xml:space="preserve"> the accepted ICAP Demand Curves do not apply.  </w:t>
      </w:r>
      <w:del w:id="90" w:author="cutting" w:date="2015-04-10T13:59:00Z">
        <w:r>
          <w:delText xml:space="preserve"> </w:delText>
        </w:r>
      </w:del>
      <w:r>
        <w:t xml:space="preserve">For purposes of Section 23.4.5.7.2(a), the ISO shall use the escalation factor of the relevant ICAP Demand Curves.  </w:t>
      </w:r>
      <w:r>
        <w:rPr>
          <w:bCs/>
        </w:rPr>
        <w:t xml:space="preserve"> </w:t>
      </w:r>
    </w:p>
    <w:p w:rsidR="00791A4B" w:rsidRDefault="00F753F8">
      <w:pPr>
        <w:pStyle w:val="romannumeralpara"/>
      </w:pPr>
      <w:r>
        <w:t>23.4.5.7.5</w:t>
      </w:r>
      <w:del w:id="91" w:author="cutting" w:date="2015-04-10T13:59:00Z">
        <w:r>
          <w:delText xml:space="preserve"> </w:delText>
        </w:r>
      </w:del>
      <w:del w:id="92" w:author="cutting" w:date="2015-04-10T14:00:00Z">
        <w:r>
          <w:delText xml:space="preserve"> </w:delText>
        </w:r>
      </w:del>
      <w:r>
        <w:tab/>
        <w:t>A Mitigated Capacity Zone Installed Capacity Supplier that is a Special Case</w:t>
      </w:r>
      <w:r>
        <w:t xml:space="preserv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w:t>
      </w:r>
      <w:r>
        <w:t>r a total of twelve, not necessarily consecutive, months.  A Special Case Resource shall be exempt from the Offer Floor if (a) it is located in a Mitigated Capacity Zone except New York City and is enrolled as a Special Case Resource with the ISO for any m</w:t>
      </w:r>
      <w:r>
        <w:t>onth within the Capability Year that includes March 31 in an ICAP Demand Curve Reset Filing Year in which the ISO proposes a New Capacity Zone that includes the location of the Special Case Resource, or (b) the ISO projects that the ICAP Spot Market Auctio</w:t>
      </w:r>
      <w:r>
        <w:t>n price will exceed the Special Case Resource’s Offer Floor for the first twelve months that the Special Case Resource reasonably anticipated to offer to supply UCAP.  If a Responsible Interface Party fails to provide Special Case Resource data that the IS</w:t>
      </w:r>
      <w:r>
        <w:t>O needs to conduct the calculations described in the two preceding sentences by the deadline established in ISO Procedures, the Special Case Resource will cease to be eligible to offer or sell Installed Capacity.  The Offer Floor for a Special Case Resourc</w:t>
      </w:r>
      <w:r>
        <w:t>e shall be equal to the minimum monthly payment for providing Installed Capacity payable by its Responsible Interface Party, plus the monthly value of any payments or other benefits the Special Case Resource receives from a third party for providing Instal</w:t>
      </w:r>
      <w:r>
        <w:t>led Capacity, or that is received by the Responsible Interface Party for the provision of Installed Capacity by the Special Case Resource.  The Offer Floor calculation shall include any payment or the value of other benefits that are awarded for offering o</w:t>
      </w:r>
      <w:r>
        <w:t xml:space="preserve">r supplying Mitigated Capacity Zone Capacity, except for payments or the value of other benefits provided under programs administered or approved by New York State or a government instrumentality of New York State.  Offers by a Responsible Interface Party </w:t>
      </w:r>
      <w:r>
        <w:t xml:space="preserve">at a PTID shall be not lower than the highest Offer Floor applicable to a Special Case Resource providing Installed Capacity at that PTID.  Such offers may comprise a set of points for which prices may vary with the quantity offered.  If this set includes </w:t>
      </w:r>
      <w:r>
        <w:t>megawatts from a Special Case Resource(s) with an Offer Floor, then at least the quantity of megawatts in the offer associated with each Special Case Resource must be offered at or above the Special Case Resource’s Offer Floor.  Offers by a Responsible Int</w:t>
      </w:r>
      <w:r>
        <w:t>erface Party shall be subject to audit to determine whether they conformed to the foregoing Offer Floor requirements.  If a Responsible Interface Party together with its Affiliated Entities submits one or more offers below the applicable Offer Floor, and s</w:t>
      </w:r>
      <w:r>
        <w:t xml:space="preserve">uch offer or offers cause or contribute to a decrease in UCAP prices in the Mitigated Capacity Zone of 5 percent or more, provided such decrease is at least $.50/kilowatt-month, the Responsible Interface Party shall be required to pay to the ISO an amount </w:t>
      </w:r>
      <w:r>
        <w:t>equal to 1.5 times the difference between the Market-Clearing Price for the Mitigated Capacity Zone in the ICAP Spot Auction for which the offers below the Offer Floor were submitted with and without such offers being set to the Offer Floor, times the tota</w:t>
      </w:r>
      <w:r>
        <w:t xml:space="preserve">l amount of UCAP sold by the Responsible Interface Party and its Affiliated Entities in such ICAP Spot Auction.  If an offer is submitted below the applicable Offer Floor, the ISO will notify the Responsible Market Party and the notification will identify </w:t>
      </w:r>
      <w:r>
        <w:t>the offer, the Special Case Resource, the price impact, and the penalty amount.  The ISO will provide the notice reasonably in advance of imposing such penalty.  The ISO shall distribute any amounts recovered in accordance with the foregoing provisions amo</w:t>
      </w:r>
      <w:r>
        <w:t>ng the entities, other than the entity subject to the foregoing payment requirement, supplying Installed Capacity in regions affected by one or more offers below an applicable Offer Floor in accordance with ISO Procedures.</w:t>
      </w:r>
    </w:p>
    <w:p w:rsidR="00791A4B" w:rsidRDefault="00F753F8">
      <w:pPr>
        <w:pStyle w:val="alphapara"/>
        <w:rPr>
          <w:bCs/>
        </w:rPr>
      </w:pPr>
      <w:bookmarkStart w:id="93" w:name="OLE_LINK1"/>
      <w:bookmarkStart w:id="94" w:name="OLE_LINK2"/>
      <w:r>
        <w:rPr>
          <w:b/>
        </w:rPr>
        <w:t>23.4.5.7.6</w:t>
      </w:r>
      <w:r>
        <w:rPr>
          <w:b/>
        </w:rPr>
        <w:tab/>
        <w:t>Exemptions for Additio</w:t>
      </w:r>
      <w:r>
        <w:rPr>
          <w:b/>
        </w:rPr>
        <w:t xml:space="preserve">nal CRIS MW:  </w:t>
      </w:r>
      <w:ins w:id="95" w:author="GK Thurs" w:date="2015-04-02T18:27:00Z">
        <w:r w:rsidRPr="00F0586F">
          <w:t xml:space="preserve">All </w:t>
        </w:r>
      </w:ins>
      <w:ins w:id="96" w:author="GK Thurs" w:date="2015-04-02T18:29:00Z">
        <w:r w:rsidRPr="00F0586F">
          <w:t>request</w:t>
        </w:r>
      </w:ins>
      <w:ins w:id="97" w:author="GK Thurs" w:date="2015-04-02T18:30:00Z">
        <w:r w:rsidRPr="00F0586F">
          <w:t>s</w:t>
        </w:r>
      </w:ins>
      <w:ins w:id="98" w:author="GK Thurs" w:date="2015-04-02T18:29:00Z">
        <w:r w:rsidRPr="00F0586F">
          <w:t xml:space="preserve"> for </w:t>
        </w:r>
      </w:ins>
      <w:ins w:id="99" w:author="GK Thurs" w:date="2015-04-02T18:27:00Z">
        <w:r w:rsidRPr="00F0586F">
          <w:t xml:space="preserve">Additional CRIS </w:t>
        </w:r>
      </w:ins>
      <w:ins w:id="100" w:author="GK Thurs" w:date="2015-04-02T18:29:00Z">
        <w:r w:rsidRPr="00F0586F">
          <w:t xml:space="preserve">MW </w:t>
        </w:r>
      </w:ins>
      <w:ins w:id="101" w:author="GK Thurs" w:date="2015-04-02T18:27:00Z">
        <w:r w:rsidRPr="00F0586F">
          <w:t>located in a Mitigated Capacity Zone</w:t>
        </w:r>
      </w:ins>
      <w:ins w:id="102" w:author="GK Thurs" w:date="2015-04-02T18:30:00Z">
        <w:r w:rsidRPr="00F0586F">
          <w:t>,</w:t>
        </w:r>
      </w:ins>
      <w:ins w:id="103" w:author="GK Thurs" w:date="2015-04-02T18:27:00Z">
        <w:r w:rsidRPr="00F0586F">
          <w:t xml:space="preserve"> </w:t>
        </w:r>
      </w:ins>
      <w:ins w:id="104" w:author="GK Thurs" w:date="2015-04-02T18:30:00Z">
        <w:r w:rsidRPr="00F0586F">
          <w:t xml:space="preserve">in a Class Year or through a transfer, </w:t>
        </w:r>
      </w:ins>
      <w:ins w:id="105" w:author="GK Thurs" w:date="2015-04-02T18:27:00Z">
        <w:r w:rsidRPr="00F0586F">
          <w:t xml:space="preserve">shall be evaluated for </w:t>
        </w:r>
      </w:ins>
      <w:ins w:id="106" w:author="GK Thurs" w:date="2015-04-02T18:30:00Z">
        <w:r w:rsidRPr="00F0586F">
          <w:t xml:space="preserve">a </w:t>
        </w:r>
      </w:ins>
      <w:ins w:id="107" w:author="GK Thurs" w:date="2015-04-02T18:27:00Z">
        <w:r w:rsidRPr="00F0586F">
          <w:t>buyer</w:t>
        </w:r>
      </w:ins>
      <w:ins w:id="108" w:author="GK Thurs" w:date="2015-04-02T18:30:00Z">
        <w:r w:rsidRPr="00F0586F">
          <w:t>-side mitigation exemption or Offer Floor</w:t>
        </w:r>
      </w:ins>
      <w:ins w:id="109" w:author="GK Thurs" w:date="2015-04-02T18:31:00Z">
        <w:r w:rsidRPr="00F0586F">
          <w:t xml:space="preserve"> i</w:t>
        </w:r>
      </w:ins>
      <w:ins w:id="110" w:author="GK Thurs" w:date="2015-04-02T18:27:00Z">
        <w:r w:rsidRPr="00F0586F">
          <w:t xml:space="preserve">n accordance with this </w:t>
        </w:r>
      </w:ins>
      <w:ins w:id="111" w:author="GK Thurs" w:date="2015-04-02T18:31:00Z">
        <w:r w:rsidRPr="00F0586F">
          <w:t>S</w:t>
        </w:r>
      </w:ins>
      <w:ins w:id="112" w:author="GK Thurs" w:date="2015-04-02T18:27:00Z">
        <w:r w:rsidRPr="00F0586F">
          <w:t>ection</w:t>
        </w:r>
      </w:ins>
      <w:ins w:id="113" w:author="GK Thurs" w:date="2015-04-02T18:31:00Z">
        <w:r>
          <w:t>.</w:t>
        </w:r>
      </w:ins>
      <w:ins w:id="114" w:author="GK Thurs" w:date="2015-04-02T18:27:00Z">
        <w:r>
          <w:rPr>
            <w:bCs/>
          </w:rPr>
          <w:t xml:space="preserve"> </w:t>
        </w:r>
      </w:ins>
      <w:ins w:id="115" w:author="GK Thurs" w:date="2015-04-02T18:31:00Z">
        <w:r>
          <w:rPr>
            <w:bCs/>
          </w:rPr>
          <w:t xml:space="preserve"> </w:t>
        </w:r>
      </w:ins>
      <w:r>
        <w:rPr>
          <w:bCs/>
        </w:rPr>
        <w:t>Additional CRIS MW obta</w:t>
      </w:r>
      <w:r>
        <w:rPr>
          <w:bCs/>
        </w:rPr>
        <w:t>ined in a Class Year or obtained through a transfer at the same location shall be exempt from an Offer Floor (a) if the price that is equal to (x) the average of the ICAP Spot Market Auction price for each month in the two Capability Periods, beginning wit</w:t>
      </w:r>
      <w:r>
        <w:rPr>
          <w:bCs/>
        </w:rPr>
        <w:t>h the Summer Capability Period commencing three years from the start of the Class Year (the “Starting Capability Period”) is projected by the ISO, with the inclusion of the Additional CRIS MW, to be higher than (y) the highest Offer Floor based on the Miti</w:t>
      </w:r>
      <w:r>
        <w:rPr>
          <w:bCs/>
        </w:rPr>
        <w:t>gation Net CONE that would be applicable to such Additional CRIS MW in the same two (2) Capability Periods (utilized to compute (x)); or (b) if the price that is equal to the average of the ICAP Spot Market Auction prices in the six Capability Periods begi</w:t>
      </w:r>
      <w:r>
        <w:rPr>
          <w:bCs/>
        </w:rPr>
        <w:t>nning with the Starting Capability Period is projected by the ISO, with the inclusion of the Installed Capacity Supplier’s Additional CRIS MW, to be higher than the reasonably anticipated Unit Net CONE computed in accordance with (i) and (ii) of Section 23</w:t>
      </w:r>
      <w:r>
        <w:rPr>
          <w:bCs/>
        </w:rPr>
        <w:t>.4.5.7.6.1 for the Installed Capacity Supplier’s Additional CRIS MW.</w:t>
      </w:r>
    </w:p>
    <w:p w:rsidR="00791A4B" w:rsidRDefault="00F753F8">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791A4B" w:rsidRDefault="00F753F8">
      <w:pPr>
        <w:pStyle w:val="alphapara"/>
        <w:rPr>
          <w:bCs/>
        </w:rPr>
      </w:pPr>
      <w:r>
        <w:rPr>
          <w:bCs/>
        </w:rPr>
        <w:tab/>
        <w:t>(i) Unit Net C</w:t>
      </w:r>
      <w:r>
        <w:rPr>
          <w:bCs/>
        </w:rPr>
        <w:t>ONE for the Additional CRIS MW shall be based on the Additional CRIS MW and the costs and revenues of and associated with the Additional CRIS MW if:</w:t>
      </w:r>
    </w:p>
    <w:p w:rsidR="00791A4B" w:rsidRDefault="00F753F8">
      <w:pPr>
        <w:pStyle w:val="alphapara"/>
        <w:rPr>
          <w:bCs/>
        </w:rPr>
      </w:pPr>
      <w:r>
        <w:rPr>
          <w:bCs/>
        </w:rPr>
        <w:tab/>
      </w:r>
      <w:r>
        <w:rPr>
          <w:bCs/>
        </w:rPr>
        <w:tab/>
        <w:t>(a) the most recent prior determination concluded that the Capacity for which the Examined Facility accep</w:t>
      </w:r>
      <w:r>
        <w:rPr>
          <w:bCs/>
        </w:rPr>
        <w:t>ted CRIS was exempt from the Offer Floor pursuant to Section 23.4.5.7.2(b), 23.4.5.7.6(b), 23.4.5.7.7, or 23.4.5.7.8; or</w:t>
      </w:r>
    </w:p>
    <w:p w:rsidR="00791A4B" w:rsidRDefault="00F753F8">
      <w:pPr>
        <w:pStyle w:val="alphapara"/>
        <w:rPr>
          <w:bCs/>
        </w:rPr>
      </w:pPr>
      <w:r>
        <w:rPr>
          <w:bCs/>
        </w:rPr>
        <w:tab/>
      </w:r>
      <w:r>
        <w:rPr>
          <w:bCs/>
        </w:rPr>
        <w:tab/>
        <w:t>(b) at the time of an Examined Facility’s request for Additional CRIS MW: (1) it has accepted CRIS MW equal to, or greater than, 95 p</w:t>
      </w:r>
      <w:r>
        <w:rPr>
          <w:bCs/>
        </w:rPr>
        <w:t>ercent of the Examined Facility’s maximum MW of electrical capability, net of auxiliary load, at an ambient temperature of 93° F as determined in accordance with ISO Procedures and (2) the amount of Cleared UCAP is greater than or equal to the amount of UC</w:t>
      </w:r>
      <w:r>
        <w:rPr>
          <w:bCs/>
        </w:rPr>
        <w:t xml:space="preserve">AP calculated pursuant to Section 23.4.5.7.6.3; or </w:t>
      </w:r>
    </w:p>
    <w:p w:rsidR="00791A4B" w:rsidRDefault="00F753F8">
      <w:pPr>
        <w:pStyle w:val="alphapara"/>
        <w:rPr>
          <w:bCs/>
        </w:rPr>
      </w:pPr>
      <w:r>
        <w:rPr>
          <w:bCs/>
        </w:rPr>
        <w:tab/>
      </w:r>
      <w:r>
        <w:rPr>
          <w:bCs/>
        </w:rPr>
        <w:tab/>
        <w:t>(c) the Examined Facility’s Total Evaluated CRIS MW includes exempted CRIS MW for which the Examined Facility did not receive a Unit Net CONE determination and thus did not provide data to the ISO becau</w:t>
      </w:r>
      <w:r>
        <w:rPr>
          <w:bCs/>
        </w:rPr>
        <w:t>se the determination for the exempt CRIS MW received was not based on Unit Net CONE and was made prior to November 27, 2010.</w:t>
      </w:r>
    </w:p>
    <w:p w:rsidR="00791A4B" w:rsidRDefault="00F753F8">
      <w:pPr>
        <w:pStyle w:val="alphapara"/>
        <w:rPr>
          <w:b/>
          <w:bCs/>
        </w:rPr>
      </w:pPr>
      <w:r>
        <w:rPr>
          <w:bCs/>
        </w:rPr>
        <w:tab/>
        <w:t>(ii) or in all other cases, Unit Net CONE, shall be the greater of two values, one based on the Total Evaluated CRIS MW, and the c</w:t>
      </w:r>
      <w:r>
        <w:rPr>
          <w:bCs/>
        </w:rPr>
        <w:t xml:space="preserve">osts and revenues of the Total Evaluated CRIS MW, and one based on the Additional CRIS MW, and the costs and revenues of the Additional CRIS MW.  </w:t>
      </w:r>
      <w:r>
        <w:rPr>
          <w:b/>
          <w:bCs/>
          <w:i/>
        </w:rPr>
        <w:t xml:space="preserve"> </w:t>
      </w:r>
    </w:p>
    <w:p w:rsidR="00791A4B" w:rsidRDefault="00F753F8">
      <w:pPr>
        <w:pStyle w:val="alphapara"/>
        <w:rPr>
          <w:bCs/>
        </w:rPr>
      </w:pPr>
      <w:r>
        <w:rPr>
          <w:bCs/>
        </w:rPr>
        <w:t>23.4.5.7.6.2</w:t>
      </w:r>
      <w:r>
        <w:rPr>
          <w:bCs/>
        </w:rPr>
        <w:tab/>
        <w:t>When calculating the Unit Net CONE of the Total Evaluated CRIS MW for an Examined Facility, the</w:t>
      </w:r>
      <w:r>
        <w:rPr>
          <w:bCs/>
        </w:rPr>
        <w:t xml:space="preserve"> ISO shall utilize the Examined Facility’s first year Unit Net CONE determined pursuant to Section 23.4.5.7 and Sections 23.4.5.7.2.4 or 23.4.5.7.3.2, adjusted to the year’s dollars at the time of an Examined Facility’s request for Additional CRIS MW using</w:t>
      </w:r>
      <w:r>
        <w:rPr>
          <w:bCs/>
        </w:rPr>
        <w:t>: (i) the relevant value from the price index for non-farm business output published in the Survey of Current Business by the Department of Commerce’s Bureau of Economic Analysis (“BEA Non-Farm Price Index”), or its successor; or (ii) the inflation rate co</w:t>
      </w:r>
      <w:r>
        <w:rPr>
          <w:bCs/>
        </w:rPr>
        <w:t xml:space="preserve">mponent of the escalation factor of the most currently accepted ICAP Demand Curves for any future year which is beyond the published BEA Non-Farm Price Index, or its successor.  </w:t>
      </w:r>
    </w:p>
    <w:p w:rsidR="00791A4B" w:rsidRDefault="00F753F8">
      <w:pPr>
        <w:pStyle w:val="alphapara"/>
        <w:rPr>
          <w:bCs/>
        </w:rPr>
      </w:pPr>
      <w:r>
        <w:rPr>
          <w:bCs/>
        </w:rPr>
        <w:t>23.4.5.7.6.3</w:t>
      </w:r>
      <w:r>
        <w:rPr>
          <w:bCs/>
        </w:rPr>
        <w:tab/>
        <w:t>For purposes of making the determination pursuant to Section 23.</w:t>
      </w:r>
      <w:r>
        <w:rPr>
          <w:bCs/>
        </w:rPr>
        <w:t xml:space="preserve">4.5.7.6.1(i)(b)(2), the amount of Cleared UCAP shall be compared to an amount of UCAP calculated as the product of the CRIS MW held by the Examined Facility immediately prior to its request for Additional CRIS MW and (1-EFORd).  Except as specified in the </w:t>
      </w:r>
      <w:r>
        <w:rPr>
          <w:bCs/>
        </w:rPr>
        <w:t>next paragraph, for purposes of this calculation, if the Examined Facility is a Generator, its EFORd shall be derived using the data in the 5-year average NERC-GADS Generating Availability Report, or its successor, for the main class of the unit (hereinaft</w:t>
      </w:r>
      <w:r>
        <w:rPr>
          <w:bCs/>
        </w:rPr>
        <w:t>er the “Class Average EFORd”) that is current at the time of the request for Additional CRIS MW, when available.  If the Examined Facility is an Intermittent Power Resource or Limited Control Run-of-River Hydro Resource, the ISO shall apply a 5-year averag</w:t>
      </w:r>
      <w:r>
        <w:rPr>
          <w:bCs/>
        </w:rPr>
        <w:t>e derating factor based on ISO data to establish the EFORd to be utilized in the calculation pursuant to this paragraph.  In all other cases, the ISO will apply the 5-year average derating factor from the ICAP/UCAP translation, for the smallest Mitigated C</w:t>
      </w:r>
      <w:r>
        <w:rPr>
          <w:bCs/>
        </w:rPr>
        <w:t xml:space="preserve">apacity Zone in which the resource is located at the time of the request.  The EFORd applied by the ISO at the time that the Examined Facility first offers or certifies UCAP in an Installed Capacity auction (“Initial Entry EFORd”) shall be used instead of </w:t>
      </w:r>
      <w:r>
        <w:rPr>
          <w:bCs/>
        </w:rPr>
        <w:t>Class Average EFORd when it is higher (</w:t>
      </w:r>
      <w:r>
        <w:rPr>
          <w:bCs/>
          <w:i/>
        </w:rPr>
        <w:t>i.e.,</w:t>
      </w:r>
      <w:r>
        <w:rPr>
          <w:bCs/>
        </w:rPr>
        <w:t xml:space="preserve"> a greater outage rate) than the Class Average EFORd calculated at the time of the Examined Facility’s request for Additional CRIS MW.  </w:t>
      </w:r>
    </w:p>
    <w:p w:rsidR="00791A4B" w:rsidRDefault="00F753F8">
      <w:pPr>
        <w:pStyle w:val="alphapara"/>
        <w:rPr>
          <w:b/>
        </w:rPr>
      </w:pPr>
      <w:r>
        <w:t>23.4.5.7.6.4</w:t>
      </w:r>
      <w:r>
        <w:tab/>
      </w:r>
      <w:r>
        <w:t xml:space="preserve">Additional CRIS MW shall be subject to the Mitigation Net CONE Offer Floor for the period specified in Section 23.4.5.7, for any Examined Facility whose </w:t>
      </w:r>
      <w:r>
        <w:rPr>
          <w:bCs/>
        </w:rPr>
        <w:t>Total</w:t>
      </w:r>
      <w:r>
        <w:t xml:space="preserve"> Evaluated CRIS MW includes CRIS MW that are or have ever been subject to the Mitigation Net CONE </w:t>
      </w:r>
      <w:r>
        <w:t xml:space="preserve">Offer Floor, pursuant to Section 23.4.5.7.3.4.  </w:t>
      </w:r>
    </w:p>
    <w:p w:rsidR="00791A4B" w:rsidRDefault="00F753F8">
      <w:pPr>
        <w:pStyle w:val="alphapara"/>
        <w:rPr>
          <w:bCs/>
        </w:rPr>
      </w:pPr>
      <w:r>
        <w:t>23.4.5.7.6.5</w:t>
      </w:r>
      <w:r>
        <w:tab/>
      </w:r>
      <w:r>
        <w:rPr>
          <w:bCs/>
        </w:rPr>
        <w:t xml:space="preserve">The Offer Floor for Additional CRIS MW shall be equal to the lesser of: (a) the Unit Net CONE for the Additional CRIS MW; or (b) a numerical value equal to 75 percent of the Mitigation Net CONE </w:t>
      </w:r>
      <w:r>
        <w:rPr>
          <w:bCs/>
        </w:rPr>
        <w:t xml:space="preserve">translated into a seasonally adjusted monthly UCAP value for the Additional CRIS MW.  </w:t>
      </w:r>
    </w:p>
    <w:p w:rsidR="00791A4B" w:rsidRDefault="00F753F8">
      <w:pPr>
        <w:pStyle w:val="alphapara"/>
        <w:rPr>
          <w:bCs/>
        </w:rPr>
      </w:pPr>
      <w:r>
        <w:rPr>
          <w:bCs/>
        </w:rPr>
        <w:t>23.4.5.7.6.6</w:t>
      </w:r>
      <w:r>
        <w:rPr>
          <w:bCs/>
        </w:rPr>
        <w:tab/>
        <w:t>The results of this exemption determination shall apply only to the Additional CRIS MW and shall not alter or affect any prior exemption or Offer Floor dete</w:t>
      </w:r>
      <w:r>
        <w:rPr>
          <w:bCs/>
        </w:rPr>
        <w:t>rmination for the Examined Facility.  The Additional CRIS MW for which CRIS is received shall be bound by the determination rendered and will not be reevaluated unless the Examined Facility enters a new Class Year for the Additional CRIS MW.</w:t>
      </w:r>
    </w:p>
    <w:p w:rsidR="00791A4B" w:rsidRDefault="00F753F8">
      <w:pPr>
        <w:pStyle w:val="alphapara"/>
        <w:rPr>
          <w:bCs/>
        </w:rPr>
      </w:pPr>
      <w:r>
        <w:rPr>
          <w:bCs/>
        </w:rPr>
        <w:t>23.4.5.7.6.7</w:t>
      </w:r>
      <w:r>
        <w:rPr>
          <w:bCs/>
        </w:rPr>
        <w:tab/>
        <w:t>W</w:t>
      </w:r>
      <w:r>
        <w:rPr>
          <w:bCs/>
        </w:rPr>
        <w:t xml:space="preserve">hen the ISO makes a mitigation exemption or Offer Floor determination for an Examined Facility’s Additional CRIS MW for an Installed Capacity Supplier other than that to which the Unit Net CONE determination for the Examined Facility was rendered, the ISO </w:t>
      </w:r>
      <w:r>
        <w:rPr>
          <w:bCs/>
        </w:rPr>
        <w:t>shall provide such Installed Capacity Supplier with the Examined Facility’s first year Unit Net CONE value if the Installed Capacity Supplier (a) requests that information, and (b) represents that it: (i) will use that information solely for purposes of co</w:t>
      </w:r>
      <w:r>
        <w:rPr>
          <w:bCs/>
        </w:rPr>
        <w:t xml:space="preserve">nsidering a request for Additional CRIS MW for the Examined Facility, and (ii) will not share that information with or make it available to any other person except those that are assisting it in considering a request for Additional CRIS MW.  </w:t>
      </w:r>
    </w:p>
    <w:p w:rsidR="00791A4B" w:rsidRDefault="00F753F8">
      <w:pPr>
        <w:pStyle w:val="alphapara"/>
      </w:pPr>
      <w:r>
        <w:rPr>
          <w:bCs/>
        </w:rPr>
        <w:t xml:space="preserve">23.4.5.7.6.8 </w:t>
      </w:r>
      <w:r>
        <w:rPr>
          <w:bCs/>
        </w:rPr>
        <w:tab/>
      </w:r>
      <w:r>
        <w:t>The ISO shall post on its website the determination of whether the project is exempt or non-exempt from an Offer Floor as soon as the determination is final.  Concurrent with the ISO’s posting, the Market Monitoring Unit shall publish a report on the ISO’</w:t>
      </w:r>
      <w:r>
        <w:t xml:space="preserve">s determination, as further specified in Sections 30.4.6.2.11 and 30.10.4 of Attachment O to this Services Tariff. </w:t>
      </w:r>
    </w:p>
    <w:p w:rsidR="00791A4B" w:rsidRDefault="00F753F8">
      <w:pPr>
        <w:pStyle w:val="alphapara"/>
        <w:rPr>
          <w:bCs/>
        </w:rPr>
      </w:pPr>
      <w:r>
        <w:t>23.4.5.7.7</w:t>
      </w:r>
      <w:r>
        <w:rPr>
          <w:bCs/>
        </w:rPr>
        <w:tab/>
        <w:t>(a) An In-</w:t>
      </w:r>
      <w:r>
        <w:t>City</w:t>
      </w:r>
      <w:r>
        <w:rPr>
          <w:bCs/>
        </w:rPr>
        <w:t xml:space="preserve"> Installed Capacity Supplier that is not a Special Case Resource shall be exempt from an Offer Floor if it was an e</w:t>
      </w:r>
      <w:r>
        <w:rPr>
          <w:bCs/>
        </w:rPr>
        <w:t>xisting facility on or before March 7, 2008.  (b) A Generator or UDR project that was an existing facility on or before June 29, 2012, which: (i) is in a Mitigated Capacity Zone except New York City, and (ii) was grandfathered from the deliverability requi</w:t>
      </w:r>
      <w:r>
        <w:rPr>
          <w:bCs/>
        </w:rPr>
        <w:t xml:space="preserve">rement at a certain quantity of MW of CRIS pursuant to </w:t>
      </w:r>
      <w:r>
        <w:t>Section 25.9.3.1 of OATT Attachment S (“Deliverability Grandfathering Process”) shall be exempt from an Offer Floor for the MW quantity of CRIS that was provided through the Deliverability Grandfatheri</w:t>
      </w:r>
      <w:r>
        <w:t xml:space="preserve">ng Process plus an additional 2 MW obtained through Section 30.3.2.6 of Attachment X to the OATT.  </w:t>
      </w:r>
      <w:bookmarkStart w:id="116" w:name="OLE_LINK3"/>
      <w:r>
        <w:t>If the Generator or UDR project subsequently received CRIS above the quantity established through the Deliverability Grandfathering Process, this exemption s</w:t>
      </w:r>
      <w:r>
        <w:t xml:space="preserve">hall not apply to any such increase above the 2 MW allowed in Section 30.3.2.6 of Attachment X to the OATT.  </w:t>
      </w:r>
      <w:bookmarkEnd w:id="116"/>
    </w:p>
    <w:bookmarkEnd w:id="93"/>
    <w:bookmarkEnd w:id="94"/>
    <w:p w:rsidR="00791A4B" w:rsidRDefault="00F753F8">
      <w:pPr>
        <w:pStyle w:val="alphapara"/>
      </w:pPr>
      <w:r>
        <w:t>23.4.5.7.8</w:t>
      </w:r>
      <w:r>
        <w:tab/>
        <w:t>For any Mitigated Capacity Zone except New York City:</w:t>
      </w:r>
    </w:p>
    <w:p w:rsidR="00791A4B" w:rsidRDefault="00F753F8">
      <w:pPr>
        <w:pStyle w:val="alphapara"/>
      </w:pPr>
      <w:r>
        <w:tab/>
      </w:r>
      <w:r>
        <w:tab/>
        <w:t>(I) Any existing or proposed Generator or UDR project that has the characterist</w:t>
      </w:r>
      <w:r>
        <w:t>ics specified in this Section 23.4.5.7.8(I) shall be exempt from an Offer Floor with respect to the MW of CRIS that it received at the time, or for which it satisfied the specific CRIS transfer requirements stated in this Section.  To be eligible for an ex</w:t>
      </w:r>
      <w:r>
        <w:t xml:space="preserve">emption under this Section: (a) the existing or proposed Generator or UDR project’s location must be included in the ISO’s March 31 Filing in the ICAP Demand Curve Reset Filing Year in which a Mitigated Capacity Zone is first applied to such location; (b) </w:t>
      </w:r>
      <w:r>
        <w:t>prior to that March 31 Filing the existing or proposed Generator or UDR project must have both: (i) Commenced Construction and (ii) either (1) received the MW of CRIS in a Class Year that was completed or (2) submitted to the ISO  an Interconnection Reques</w:t>
      </w:r>
      <w:r>
        <w:t>t that specifically states that the Generator or UDR project will be requesting or has requested a transfer of a specific MW quantity of CRIS at the same location in accordance with Section 25.9.4 of OATT Attachment S (provided that the transfer is ultimat</w:t>
      </w:r>
      <w:r>
        <w:t>ely approved by the ISO and consummated); and (c) the existing or proposed Generator or UDR project must demonstrate to the ISO no later than the deadline established by the ISO that it satisfies the requirements of (b) (i) and (ii) above; and</w:t>
      </w:r>
    </w:p>
    <w:p w:rsidR="00791A4B" w:rsidRDefault="00F753F8">
      <w:pPr>
        <w:pStyle w:val="alphapara"/>
      </w:pPr>
      <w:r>
        <w:tab/>
      </w:r>
      <w:r>
        <w:tab/>
        <w:t>(II) An ex</w:t>
      </w:r>
      <w:r>
        <w:t>isting or proposed Generator or UDR project that is not subject to a deliverability requirement (and therefore, is not in a Class Year and does not receive CRIS MW) shall be exempt from an Offer Floor if it meets the following requirements prior to the ISO</w:t>
      </w:r>
      <w:r>
        <w:t>’s March 31 Filing in an ICAP Demand Curve Reset Filing Year in which a Mitigated Capacity Zone is first applied to such location: (a) has Commenced Construction, (b) has an effective interconnection agreement , and (c) provides specific written notificati</w:t>
      </w:r>
      <w:r>
        <w:t>on to the ISO that it meets requirements (a) and (b) of this subsection 23.4.5.7.8(II) no later than the deadline established by the ISO.</w:t>
      </w:r>
      <w:r>
        <w:tab/>
      </w:r>
    </w:p>
    <w:p w:rsidR="00791A4B" w:rsidRDefault="00F753F8">
      <w:pPr>
        <w:pStyle w:val="alphapara"/>
      </w:pPr>
      <w:r>
        <w:tab/>
      </w:r>
      <w:r>
        <w:tab/>
        <w:t>The ISO shall consult with the Market Monitoring Unit prior to determining whether an existing or proposed Generato</w:t>
      </w:r>
      <w:r>
        <w:t>r or UDR project has Commenced Construction.  Prior to the ISO making its determination, the Market Monitoring Unit shall provide the ISO a written opinion and recommendation regarding whether an existing or proposed Generator or UDR project Commenced Cons</w:t>
      </w:r>
      <w:r>
        <w:t xml:space="preserve">truction.  The responsibilities of the Market Monitoring Unit that are addressed in this section of the Mitigation Measures are also addressed in Section 30.4.6.2.11 of Attachment O.  The ISO shall only make a determination pursuant to this Section for an </w:t>
      </w:r>
      <w:r>
        <w:t>existing or proposed Generator or UDR project for the Mitigated Capacity Zone’s first application to the location of the project.  The Market Monitoring Unit shall also provide a public report on its assessment of an ISO determination that an existing or p</w:t>
      </w:r>
      <w:r>
        <w:t xml:space="preserve">roposed Generator or UDR project is exempt from an Offer Floor pursuant to this Section 23.4.5.7.8. </w:t>
      </w:r>
    </w:p>
    <w:p w:rsidR="00791A4B" w:rsidRDefault="00F753F8">
      <w:pPr>
        <w:pStyle w:val="Heading4"/>
        <w:rPr>
          <w:ins w:id="117" w:author="zimberlin" w:date="2015-03-20T16:38:00Z"/>
        </w:rPr>
      </w:pPr>
      <w:r>
        <w:t>23.4.5.7.9</w:t>
      </w:r>
      <w:r>
        <w:tab/>
      </w:r>
      <w:ins w:id="118" w:author="zimberlin" w:date="2015-03-20T16:38:00Z">
        <w:r>
          <w:t>Competitive Entry Exemption</w:t>
        </w:r>
      </w:ins>
    </w:p>
    <w:p w:rsidR="00791A4B" w:rsidRDefault="00F753F8">
      <w:pPr>
        <w:pStyle w:val="Heading4"/>
        <w:rPr>
          <w:ins w:id="119" w:author="zimberlin" w:date="2015-03-20T16:38:00Z"/>
        </w:rPr>
      </w:pPr>
      <w:ins w:id="120" w:author="zimberlin" w:date="2015-03-20T16:38:00Z">
        <w:r>
          <w:t>23.4.5.7.</w:t>
        </w:r>
      </w:ins>
      <w:ins w:id="121" w:author="zimberlin" w:date="2015-03-20T16:40:00Z">
        <w:r>
          <w:t>9</w:t>
        </w:r>
      </w:ins>
      <w:ins w:id="122" w:author="zimberlin" w:date="2015-03-20T16:38:00Z">
        <w:r>
          <w:t>.1</w:t>
        </w:r>
        <w:r>
          <w:tab/>
          <w:t>Eligibility</w:t>
        </w:r>
      </w:ins>
    </w:p>
    <w:p w:rsidR="00791A4B" w:rsidRDefault="00F753F8">
      <w:pPr>
        <w:pStyle w:val="alphapara"/>
        <w:rPr>
          <w:ins w:id="123" w:author="zimberlin" w:date="2015-03-20T16:38:00Z"/>
        </w:rPr>
      </w:pPr>
      <w:ins w:id="124" w:author="zimberlin" w:date="2015-03-20T16:38:00Z">
        <w:r>
          <w:t>23.4.5.7.</w:t>
        </w:r>
      </w:ins>
      <w:ins w:id="125" w:author="zimberlin" w:date="2015-03-20T16:40:00Z">
        <w:r>
          <w:t>9</w:t>
        </w:r>
      </w:ins>
      <w:ins w:id="126" w:author="zimberlin" w:date="2015-03-20T16:38:00Z">
        <w:r>
          <w:t xml:space="preserve">.1.1  A proposed new Generator or UDR project that </w:t>
        </w:r>
      </w:ins>
      <w:ins w:id="127" w:author="kavanah" w:date="2015-04-01T11:10:00Z">
        <w:r>
          <w:t>becomes</w:t>
        </w:r>
      </w:ins>
      <w:ins w:id="128" w:author="zimberlin" w:date="2015-03-20T16:38:00Z">
        <w:r>
          <w:t xml:space="preserve"> a member of a Class Ye</w:t>
        </w:r>
        <w:r>
          <w:t>ar after Class Year 2012 may request to be evaluated for a “Competitive Entry Exemption” for its CRIS MW and shall qualify for such exemption if the ISO determines that the proposed Generator or UDR project</w:t>
        </w:r>
      </w:ins>
      <w:ins w:id="129" w:author="GK 4-7-2105" w:date="2015-04-08T14:01:00Z">
        <w:r>
          <w:t xml:space="preserve"> meets each of the following</w:t>
        </w:r>
      </w:ins>
      <w:ins w:id="130" w:author="GK 4-7-2105" w:date="2015-04-08T14:02:00Z">
        <w:r>
          <w:t xml:space="preserve"> requir</w:t>
        </w:r>
      </w:ins>
      <w:ins w:id="131" w:author="GK 4-7-2105" w:date="2015-04-08T16:44:00Z">
        <w:r>
          <w:t>e</w:t>
        </w:r>
      </w:ins>
      <w:ins w:id="132" w:author="GK 4-7-2105" w:date="2015-04-08T14:02:00Z">
        <w:r>
          <w:t>ments</w:t>
        </w:r>
      </w:ins>
      <w:ins w:id="133" w:author="zimberlin" w:date="2015-03-20T16:38:00Z">
        <w:r>
          <w:t>: (a) doe</w:t>
        </w:r>
        <w:r>
          <w:t xml:space="preserve">s not have, and at no time before the Generator first produces or the UDR project first transmits energy (for purposes of this </w:t>
        </w:r>
        <w:r w:rsidRPr="00F0586F">
          <w:t>Section 23.4.5.7.</w:t>
        </w:r>
      </w:ins>
      <w:ins w:id="134" w:author="zimberlin" w:date="2015-03-20T16:40:00Z">
        <w:r w:rsidRPr="00F0586F">
          <w:t>9</w:t>
        </w:r>
      </w:ins>
      <w:ins w:id="135" w:author="zimberlin" w:date="2015-03-20T16:38:00Z">
        <w:r w:rsidRPr="00F0586F">
          <w:t>, the</w:t>
        </w:r>
        <w:r>
          <w:t xml:space="preserve"> “Entry Date”) shall have, </w:t>
        </w:r>
      </w:ins>
      <w:ins w:id="136" w:author="kavanah" w:date="2015-04-01T11:12:00Z">
        <w:r>
          <w:t xml:space="preserve">(i) </w:t>
        </w:r>
      </w:ins>
      <w:ins w:id="137" w:author="zimberlin" w:date="2015-03-20T16:38:00Z">
        <w:r>
          <w:t xml:space="preserve">a direct or indirect “non-qualifying contractual relationship,” as defined </w:t>
        </w:r>
        <w:r>
          <w:t xml:space="preserve">in </w:t>
        </w:r>
        <w:r w:rsidRPr="00F0586F">
          <w:t>Section 23.4.5.7.</w:t>
        </w:r>
      </w:ins>
      <w:ins w:id="138" w:author="zimberlin" w:date="2015-03-20T16:40:00Z">
        <w:r w:rsidRPr="00F0586F">
          <w:t>9</w:t>
        </w:r>
      </w:ins>
      <w:ins w:id="139" w:author="zimberlin" w:date="2015-03-20T16:38:00Z">
        <w:r w:rsidRPr="00F0586F">
          <w:t>.1.2,</w:t>
        </w:r>
        <w:r>
          <w:t xml:space="preserve"> with a Transmission Owner, a Public Power Entity, or any other entity with a Transmission District in the NYCA or an agency or instrumentality of New York State or a political subdivision thereof, (collectively “Non-Qualifying En</w:t>
        </w:r>
        <w:r>
          <w:t xml:space="preserve">try Sponsors”); </w:t>
        </w:r>
      </w:ins>
      <w:ins w:id="140" w:author="kavanah" w:date="2015-04-01T11:12:00Z">
        <w:r>
          <w:t xml:space="preserve">or (ii) </w:t>
        </w:r>
      </w:ins>
      <w:ins w:id="141" w:author="GK 4-7-2105" w:date="2015-04-08T14:03:00Z">
        <w:r>
          <w:t xml:space="preserve">an </w:t>
        </w:r>
      </w:ins>
      <w:ins w:id="142" w:author="kavanah" w:date="2015-04-01T11:11:00Z">
        <w:r>
          <w:t xml:space="preserve">unexecuted agreement, written or unwritten, with a Non-Qualifying Entry Sponsor that would support the development of </w:t>
        </w:r>
        <w:r>
          <w:t xml:space="preserve">the </w:t>
        </w:r>
      </w:ins>
      <w:ins w:id="143" w:author="NJ&amp;NC" w:date="2015-04-09T07:53:00Z">
        <w:r w:rsidR="00C42165" w:rsidRPr="00C42165">
          <w:rPr>
            <w:rPrChange w:id="144" w:author="kavanah" w:date="2015-04-09T15:55:00Z">
              <w:rPr>
                <w:highlight w:val="cyan"/>
              </w:rPr>
            </w:rPrChange>
          </w:rPr>
          <w:t>p</w:t>
        </w:r>
      </w:ins>
      <w:ins w:id="145" w:author="kavanah" w:date="2015-04-01T11:11:00Z">
        <w:r w:rsidR="00C42165" w:rsidRPr="00C42165">
          <w:rPr>
            <w:rPrChange w:id="146" w:author="kavanah" w:date="2015-04-09T15:55:00Z">
              <w:rPr>
                <w:highlight w:val="cyan"/>
              </w:rPr>
            </w:rPrChange>
          </w:rPr>
          <w:t>roject</w:t>
        </w:r>
        <w:r>
          <w:t>, except those agreements that would not constitute a “non-qualifying contractual relationship</w:t>
        </w:r>
      </w:ins>
      <w:ins w:id="147" w:author="kavanah" w:date="2015-04-01T11:14:00Z">
        <w:r>
          <w:t>,</w:t>
        </w:r>
      </w:ins>
      <w:ins w:id="148" w:author="kavanah" w:date="2015-04-01T11:11:00Z">
        <w:r>
          <w:t>”</w:t>
        </w:r>
      </w:ins>
      <w:ins w:id="149" w:author="kavanah" w:date="2015-04-01T11:14:00Z">
        <w:r>
          <w:t xml:space="preserve"> </w:t>
        </w:r>
      </w:ins>
      <w:ins w:id="150" w:author="kavanah" w:date="2015-04-01T11:15:00Z">
        <w:r>
          <w:t xml:space="preserve">as </w:t>
        </w:r>
      </w:ins>
      <w:ins w:id="151" w:author="GK 4-7-2105" w:date="2015-04-07T19:25:00Z">
        <w:r>
          <w:t>set forth</w:t>
        </w:r>
      </w:ins>
      <w:ins w:id="152" w:author="kavanah" w:date="2015-04-01T11:15:00Z">
        <w:r>
          <w:t xml:space="preserve"> in Section </w:t>
        </w:r>
        <w:r w:rsidRPr="00F0586F">
          <w:t>23.4.5.7.9.1.</w:t>
        </w:r>
      </w:ins>
      <w:ins w:id="153" w:author="GK 4-7-2105" w:date="2015-04-07T19:24:00Z">
        <w:r w:rsidRPr="00F0586F">
          <w:t>3</w:t>
        </w:r>
      </w:ins>
      <w:ins w:id="154" w:author="GK 4-7-2105" w:date="2015-04-07T19:25:00Z">
        <w:r w:rsidRPr="00F0586F">
          <w:t>(</w:t>
        </w:r>
        <w:r>
          <w:t>i) – (viii)</w:t>
        </w:r>
      </w:ins>
      <w:ins w:id="155" w:author="kavanah" w:date="2015-04-01T11:15:00Z">
        <w:r>
          <w:t>,</w:t>
        </w:r>
      </w:ins>
      <w:ins w:id="156" w:author="kavanah" w:date="2015-04-01T11:11:00Z">
        <w:r>
          <w:t xml:space="preserve"> </w:t>
        </w:r>
      </w:ins>
      <w:ins w:id="157" w:author="zimberlin" w:date="2015-03-20T16:38:00Z">
        <w:r>
          <w:t>(b) is not itself, and is not an Affiliate of, a Non-Qualifying Ent</w:t>
        </w:r>
      </w:ins>
      <w:ins w:id="158" w:author="NJ&amp;NC" w:date="2015-03-24T15:39:00Z">
        <w:r>
          <w:t>r</w:t>
        </w:r>
      </w:ins>
      <w:ins w:id="159" w:author="zimberlin" w:date="2015-03-20T16:38:00Z">
        <w:r>
          <w:t>y Sponsor.</w:t>
        </w:r>
      </w:ins>
    </w:p>
    <w:p w:rsidR="00791A4B" w:rsidRDefault="00F753F8">
      <w:pPr>
        <w:pStyle w:val="alphapara"/>
        <w:rPr>
          <w:ins w:id="160" w:author="zimberlin" w:date="2015-03-20T16:38:00Z"/>
        </w:rPr>
      </w:pPr>
      <w:ins w:id="161" w:author="zimberlin" w:date="2015-03-20T16:38:00Z">
        <w:r>
          <w:t>23.4.5.7.</w:t>
        </w:r>
      </w:ins>
      <w:ins w:id="162" w:author="zimberlin" w:date="2015-03-20T16:40:00Z">
        <w:r>
          <w:t>9</w:t>
        </w:r>
      </w:ins>
      <w:ins w:id="163" w:author="zimberlin" w:date="2015-03-20T16:38:00Z">
        <w:r>
          <w:t>.1.2  For purposes of Section 23.4.5.7.</w:t>
        </w:r>
      </w:ins>
      <w:ins w:id="164" w:author="Noelle J Coates" w:date="2015-03-24T21:18:00Z">
        <w:r>
          <w:t>9</w:t>
        </w:r>
      </w:ins>
      <w:ins w:id="165" w:author="zimberlin" w:date="2015-03-20T16:38:00Z">
        <w:r>
          <w:t xml:space="preserve">, a direct “non-qualifying contractual relationship” shall include but not be </w:t>
        </w:r>
        <w:r>
          <w:t>limited to any contract, agreement, arrangement, or relationship (for the purposes of this Section 23.4.5.7.</w:t>
        </w:r>
      </w:ins>
      <w:ins w:id="166" w:author="Noelle J Coates" w:date="2015-03-24T21:18:00Z">
        <w:r>
          <w:t>9</w:t>
        </w:r>
      </w:ins>
      <w:ins w:id="167" w:author="zimberlin" w:date="2015-03-20T16:38:00Z">
        <w:r>
          <w:t>, a “contract”) that: (a) directly</w:t>
        </w:r>
        <w:r>
          <w:rPr>
            <w:b/>
          </w:rPr>
          <w:t xml:space="preserve"> </w:t>
        </w:r>
        <w:r>
          <w:t>relates to the planning, siting, interconnection, operation, or construction of the Generator or UDR project tha</w:t>
        </w:r>
        <w:r>
          <w:t>t is the subject of the request for the Competitive Entry Exemption; (b) is for the energy or capacity produced by or delivered from or by the Generator or UDR project, including an agreement for rights to schedule or use a UDR; or (c) provides services, f</w:t>
        </w:r>
        <w:r>
          <w:t xml:space="preserve">inancial support, or tangible goods to a Generator or UDR project.  For purposes of Section </w:t>
        </w:r>
        <w:r w:rsidRPr="00F0586F">
          <w:t>23.4.5.7.</w:t>
        </w:r>
      </w:ins>
      <w:ins w:id="168" w:author="zimberlin" w:date="2015-03-20T16:40:00Z">
        <w:r w:rsidRPr="00F0586F">
          <w:t>9</w:t>
        </w:r>
      </w:ins>
      <w:ins w:id="169" w:author="zimberlin" w:date="2015-03-20T16:38:00Z">
        <w:r w:rsidRPr="00F0586F">
          <w:t>,</w:t>
        </w:r>
        <w:r>
          <w:t xml:space="preserve"> an indirect “non-qualifying contractual relationship” is any contract between the Generator or UDR project and an entity (for purposes of this </w:t>
        </w:r>
      </w:ins>
      <w:ins w:id="170" w:author="Noelle J Coates" w:date="2015-04-08T20:48:00Z">
        <w:r w:rsidR="00C42165" w:rsidRPr="00C42165">
          <w:rPr>
            <w:rPrChange w:id="171" w:author="kavanah" w:date="2015-04-09T15:55:00Z">
              <w:rPr>
                <w:highlight w:val="cyan"/>
              </w:rPr>
            </w:rPrChange>
          </w:rPr>
          <w:t>S</w:t>
        </w:r>
      </w:ins>
      <w:ins w:id="172" w:author="zimberlin" w:date="2015-03-20T16:38:00Z">
        <w:r>
          <w:t>ect</w:t>
        </w:r>
        <w:r>
          <w:t xml:space="preserve">ion </w:t>
        </w:r>
        <w:r w:rsidRPr="00F0586F">
          <w:t>23.4.5.7.</w:t>
        </w:r>
      </w:ins>
      <w:ins w:id="173" w:author="zimberlin" w:date="2015-03-20T16:40:00Z">
        <w:r w:rsidRPr="00F0586F">
          <w:t>9</w:t>
        </w:r>
      </w:ins>
      <w:ins w:id="174" w:author="zimberlin" w:date="2015-03-20T16:38:00Z">
        <w:r w:rsidRPr="00F0586F">
          <w:t>, a</w:t>
        </w:r>
        <w:r>
          <w:t xml:space="preserve"> “third party”) if the third party has a non-qualifying contractual relationship with a Non-Qualifying Entry Sponsor, the recital, purpose, or subject of which includes, or has the effect of including, this Generator or UDR project.    </w:t>
        </w:r>
      </w:ins>
    </w:p>
    <w:p w:rsidR="00791A4B" w:rsidRPr="00F425A1" w:rsidRDefault="00F753F8">
      <w:pPr>
        <w:pStyle w:val="alphapara"/>
        <w:rPr>
          <w:ins w:id="175" w:author="zimberlin" w:date="2015-03-20T16:38:00Z"/>
          <w:b/>
          <w:i/>
          <w:rPrChange w:id="176" w:author="zimberlin" w:date="2015-04-13T14:13:00Z">
            <w:rPr>
              <w:ins w:id="177" w:author="zimberlin" w:date="2015-03-20T16:38:00Z"/>
              <w:b/>
              <w:i/>
              <w:color w:val="FF0000"/>
            </w:rPr>
          </w:rPrChange>
        </w:rPr>
      </w:pPr>
      <w:ins w:id="178" w:author="zimberlin" w:date="2015-03-20T16:38:00Z">
        <w:r>
          <w:t>23.4.5</w:t>
        </w:r>
        <w:r>
          <w:t>.7.</w:t>
        </w:r>
      </w:ins>
      <w:ins w:id="179" w:author="zimberlin" w:date="2015-03-20T16:41:00Z">
        <w:r>
          <w:t>9</w:t>
        </w:r>
      </w:ins>
      <w:ins w:id="180" w:author="zimberlin" w:date="2015-03-20T16:38:00Z">
        <w:r>
          <w:t>.1.3  A contract with a Non-Qualifying Entry Sponsor shall not constitute a “non-qualifying contractual relationship” if it is (i) an Interconnection Agreement; (ii) an agreement for the construction or use of interconnection facilities or transmission</w:t>
        </w:r>
        <w:r>
          <w:t xml:space="preserve"> or distribution facilities, or directly connected joint use transmission or distribution facilities (including contracts required for compliance with Articles VII or X of the New York State Public Service Law or orders issued pursuant to Articles VII or X</w:t>
        </w:r>
        <w:r>
          <w:t>); (iii) a grant of permission by any department, agency, instrumentality, or political subdivision of New York State to bury, lay, erect or construct wires, cables or other conductors, with the necessary poles, pipes or other fixtures in, on, over or unde</w:t>
        </w:r>
        <w:r>
          <w:t xml:space="preserve">r public property; (iv) a contract for the sale or lease of real property to or from a Non-Qualifying Entry Sponsor at or above fair market value as of the date of the agreement was executed, such value demonstrated by an independent appraisal at the time </w:t>
        </w:r>
        <w:r>
          <w:t>of execution prepared by an accountant or appraiser with specific experience in such valuations; (v) an easement or license to use real property; (vi) a contract, with any department, agency, instrumentality, or political subdivision of New York State prov</w:t>
        </w:r>
        <w:r>
          <w:t xml:space="preserve">iding for a payment-in-lieu of </w:t>
        </w:r>
        <w:r>
          <w:t>taxes (</w:t>
        </w:r>
        <w:r>
          <w:rPr>
            <w:i/>
          </w:rPr>
          <w:t>i.</w:t>
        </w:r>
        <w:r>
          <w:rPr>
            <w:i/>
          </w:rPr>
          <w:t>e.</w:t>
        </w:r>
        <w:r>
          <w:t xml:space="preserve">, a “PILOT” agreement) or industrial </w:t>
        </w:r>
      </w:ins>
      <w:ins w:id="181" w:author="GK Thurs" w:date="2015-04-02T12:41:00Z">
        <w:r>
          <w:t xml:space="preserve">or commercial </w:t>
        </w:r>
      </w:ins>
      <w:ins w:id="182" w:author="zimberlin" w:date="2015-03-20T16:38:00Z">
        <w:r>
          <w:t xml:space="preserve">siting incentives, such as tax abatements or financing incentives, provided the PILOT agreement or incentives are generally available to industrial </w:t>
        </w:r>
      </w:ins>
      <w:ins w:id="183" w:author="NJ&amp;NC" w:date="2015-03-24T15:33:00Z">
        <w:r>
          <w:t xml:space="preserve">or commercial </w:t>
        </w:r>
      </w:ins>
      <w:ins w:id="184" w:author="zimberlin" w:date="2015-03-20T16:38:00Z">
        <w:r>
          <w:t>e</w:t>
        </w:r>
        <w:r>
          <w:t>ntities;</w:t>
        </w:r>
        <w:r>
          <w:t xml:space="preserve"> (vii) a service agreement for natural gas entered into under a tariff accepted by a regulatory body with jurisdiction over that service</w:t>
        </w:r>
        <w:r w:rsidR="00C42165" w:rsidRPr="00C42165">
          <w:rPr>
            <w:u w:val="single"/>
            <w:rPrChange w:id="185" w:author="zimberlin" w:date="2015-04-13T14:08:00Z">
              <w:rPr>
                <w:color w:val="FF0000"/>
                <w:u w:val="single"/>
              </w:rPr>
            </w:rPrChange>
          </w:rPr>
          <w:t>;</w:t>
        </w:r>
        <w:r w:rsidR="00C42165" w:rsidRPr="00C42165">
          <w:rPr>
            <w:rPrChange w:id="186" w:author="zimberlin" w:date="2015-04-13T14:09:00Z">
              <w:rPr>
                <w:color w:val="FF0000"/>
                <w:u w:val="single"/>
              </w:rPr>
            </w:rPrChange>
          </w:rPr>
          <w:t xml:space="preserve"> </w:t>
        </w:r>
      </w:ins>
      <w:ins w:id="187" w:author="NJ&amp;NC" w:date="2015-03-24T15:37:00Z">
        <w:r w:rsidR="00C42165" w:rsidRPr="00C42165">
          <w:rPr>
            <w:rPrChange w:id="188" w:author="zimberlin" w:date="2015-04-13T14:09:00Z">
              <w:rPr>
                <w:color w:val="FF0000"/>
                <w:u w:val="single"/>
              </w:rPr>
            </w:rPrChange>
          </w:rPr>
          <w:t xml:space="preserve">or </w:t>
        </w:r>
      </w:ins>
      <w:ins w:id="189" w:author="zimberlin" w:date="2015-03-20T16:38:00Z">
        <w:r w:rsidR="00C42165" w:rsidRPr="00C42165">
          <w:rPr>
            <w:rPrChange w:id="190" w:author="zimberlin" w:date="2015-04-13T14:09:00Z">
              <w:rPr>
                <w:color w:val="FF0000"/>
                <w:u w:val="single"/>
              </w:rPr>
            </w:rPrChange>
          </w:rPr>
          <w:t>(</w:t>
        </w:r>
      </w:ins>
      <w:ins w:id="191" w:author="NJ&amp;NC" w:date="2015-03-24T15:36:00Z">
        <w:r w:rsidR="00C42165" w:rsidRPr="00C42165">
          <w:rPr>
            <w:rPrChange w:id="192" w:author="zimberlin" w:date="2015-04-13T14:09:00Z">
              <w:rPr>
                <w:color w:val="FF0000"/>
                <w:u w:val="single"/>
              </w:rPr>
            </w:rPrChange>
          </w:rPr>
          <w:t>vii</w:t>
        </w:r>
      </w:ins>
      <w:ins w:id="193" w:author="zimberlin" w:date="2015-03-20T16:38:00Z">
        <w:r w:rsidR="00C42165" w:rsidRPr="00C42165">
          <w:rPr>
            <w:rPrChange w:id="194" w:author="zimberlin" w:date="2015-04-13T14:09:00Z">
              <w:rPr>
                <w:color w:val="FF0000"/>
                <w:u w:val="single"/>
              </w:rPr>
            </w:rPrChange>
          </w:rPr>
          <w:t xml:space="preserve">i) </w:t>
        </w:r>
        <w:r w:rsidR="00C42165" w:rsidRPr="00C42165">
          <w:rPr>
            <w:rPrChange w:id="195" w:author="zimberlin" w:date="2015-04-13T14:08:00Z">
              <w:rPr>
                <w:color w:val="FF0000"/>
              </w:rPr>
            </w:rPrChange>
          </w:rPr>
          <w:t>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w:t>
        </w:r>
        <w:r w:rsidR="00C42165" w:rsidRPr="00C42165">
          <w:rPr>
            <w:b/>
            <w:i/>
            <w:rPrChange w:id="196" w:author="zimberlin" w:date="2015-04-13T14:08:00Z">
              <w:rPr>
                <w:b/>
                <w:i/>
                <w:color w:val="FF0000"/>
              </w:rPr>
            </w:rPrChange>
          </w:rPr>
          <w:t xml:space="preserve"> </w:t>
        </w:r>
        <w:r w:rsidR="00C42165" w:rsidRPr="00C42165">
          <w:rPr>
            <w:rPrChange w:id="197" w:author="zimberlin" w:date="2015-04-13T14:08:00Z">
              <w:rPr>
                <w:color w:val="FF0000"/>
              </w:rPr>
            </w:rPrChange>
          </w:rPr>
          <w:t xml:space="preserve"> Notwithstanding the foregoing, a </w:t>
        </w:r>
        <w:r>
          <w:t xml:space="preserve">contract with a </w:t>
        </w:r>
        <w:r>
          <w:t>Non-Qualifying Entry Sponsor that includes a provision that is a non-qualifying contractual relationship will render the entire contract described in (i) through (</w:t>
        </w:r>
      </w:ins>
      <w:ins w:id="198" w:author="NJ&amp;NC" w:date="2015-03-24T15:38:00Z">
        <w:r>
          <w:t>viii</w:t>
        </w:r>
      </w:ins>
      <w:ins w:id="199" w:author="zimberlin" w:date="2015-03-20T16:38:00Z">
        <w:r>
          <w:t>) of this Section a non-qualifying contractual relationship.</w:t>
        </w:r>
      </w:ins>
    </w:p>
    <w:p w:rsidR="00791A4B" w:rsidRDefault="00F753F8">
      <w:pPr>
        <w:pStyle w:val="alphapara"/>
        <w:rPr>
          <w:ins w:id="200" w:author="zimberlin" w:date="2015-03-20T16:38:00Z"/>
        </w:rPr>
      </w:pPr>
      <w:ins w:id="201" w:author="zimberlin" w:date="2015-03-20T16:38:00Z">
        <w:r>
          <w:t>23.4.5.7.</w:t>
        </w:r>
      </w:ins>
      <w:ins w:id="202" w:author="zimberlin" w:date="2015-03-20T16:41:00Z">
        <w:r>
          <w:t>9</w:t>
        </w:r>
      </w:ins>
      <w:ins w:id="203" w:author="zimberlin" w:date="2015-03-20T16:38:00Z">
        <w:r>
          <w:t>.1.</w:t>
        </w:r>
      </w:ins>
      <w:ins w:id="204" w:author="kavanah" w:date="2015-04-01T12:53:00Z">
        <w:r>
          <w:t>4</w:t>
        </w:r>
      </w:ins>
      <w:ins w:id="205" w:author="zimberlin" w:date="2015-04-13T14:13:00Z">
        <w:r>
          <w:tab/>
        </w:r>
      </w:ins>
      <w:ins w:id="206" w:author="zimberlin" w:date="2015-03-20T16:38:00Z">
        <w:r>
          <w:t xml:space="preserve">  The ISO sha</w:t>
        </w:r>
        <w:r>
          <w:t xml:space="preserve">ll determine whether a Generator or UDR project is eligible for a Competitive Entry Exemption based on its review of the certifications required by </w:t>
        </w:r>
        <w:r w:rsidRPr="00F0586F">
          <w:t>Section 23.4.5.7.</w:t>
        </w:r>
      </w:ins>
      <w:ins w:id="207" w:author="zimberlin" w:date="2015-03-20T16:41:00Z">
        <w:r w:rsidRPr="00F0586F">
          <w:t>9</w:t>
        </w:r>
      </w:ins>
      <w:ins w:id="208" w:author="zimberlin" w:date="2015-03-20T16:38:00Z">
        <w:r w:rsidRPr="00F0586F">
          <w:t>.2, below</w:t>
        </w:r>
        <w:r>
          <w:t>, and any other supporting data requested by the ISO.  When evaluating eligibilit</w:t>
        </w:r>
        <w:r>
          <w:t>y for a Competitive Entry Exemption</w:t>
        </w:r>
      </w:ins>
      <w:ins w:id="209" w:author="Lorenzo Seirup2" w:date="2015-04-02T11:09:00Z">
        <w:r>
          <w:t>,</w:t>
        </w:r>
      </w:ins>
      <w:ins w:id="210" w:author="zimberlin" w:date="2015-03-20T16:38:00Z">
        <w:r>
          <w:t xml:space="preserve"> the ISO shall consult with the Market Monitoring Unit.  The responsibilities of the Market Monitoring Unit that are addressed in this section of the Mitigation Measures are also addressed </w:t>
        </w:r>
        <w:r>
          <w:t>in Section 30.4.6.2.1</w:t>
        </w:r>
      </w:ins>
      <w:ins w:id="211" w:author="NJ&amp;NC" w:date="2015-04-09T07:54:00Z">
        <w:r w:rsidR="00C42165" w:rsidRPr="00C42165">
          <w:rPr>
            <w:rPrChange w:id="212" w:author="kavanah" w:date="2015-04-09T15:56:00Z">
              <w:rPr>
                <w:highlight w:val="cyan"/>
              </w:rPr>
            </w:rPrChange>
          </w:rPr>
          <w:t>2</w:t>
        </w:r>
      </w:ins>
      <w:ins w:id="213" w:author="zimberlin" w:date="2015-03-20T16:38:00Z">
        <w:r>
          <w:t xml:space="preserve"> of</w:t>
        </w:r>
        <w:r>
          <w:t xml:space="preserve"> Attac</w:t>
        </w:r>
        <w:r>
          <w:t>hment O.</w:t>
        </w:r>
      </w:ins>
    </w:p>
    <w:p w:rsidR="00791A4B" w:rsidRDefault="00F753F8">
      <w:pPr>
        <w:pStyle w:val="Heading4"/>
        <w:rPr>
          <w:ins w:id="214" w:author="zimberlin" w:date="2015-03-20T16:38:00Z"/>
        </w:rPr>
      </w:pPr>
      <w:ins w:id="215" w:author="zimberlin" w:date="2015-03-20T16:38:00Z">
        <w:r>
          <w:t>23.4.5.7.</w:t>
        </w:r>
      </w:ins>
      <w:ins w:id="216" w:author="zimberlin" w:date="2015-03-20T16:41:00Z">
        <w:r>
          <w:t>9</w:t>
        </w:r>
      </w:ins>
      <w:ins w:id="217" w:author="zimberlin" w:date="2015-03-20T16:38:00Z">
        <w:r>
          <w:t xml:space="preserve">.2 </w:t>
        </w:r>
        <w:r>
          <w:tab/>
          <w:t>Certifications</w:t>
        </w:r>
      </w:ins>
      <w:ins w:id="218" w:author="GK 4-7-2105" w:date="2015-04-08T16:13:00Z">
        <w:r>
          <w:t xml:space="preserve"> and Acknowledgements</w:t>
        </w:r>
      </w:ins>
    </w:p>
    <w:p w:rsidR="00791A4B" w:rsidRDefault="00F753F8">
      <w:pPr>
        <w:pStyle w:val="alphapara"/>
        <w:rPr>
          <w:ins w:id="219" w:author="kavanah" w:date="2015-04-01T11:25:00Z"/>
        </w:rPr>
      </w:pPr>
      <w:ins w:id="220" w:author="zimberlin" w:date="2015-03-20T16:38:00Z">
        <w:r>
          <w:t>23.4.5.7.</w:t>
        </w:r>
      </w:ins>
      <w:ins w:id="221" w:author="zimberlin" w:date="2015-03-20T16:41:00Z">
        <w:r>
          <w:t>9</w:t>
        </w:r>
      </w:ins>
      <w:ins w:id="222" w:author="zimberlin" w:date="2015-03-20T16:38:00Z">
        <w:r>
          <w:t xml:space="preserve">.2.1 A Generator or </w:t>
        </w:r>
        <w:r>
          <w:t xml:space="preserve">UDR </w:t>
        </w:r>
      </w:ins>
      <w:ins w:id="223" w:author="NJ&amp;NC" w:date="2015-04-09T07:54:00Z">
        <w:r w:rsidR="00C42165" w:rsidRPr="00C42165">
          <w:rPr>
            <w:rPrChange w:id="224" w:author="kavanah" w:date="2015-04-09T15:56:00Z">
              <w:rPr>
                <w:highlight w:val="cyan"/>
              </w:rPr>
            </w:rPrChange>
          </w:rPr>
          <w:t>p</w:t>
        </w:r>
      </w:ins>
      <w:ins w:id="225" w:author="zimberlin" w:date="2015-03-20T16:38:00Z">
        <w:r>
          <w:t>roject</w:t>
        </w:r>
        <w:r>
          <w:t xml:space="preserve"> requesting a Competitive Entry Exemption shall submit to the ISO in accordance with ISO Procedures</w:t>
        </w:r>
      </w:ins>
      <w:ins w:id="226" w:author="GK Thurs" w:date="2015-04-02T12:49:00Z">
        <w:r>
          <w:t xml:space="preserve">, </w:t>
        </w:r>
        <w:r w:rsidRPr="00F0586F">
          <w:t>and shall be legally bound by, the following Certificat</w:t>
        </w:r>
        <w:r w:rsidRPr="00F0586F">
          <w:t xml:space="preserve">ion and Acknowledgement form </w:t>
        </w:r>
      </w:ins>
      <w:ins w:id="227" w:author="kavanah" w:date="2015-04-01T11:18:00Z">
        <w:r>
          <w:t xml:space="preserve">executed by </w:t>
        </w:r>
      </w:ins>
      <w:ins w:id="228" w:author="zimberlin" w:date="2015-03-20T16:38:00Z">
        <w:r>
          <w:t>a duly authorized officer:</w:t>
        </w:r>
      </w:ins>
    </w:p>
    <w:p w:rsidR="00791A4B" w:rsidRDefault="00F753F8">
      <w:pPr>
        <w:autoSpaceDE w:val="0"/>
        <w:autoSpaceDN w:val="0"/>
        <w:adjustRightInd w:val="0"/>
        <w:spacing w:after="240"/>
        <w:jc w:val="center"/>
        <w:rPr>
          <w:ins w:id="229" w:author="kavanah" w:date="2015-04-01T12:20:00Z"/>
          <w:b/>
          <w:color w:val="000000"/>
        </w:rPr>
      </w:pPr>
      <w:ins w:id="230" w:author="kavanah" w:date="2015-04-01T12:20:00Z">
        <w:r>
          <w:rPr>
            <w:b/>
            <w:color w:val="000000"/>
          </w:rPr>
          <w:t>CERTIFICATION</w:t>
        </w:r>
      </w:ins>
      <w:ins w:id="231" w:author="kavanah" w:date="2015-04-01T12:25:00Z">
        <w:r>
          <w:rPr>
            <w:b/>
            <w:color w:val="000000"/>
          </w:rPr>
          <w:t xml:space="preserve"> AND</w:t>
        </w:r>
      </w:ins>
      <w:ins w:id="232" w:author="kavanah" w:date="2015-04-01T12:20:00Z">
        <w:r>
          <w:rPr>
            <w:b/>
            <w:color w:val="000000"/>
          </w:rPr>
          <w:t xml:space="preserve"> ACKNOWLEDGMENT</w:t>
        </w:r>
      </w:ins>
    </w:p>
    <w:p w:rsidR="00000000" w:rsidRDefault="00F753F8">
      <w:pPr>
        <w:autoSpaceDE w:val="0"/>
        <w:autoSpaceDN w:val="0"/>
        <w:adjustRightInd w:val="0"/>
        <w:ind w:left="360" w:firstLine="360"/>
        <w:rPr>
          <w:ins w:id="233" w:author="kavanah" w:date="2015-04-01T12:20:00Z"/>
          <w:color w:val="000000"/>
        </w:rPr>
        <w:pPrChange w:id="234" w:author="zimberlin" w:date="2015-04-13T14:23:00Z">
          <w:pPr>
            <w:autoSpaceDE w:val="0"/>
            <w:autoSpaceDN w:val="0"/>
            <w:adjustRightInd w:val="0"/>
            <w:ind w:left="360"/>
          </w:pPr>
        </w:pPrChange>
      </w:pPr>
      <w:ins w:id="235" w:author="kavanah" w:date="2015-04-01T12:20:00Z">
        <w:r>
          <w:rPr>
            <w:color w:val="000000"/>
          </w:rPr>
          <w:t>I [NAME &amp; TITLE] hereby certify on behalf of myself</w:t>
        </w:r>
      </w:ins>
      <w:ins w:id="236" w:author="GK 4-7-2105" w:date="2015-04-07T19:26:00Z">
        <w:r>
          <w:rPr>
            <w:color w:val="000000"/>
          </w:rPr>
          <w:t xml:space="preserve">, </w:t>
        </w:r>
      </w:ins>
      <w:ins w:id="237" w:author="kavanah" w:date="2015-04-01T12:20:00Z">
        <w:r>
          <w:rPr>
            <w:color w:val="000000"/>
          </w:rPr>
          <w:t>[NAME OF PROJECT]</w:t>
        </w:r>
      </w:ins>
      <w:ins w:id="238" w:author="GK 4-7-2105" w:date="2015-04-07T19:26:00Z">
        <w:r>
          <w:rPr>
            <w:color w:val="000000"/>
          </w:rPr>
          <w:t>, and [</w:t>
        </w:r>
      </w:ins>
      <w:ins w:id="239" w:author="GK 4-7-2105" w:date="2015-04-07T19:34:00Z">
        <w:r w:rsidRPr="00F0586F">
          <w:rPr>
            <w:color w:val="000000"/>
          </w:rPr>
          <w:t>NAME OF DEVELOPER</w:t>
        </w:r>
      </w:ins>
      <w:ins w:id="240" w:author="GK 4-7-2105" w:date="2015-04-07T19:26:00Z">
        <w:r>
          <w:rPr>
            <w:color w:val="000000"/>
          </w:rPr>
          <w:t>]</w:t>
        </w:r>
      </w:ins>
      <w:ins w:id="241" w:author="kavanah" w:date="2015-04-01T12:20:00Z">
        <w:r>
          <w:rPr>
            <w:color w:val="000000"/>
          </w:rPr>
          <w:t xml:space="preserve"> that each of the following statements is true and correct:</w:t>
        </w:r>
      </w:ins>
    </w:p>
    <w:p w:rsidR="00791A4B" w:rsidRDefault="00F753F8" w:rsidP="00F425A1">
      <w:pPr>
        <w:pStyle w:val="alphapara"/>
        <w:spacing w:before="240" w:after="240" w:line="240" w:lineRule="auto"/>
        <w:rPr>
          <w:ins w:id="242" w:author="kavanah" w:date="2015-04-01T12:20:00Z"/>
          <w:color w:val="000000"/>
          <w:szCs w:val="24"/>
        </w:rPr>
      </w:pPr>
      <w:ins w:id="243" w:author="zimberlin" w:date="2015-04-13T14:24:00Z">
        <w:r>
          <w:rPr>
            <w:color w:val="000000"/>
            <w:szCs w:val="24"/>
          </w:rPr>
          <w:t>1.</w:t>
        </w:r>
        <w:r>
          <w:rPr>
            <w:color w:val="000000"/>
            <w:szCs w:val="24"/>
          </w:rPr>
          <w:tab/>
        </w:r>
      </w:ins>
      <w:ins w:id="244" w:author="kavanah" w:date="2015-04-01T12:20:00Z">
        <w:r>
          <w:rPr>
            <w:color w:val="000000"/>
            <w:szCs w:val="24"/>
          </w:rPr>
          <w:t>I am an officer whose responsibilities include the development of the [</w:t>
        </w:r>
      </w:ins>
      <w:ins w:id="245" w:author="kavanah" w:date="2015-04-01T12:21:00Z">
        <w:r>
          <w:rPr>
            <w:color w:val="000000"/>
            <w:szCs w:val="24"/>
          </w:rPr>
          <w:t>EXAMINED FACILITY</w:t>
        </w:r>
      </w:ins>
      <w:ins w:id="246" w:author="kavanah" w:date="2015-04-01T12:20:00Z">
        <w:r>
          <w:rPr>
            <w:color w:val="000000"/>
            <w:szCs w:val="24"/>
          </w:rPr>
          <w:t>], New York Independent System Operator, Inc.’s (“NYISO”) Interconnection queue position Number [</w:t>
        </w:r>
        <w:r w:rsidRPr="00F0586F">
          <w:rPr>
            <w:color w:val="000000"/>
            <w:szCs w:val="24"/>
          </w:rPr>
          <w:t>INSERT NUMBER</w:t>
        </w:r>
        <w:r>
          <w:rPr>
            <w:color w:val="000000"/>
            <w:szCs w:val="24"/>
          </w:rPr>
          <w:t>] (the “Project”).</w:t>
        </w:r>
      </w:ins>
    </w:p>
    <w:p w:rsidR="00791A4B" w:rsidRDefault="00F753F8" w:rsidP="00F425A1">
      <w:pPr>
        <w:pStyle w:val="alphapara"/>
        <w:spacing w:before="240" w:after="240" w:line="240" w:lineRule="auto"/>
        <w:rPr>
          <w:ins w:id="247" w:author="GK 4-7-2105" w:date="2015-04-07T19:29:00Z"/>
          <w:color w:val="000000"/>
          <w:szCs w:val="24"/>
        </w:rPr>
      </w:pPr>
      <w:ins w:id="248" w:author="zimberlin" w:date="2015-04-13T14:25:00Z">
        <w:r>
          <w:rPr>
            <w:color w:val="000000"/>
            <w:szCs w:val="24"/>
          </w:rPr>
          <w:t>2.</w:t>
        </w:r>
        <w:r>
          <w:rPr>
            <w:color w:val="000000"/>
            <w:szCs w:val="24"/>
          </w:rPr>
          <w:tab/>
        </w:r>
      </w:ins>
      <w:ins w:id="249" w:author="kavanah" w:date="2015-04-01T12:20:00Z">
        <w:r>
          <w:rPr>
            <w:color w:val="000000"/>
            <w:szCs w:val="24"/>
          </w:rPr>
          <w:t xml:space="preserve">I am </w:t>
        </w:r>
        <w:r w:rsidR="00C42165" w:rsidRPr="00C42165">
          <w:rPr>
            <w:rPrChange w:id="250" w:author="zimberlin" w:date="2015-04-13T14:23:00Z">
              <w:rPr>
                <w:color w:val="000000"/>
                <w:szCs w:val="24"/>
              </w:rPr>
            </w:rPrChange>
          </w:rPr>
          <w:t>duly</w:t>
        </w:r>
        <w:r>
          <w:rPr>
            <w:color w:val="000000"/>
            <w:szCs w:val="24"/>
          </w:rPr>
          <w:t xml:space="preserve"> authorized to make representations concerning the Project, including each of the certifications and acknowledgements that I have made in this document.</w:t>
        </w:r>
      </w:ins>
    </w:p>
    <w:p w:rsidR="00791A4B" w:rsidRDefault="00F753F8" w:rsidP="00F425A1">
      <w:pPr>
        <w:pStyle w:val="alphapara"/>
        <w:spacing w:before="240" w:after="240" w:line="240" w:lineRule="auto"/>
        <w:rPr>
          <w:ins w:id="251" w:author="kavanah" w:date="2015-04-01T12:20:00Z"/>
          <w:color w:val="000000"/>
          <w:szCs w:val="24"/>
        </w:rPr>
      </w:pPr>
      <w:ins w:id="252" w:author="zimberlin" w:date="2015-04-13T14:25:00Z">
        <w:r>
          <w:rPr>
            <w:color w:val="000000"/>
            <w:szCs w:val="24"/>
          </w:rPr>
          <w:t>3.</w:t>
        </w:r>
        <w:r>
          <w:rPr>
            <w:color w:val="000000"/>
            <w:szCs w:val="24"/>
          </w:rPr>
          <w:tab/>
        </w:r>
      </w:ins>
      <w:ins w:id="253" w:author="GK 4-7-2105" w:date="2015-04-07T19:29:00Z">
        <w:r>
          <w:rPr>
            <w:color w:val="000000"/>
            <w:szCs w:val="24"/>
          </w:rPr>
          <w:t xml:space="preserve">I </w:t>
        </w:r>
      </w:ins>
      <w:ins w:id="254" w:author="GK 4-7-2105" w:date="2015-04-07T19:30:00Z">
        <w:r w:rsidR="00C42165" w:rsidRPr="00C42165">
          <w:rPr>
            <w:rPrChange w:id="255" w:author="zimberlin" w:date="2015-04-13T14:23:00Z">
              <w:rPr>
                <w:color w:val="000000"/>
                <w:szCs w:val="24"/>
              </w:rPr>
            </w:rPrChange>
          </w:rPr>
          <w:t>hereby</w:t>
        </w:r>
        <w:r>
          <w:rPr>
            <w:color w:val="000000"/>
            <w:szCs w:val="24"/>
          </w:rPr>
          <w:t xml:space="preserve"> </w:t>
        </w:r>
      </w:ins>
      <w:ins w:id="256" w:author="GK 4-7-2105" w:date="2015-04-07T19:29:00Z">
        <w:r>
          <w:rPr>
            <w:color w:val="000000"/>
            <w:szCs w:val="24"/>
          </w:rPr>
          <w:t>[REQUEST</w:t>
        </w:r>
      </w:ins>
      <w:ins w:id="257" w:author="GK 4-7-2105" w:date="2015-04-07T19:32:00Z">
        <w:r>
          <w:rPr>
            <w:color w:val="000000"/>
            <w:szCs w:val="24"/>
          </w:rPr>
          <w:t xml:space="preserve"> ON BEHALF OF</w:t>
        </w:r>
      </w:ins>
      <w:ins w:id="258" w:author="GK 4-7-2105" w:date="2015-04-07T19:29:00Z">
        <w:r>
          <w:rPr>
            <w:color w:val="000000"/>
            <w:szCs w:val="24"/>
          </w:rPr>
          <w:t>/</w:t>
        </w:r>
      </w:ins>
      <w:ins w:id="259" w:author="GK 4-7-2105" w:date="2015-04-07T19:30:00Z">
        <w:r>
          <w:rPr>
            <w:color w:val="000000"/>
            <w:szCs w:val="24"/>
          </w:rPr>
          <w:t xml:space="preserve">ACKNOWLEDGE THE </w:t>
        </w:r>
      </w:ins>
      <w:ins w:id="260" w:author="GK 4-7-2105" w:date="2015-04-07T19:31:00Z">
        <w:r>
          <w:rPr>
            <w:color w:val="000000"/>
            <w:szCs w:val="24"/>
          </w:rPr>
          <w:t xml:space="preserve">PRIOR SUBMISSION IN THIS CLASS YEAR </w:t>
        </w:r>
      </w:ins>
      <w:ins w:id="261" w:author="GK 4-7-2105" w:date="2015-04-07T19:32:00Z">
        <w:r>
          <w:rPr>
            <w:color w:val="000000"/>
            <w:szCs w:val="24"/>
          </w:rPr>
          <w:t xml:space="preserve">BY] the </w:t>
        </w:r>
      </w:ins>
      <w:ins w:id="262" w:author="GK 4-7-2105" w:date="2015-04-07T19:33:00Z">
        <w:r>
          <w:rPr>
            <w:color w:val="000000"/>
            <w:szCs w:val="24"/>
          </w:rPr>
          <w:t>Developer</w:t>
        </w:r>
        <w:r>
          <w:rPr>
            <w:color w:val="000000"/>
            <w:szCs w:val="24"/>
          </w:rPr>
          <w:t xml:space="preserve"> </w:t>
        </w:r>
      </w:ins>
      <w:ins w:id="263" w:author="GK 4-7-2105" w:date="2015-04-07T19:30:00Z">
        <w:r>
          <w:rPr>
            <w:color w:val="000000"/>
            <w:szCs w:val="24"/>
          </w:rPr>
          <w:t>a Competitive Entry Exemption</w:t>
        </w:r>
      </w:ins>
      <w:ins w:id="264" w:author="GK 4-7-2105" w:date="2015-04-07T19:33:00Z">
        <w:r>
          <w:rPr>
            <w:color w:val="000000"/>
            <w:szCs w:val="24"/>
          </w:rPr>
          <w:t xml:space="preserve"> for the Project.</w:t>
        </w:r>
      </w:ins>
    </w:p>
    <w:p w:rsidR="00791A4B" w:rsidRDefault="00F753F8" w:rsidP="00F425A1">
      <w:pPr>
        <w:pStyle w:val="alphapara"/>
        <w:spacing w:before="240" w:after="240" w:line="240" w:lineRule="auto"/>
        <w:rPr>
          <w:ins w:id="265" w:author="kavanah" w:date="2015-04-01T12:26:00Z"/>
          <w:color w:val="000000"/>
          <w:szCs w:val="24"/>
        </w:rPr>
      </w:pPr>
      <w:ins w:id="266" w:author="zimberlin" w:date="2015-04-13T14:25:00Z">
        <w:r>
          <w:rPr>
            <w:color w:val="000000"/>
            <w:szCs w:val="24"/>
          </w:rPr>
          <w:t>4.</w:t>
        </w:r>
        <w:r>
          <w:rPr>
            <w:color w:val="000000"/>
            <w:szCs w:val="24"/>
          </w:rPr>
          <w:tab/>
        </w:r>
      </w:ins>
      <w:ins w:id="267" w:author="kavanah" w:date="2015-04-01T12:20:00Z">
        <w:r>
          <w:rPr>
            <w:color w:val="000000"/>
            <w:szCs w:val="24"/>
          </w:rPr>
          <w:t>I h</w:t>
        </w:r>
      </w:ins>
      <w:ins w:id="268" w:author="GK Thurs" w:date="2015-04-02T12:55:00Z">
        <w:r>
          <w:rPr>
            <w:color w:val="000000"/>
            <w:szCs w:val="24"/>
          </w:rPr>
          <w:t>ave</w:t>
        </w:r>
      </w:ins>
      <w:ins w:id="269" w:author="kavanah" w:date="2015-04-01T12:20:00Z">
        <w:r>
          <w:rPr>
            <w:color w:val="000000"/>
            <w:szCs w:val="24"/>
          </w:rPr>
          <w:t xml:space="preserve"> </w:t>
        </w:r>
      </w:ins>
      <w:ins w:id="270" w:author="kavanah" w:date="2015-04-01T12:26:00Z">
        <w:r w:rsidR="00C42165" w:rsidRPr="00C42165">
          <w:rPr>
            <w:rPrChange w:id="271" w:author="zimberlin" w:date="2015-04-13T14:23:00Z">
              <w:rPr>
                <w:color w:val="000000"/>
                <w:szCs w:val="24"/>
              </w:rPr>
            </w:rPrChange>
          </w:rPr>
          <w:t>reviewed</w:t>
        </w:r>
        <w:r>
          <w:rPr>
            <w:color w:val="000000"/>
            <w:szCs w:val="24"/>
          </w:rPr>
          <w:t xml:space="preserve"> and </w:t>
        </w:r>
      </w:ins>
      <w:ins w:id="272" w:author="GK Thurs" w:date="2015-04-02T12:55:00Z">
        <w:r>
          <w:rPr>
            <w:color w:val="000000"/>
            <w:szCs w:val="24"/>
          </w:rPr>
          <w:t xml:space="preserve">I </w:t>
        </w:r>
      </w:ins>
      <w:ins w:id="273" w:author="kavanah" w:date="2015-04-01T12:26:00Z">
        <w:r>
          <w:rPr>
            <w:color w:val="000000"/>
            <w:szCs w:val="24"/>
          </w:rPr>
          <w:t xml:space="preserve">understand the requirements established under the NYISO Market Administration and Control Area Services Tariff (“Services Tariff”) related to a “Competitive Entry Exemption” pursuant to </w:t>
        </w:r>
        <w:r w:rsidRPr="00F0586F">
          <w:rPr>
            <w:color w:val="000000"/>
            <w:szCs w:val="24"/>
          </w:rPr>
          <w:t xml:space="preserve">Section </w:t>
        </w:r>
        <w:r w:rsidRPr="00F0586F">
          <w:rPr>
            <w:szCs w:val="24"/>
          </w:rPr>
          <w:t>23.4.5.7.</w:t>
        </w:r>
      </w:ins>
      <w:ins w:id="274" w:author="kavanah" w:date="2015-04-01T12:27:00Z">
        <w:r w:rsidRPr="00F0586F">
          <w:rPr>
            <w:szCs w:val="24"/>
          </w:rPr>
          <w:t>9</w:t>
        </w:r>
      </w:ins>
      <w:ins w:id="275" w:author="kavanah" w:date="2015-04-01T12:26:00Z">
        <w:r w:rsidRPr="00F0586F">
          <w:rPr>
            <w:szCs w:val="24"/>
          </w:rPr>
          <w:t>.</w:t>
        </w:r>
      </w:ins>
    </w:p>
    <w:p w:rsidR="00791A4B" w:rsidRDefault="00F753F8" w:rsidP="00F425A1">
      <w:pPr>
        <w:pStyle w:val="alphapara"/>
        <w:spacing w:before="240" w:after="240" w:line="240" w:lineRule="auto"/>
        <w:rPr>
          <w:ins w:id="276" w:author="kavanah" w:date="2015-04-01T12:20:00Z"/>
          <w:color w:val="000000"/>
          <w:szCs w:val="24"/>
        </w:rPr>
      </w:pPr>
      <w:ins w:id="277" w:author="zimberlin" w:date="2015-04-13T14:25:00Z">
        <w:r>
          <w:rPr>
            <w:color w:val="000000"/>
            <w:szCs w:val="24"/>
          </w:rPr>
          <w:t>5.</w:t>
        </w:r>
        <w:r>
          <w:rPr>
            <w:color w:val="000000"/>
            <w:szCs w:val="24"/>
          </w:rPr>
          <w:tab/>
        </w:r>
      </w:ins>
      <w:ins w:id="278" w:author="kavanah" w:date="2015-04-01T12:20:00Z">
        <w:r>
          <w:rPr>
            <w:color w:val="000000"/>
            <w:szCs w:val="24"/>
          </w:rPr>
          <w:t>I have personal knowledge of the facts and circ</w:t>
        </w:r>
        <w:r>
          <w:rPr>
            <w:color w:val="000000"/>
            <w:szCs w:val="24"/>
          </w:rPr>
          <w:t xml:space="preserve">umstances supporting the Project’s request </w:t>
        </w:r>
      </w:ins>
      <w:ins w:id="279" w:author="kavanah" w:date="2015-04-01T12:28:00Z">
        <w:r>
          <w:rPr>
            <w:color w:val="000000"/>
            <w:szCs w:val="24"/>
          </w:rPr>
          <w:t xml:space="preserve">and eligibility </w:t>
        </w:r>
      </w:ins>
      <w:ins w:id="280" w:author="kavanah" w:date="2015-04-01T12:20:00Z">
        <w:r>
          <w:rPr>
            <w:color w:val="000000"/>
            <w:szCs w:val="24"/>
          </w:rPr>
          <w:t xml:space="preserve">for a Competitive Entry Exemption as of the date of this Certification and Acknowledgment, including all data and other information submitted by the Project to the NYISO.  </w:t>
        </w:r>
      </w:ins>
    </w:p>
    <w:p w:rsidR="00791A4B" w:rsidRDefault="00F753F8" w:rsidP="00F425A1">
      <w:pPr>
        <w:pStyle w:val="alphapara"/>
        <w:spacing w:before="240" w:after="240" w:line="240" w:lineRule="auto"/>
        <w:rPr>
          <w:ins w:id="281" w:author="kavanah" w:date="2015-04-01T12:29:00Z"/>
          <w:color w:val="000000"/>
          <w:szCs w:val="24"/>
        </w:rPr>
      </w:pPr>
      <w:ins w:id="282" w:author="zimberlin" w:date="2015-04-13T14:19:00Z">
        <w:r>
          <w:rPr>
            <w:color w:val="000000"/>
            <w:szCs w:val="24"/>
          </w:rPr>
          <w:t>6.</w:t>
        </w:r>
        <w:r>
          <w:rPr>
            <w:color w:val="000000"/>
            <w:szCs w:val="24"/>
          </w:rPr>
          <w:tab/>
        </w:r>
      </w:ins>
      <w:ins w:id="283" w:author="kavanah" w:date="2015-04-01T12:20:00Z">
        <w:r>
          <w:rPr>
            <w:color w:val="000000"/>
            <w:szCs w:val="24"/>
          </w:rPr>
          <w:t xml:space="preserve">To the </w:t>
        </w:r>
        <w:r w:rsidR="00C42165" w:rsidRPr="00C42165">
          <w:rPr>
            <w:rPrChange w:id="284" w:author="zimberlin" w:date="2015-04-13T14:23:00Z">
              <w:rPr>
                <w:color w:val="000000"/>
                <w:szCs w:val="24"/>
              </w:rPr>
            </w:rPrChange>
          </w:rPr>
          <w:t>best</w:t>
        </w:r>
        <w:r>
          <w:rPr>
            <w:color w:val="000000"/>
            <w:szCs w:val="24"/>
          </w:rPr>
          <w:t xml:space="preserve"> of my knowledge and having conducted due diligence that is current as of the date of this Certification there </w:t>
        </w:r>
        <w:r w:rsidRPr="00F0586F">
          <w:rPr>
            <w:color w:val="000000"/>
            <w:szCs w:val="24"/>
          </w:rPr>
          <w:t>[ARE/ARE NOT ANY</w:t>
        </w:r>
        <w:r>
          <w:rPr>
            <w:b/>
            <w:color w:val="000000"/>
            <w:szCs w:val="24"/>
          </w:rPr>
          <w:t>]</w:t>
        </w:r>
        <w:r>
          <w:rPr>
            <w:color w:val="000000"/>
            <w:szCs w:val="24"/>
          </w:rPr>
          <w:t xml:space="preserve"> direct or indirect</w:t>
        </w:r>
      </w:ins>
      <w:ins w:id="285" w:author="GK 4-7-2105" w:date="2015-04-08T16:34:00Z">
        <w:r>
          <w:rPr>
            <w:color w:val="000000"/>
            <w:szCs w:val="24"/>
          </w:rPr>
          <w:t xml:space="preserve"> </w:t>
        </w:r>
      </w:ins>
      <w:ins w:id="286" w:author="kavanah" w:date="2015-04-01T12:20:00Z">
        <w:r>
          <w:rPr>
            <w:szCs w:val="24"/>
          </w:rPr>
          <w:t>contractual relationships</w:t>
        </w:r>
        <w:r>
          <w:rPr>
            <w:color w:val="000000"/>
            <w:szCs w:val="24"/>
          </w:rPr>
          <w:t xml:space="preserve"> for the Project with a “Non-Qualifying Entry Sponsor,” as those terms are defined </w:t>
        </w:r>
        <w:r>
          <w:rPr>
            <w:color w:val="000000"/>
            <w:szCs w:val="24"/>
          </w:rPr>
          <w:t xml:space="preserve">in </w:t>
        </w:r>
      </w:ins>
      <w:ins w:id="287" w:author="kavanah" w:date="2015-04-01T12:30:00Z">
        <w:r>
          <w:rPr>
            <w:color w:val="000000"/>
            <w:szCs w:val="24"/>
          </w:rPr>
          <w:t>Section</w:t>
        </w:r>
      </w:ins>
      <w:ins w:id="288" w:author="kavanah" w:date="2015-04-01T12:31:00Z">
        <w:r>
          <w:rPr>
            <w:color w:val="000000"/>
            <w:szCs w:val="24"/>
          </w:rPr>
          <w:t xml:space="preserve"> </w:t>
        </w:r>
      </w:ins>
      <w:ins w:id="289" w:author="kavanah" w:date="2015-04-01T12:36:00Z">
        <w:r>
          <w:rPr>
            <w:color w:val="000000"/>
            <w:szCs w:val="24"/>
          </w:rPr>
          <w:t>23</w:t>
        </w:r>
      </w:ins>
      <w:ins w:id="290" w:author="kavanah" w:date="2015-04-01T12:30:00Z">
        <w:r>
          <w:rPr>
            <w:szCs w:val="24"/>
          </w:rPr>
          <w:t>.4.5.7.9</w:t>
        </w:r>
      </w:ins>
      <w:ins w:id="291" w:author="kavanah" w:date="2015-04-01T12:31:00Z">
        <w:r>
          <w:rPr>
            <w:szCs w:val="24"/>
          </w:rPr>
          <w:t xml:space="preserve"> of the Services Tariff</w:t>
        </w:r>
      </w:ins>
      <w:ins w:id="292" w:author="kavanah" w:date="2015-04-01T12:20:00Z">
        <w:r>
          <w:rPr>
            <w:color w:val="000000"/>
            <w:szCs w:val="24"/>
          </w:rPr>
          <w:t xml:space="preserve">. </w:t>
        </w:r>
      </w:ins>
      <w:ins w:id="293" w:author="kavanah" w:date="2015-04-01T12:37:00Z">
        <w:r>
          <w:rPr>
            <w:color w:val="000000"/>
            <w:szCs w:val="24"/>
          </w:rPr>
          <w:t xml:space="preserve"> I have listed all contracts with Non-Qualifying Entry Sponsors on Schedule 1 to this Certification.</w:t>
        </w:r>
      </w:ins>
    </w:p>
    <w:p w:rsidR="00791A4B" w:rsidRDefault="00F753F8" w:rsidP="00F425A1">
      <w:pPr>
        <w:pStyle w:val="alphapara"/>
        <w:spacing w:before="240" w:after="240" w:line="240" w:lineRule="auto"/>
        <w:rPr>
          <w:ins w:id="294" w:author="kavanah" w:date="2015-04-01T12:20:00Z"/>
          <w:b/>
          <w:i/>
          <w:color w:val="000000"/>
          <w:szCs w:val="24"/>
        </w:rPr>
      </w:pPr>
      <w:ins w:id="295" w:author="zimberlin" w:date="2015-04-13T14:19:00Z">
        <w:r>
          <w:rPr>
            <w:color w:val="000000"/>
            <w:szCs w:val="24"/>
          </w:rPr>
          <w:t>7.</w:t>
        </w:r>
        <w:r>
          <w:rPr>
            <w:color w:val="000000"/>
            <w:szCs w:val="24"/>
          </w:rPr>
          <w:tab/>
        </w:r>
      </w:ins>
      <w:ins w:id="296" w:author="kavanah" w:date="2015-04-01T12:20:00Z">
        <w:r>
          <w:rPr>
            <w:color w:val="000000"/>
            <w:szCs w:val="24"/>
          </w:rPr>
          <w:t xml:space="preserve">If the </w:t>
        </w:r>
        <w:r w:rsidR="00C42165" w:rsidRPr="00C42165">
          <w:rPr>
            <w:rPrChange w:id="297" w:author="zimberlin" w:date="2015-04-13T14:23:00Z">
              <w:rPr>
                <w:color w:val="000000"/>
                <w:szCs w:val="24"/>
              </w:rPr>
            </w:rPrChange>
          </w:rPr>
          <w:t>Answer</w:t>
        </w:r>
        <w:r>
          <w:rPr>
            <w:color w:val="000000"/>
            <w:szCs w:val="24"/>
          </w:rPr>
          <w:t xml:space="preserve"> to (</w:t>
        </w:r>
      </w:ins>
      <w:ins w:id="298" w:author="GK 4-7-2105" w:date="2015-04-08T15:57:00Z">
        <w:r>
          <w:rPr>
            <w:color w:val="000000"/>
            <w:szCs w:val="24"/>
          </w:rPr>
          <w:t>6</w:t>
        </w:r>
      </w:ins>
      <w:ins w:id="299" w:author="kavanah" w:date="2015-04-01T12:20:00Z">
        <w:r>
          <w:rPr>
            <w:color w:val="000000"/>
            <w:szCs w:val="24"/>
          </w:rPr>
          <w:t xml:space="preserve">) is that there are one or more direct or indirect </w:t>
        </w:r>
        <w:r>
          <w:rPr>
            <w:szCs w:val="24"/>
          </w:rPr>
          <w:t>contractual relationships</w:t>
        </w:r>
        <w:r>
          <w:rPr>
            <w:color w:val="000000"/>
            <w:szCs w:val="24"/>
          </w:rPr>
          <w:t xml:space="preserve"> for the Project with a Non-Qualifying Entry Sponsor, then I certify that to the best of my knowledge and having </w:t>
        </w:r>
        <w:r w:rsidRPr="00F0586F">
          <w:rPr>
            <w:color w:val="000000"/>
            <w:szCs w:val="24"/>
          </w:rPr>
          <w:t xml:space="preserve">conducted due diligence that they are “allowable contracts” </w:t>
        </w:r>
      </w:ins>
      <w:ins w:id="300" w:author="kavanah" w:date="2015-04-01T12:35:00Z">
        <w:r>
          <w:rPr>
            <w:color w:val="000000"/>
            <w:szCs w:val="24"/>
          </w:rPr>
          <w:t xml:space="preserve">as set forth in Section </w:t>
        </w:r>
        <w:r>
          <w:rPr>
            <w:szCs w:val="24"/>
          </w:rPr>
          <w:t>23.4.5.7.9.1.3(i) – (</w:t>
        </w:r>
      </w:ins>
      <w:ins w:id="301" w:author="kavanah" w:date="2015-04-01T12:41:00Z">
        <w:r>
          <w:rPr>
            <w:szCs w:val="24"/>
          </w:rPr>
          <w:t>viii</w:t>
        </w:r>
      </w:ins>
      <w:ins w:id="302" w:author="kavanah" w:date="2015-04-01T12:35:00Z">
        <w:r>
          <w:rPr>
            <w:szCs w:val="24"/>
          </w:rPr>
          <w:t>) of</w:t>
        </w:r>
        <w:r>
          <w:rPr>
            <w:szCs w:val="24"/>
          </w:rPr>
          <w:t xml:space="preserve"> the Services Tariff</w:t>
        </w:r>
      </w:ins>
      <w:ins w:id="303" w:author="kavanah" w:date="2015-04-01T12:20:00Z">
        <w:r>
          <w:rPr>
            <w:color w:val="000000"/>
            <w:szCs w:val="24"/>
          </w:rPr>
          <w:t>.</w:t>
        </w:r>
      </w:ins>
      <w:ins w:id="304" w:author="kavanah" w:date="2015-04-01T12:38:00Z">
        <w:r>
          <w:rPr>
            <w:color w:val="000000"/>
            <w:szCs w:val="24"/>
          </w:rPr>
          <w:t xml:space="preserve">  </w:t>
        </w:r>
      </w:ins>
      <w:ins w:id="305" w:author="kavanah" w:date="2015-04-01T12:20:00Z">
        <w:r>
          <w:rPr>
            <w:color w:val="000000"/>
            <w:szCs w:val="24"/>
          </w:rPr>
          <w:t xml:space="preserve">  </w:t>
        </w:r>
      </w:ins>
    </w:p>
    <w:p w:rsidR="00791A4B" w:rsidRDefault="00F753F8" w:rsidP="00F425A1">
      <w:pPr>
        <w:pStyle w:val="alphapara"/>
        <w:spacing w:before="240" w:after="240" w:line="240" w:lineRule="auto"/>
        <w:rPr>
          <w:ins w:id="306" w:author="kavanah" w:date="2015-04-01T12:20:00Z"/>
          <w:color w:val="000000"/>
          <w:szCs w:val="24"/>
        </w:rPr>
      </w:pPr>
      <w:ins w:id="307" w:author="zimberlin" w:date="2015-04-13T14:19:00Z">
        <w:r>
          <w:rPr>
            <w:color w:val="000000"/>
            <w:szCs w:val="24"/>
          </w:rPr>
          <w:t>8.</w:t>
        </w:r>
        <w:r>
          <w:rPr>
            <w:color w:val="000000"/>
            <w:szCs w:val="24"/>
          </w:rPr>
          <w:tab/>
        </w:r>
      </w:ins>
      <w:ins w:id="308" w:author="kavanah" w:date="2015-04-01T12:20:00Z">
        <w:r>
          <w:rPr>
            <w:color w:val="000000"/>
            <w:szCs w:val="24"/>
          </w:rPr>
          <w:t xml:space="preserve">To the </w:t>
        </w:r>
        <w:r w:rsidR="00C42165" w:rsidRPr="00C42165">
          <w:rPr>
            <w:rPrChange w:id="309" w:author="zimberlin" w:date="2015-04-13T14:23:00Z">
              <w:rPr>
                <w:color w:val="000000"/>
                <w:szCs w:val="24"/>
              </w:rPr>
            </w:rPrChange>
          </w:rPr>
          <w:t>best</w:t>
        </w:r>
        <w:r>
          <w:rPr>
            <w:color w:val="000000"/>
            <w:szCs w:val="24"/>
          </w:rPr>
          <w:t xml:space="preserve"> of my knowledge and having conducted due diligence</w:t>
        </w:r>
      </w:ins>
      <w:ins w:id="310" w:author="GK 4-7-2105" w:date="2015-04-08T16:01:00Z">
        <w:r>
          <w:rPr>
            <w:color w:val="000000"/>
            <w:szCs w:val="24"/>
          </w:rPr>
          <w:t xml:space="preserve"> that is current as of the date of this Certification</w:t>
        </w:r>
      </w:ins>
      <w:ins w:id="311" w:author="kavanah" w:date="2015-04-01T12:20:00Z">
        <w:r>
          <w:rPr>
            <w:color w:val="000000"/>
            <w:szCs w:val="24"/>
          </w:rPr>
          <w:t xml:space="preserve">, </w:t>
        </w:r>
      </w:ins>
      <w:ins w:id="312" w:author="GK 4-7-2105" w:date="2015-04-08T16:08:00Z">
        <w:r>
          <w:rPr>
            <w:color w:val="000000"/>
            <w:szCs w:val="24"/>
          </w:rPr>
          <w:t xml:space="preserve">(a) </w:t>
        </w:r>
      </w:ins>
      <w:ins w:id="313" w:author="kavanah" w:date="2015-04-01T12:20:00Z">
        <w:r>
          <w:rPr>
            <w:color w:val="000000"/>
            <w:szCs w:val="24"/>
          </w:rPr>
          <w:t>n</w:t>
        </w:r>
        <w:r>
          <w:rPr>
            <w:szCs w:val="24"/>
          </w:rPr>
          <w:t xml:space="preserve">o unexecuted agreements, written or unwritten, with a </w:t>
        </w:r>
        <w:r>
          <w:rPr>
            <w:color w:val="000000"/>
            <w:szCs w:val="24"/>
          </w:rPr>
          <w:t>Non-Qualifying Entry Sponsor exist that would support the development of the Pro</w:t>
        </w:r>
        <w:r>
          <w:rPr>
            <w:color w:val="000000"/>
            <w:szCs w:val="24"/>
          </w:rPr>
          <w:t>ject</w:t>
        </w:r>
      </w:ins>
      <w:ins w:id="314" w:author="GK 4-7-2105" w:date="2015-04-08T16:03:00Z">
        <w:r>
          <w:rPr>
            <w:color w:val="000000"/>
            <w:szCs w:val="24"/>
          </w:rPr>
          <w:t xml:space="preserve"> </w:t>
        </w:r>
        <w:r w:rsidRPr="00F0586F">
          <w:rPr>
            <w:szCs w:val="24"/>
          </w:rPr>
          <w:t>except those agreements that would not constitute a non-qualifyin</w:t>
        </w:r>
      </w:ins>
      <w:ins w:id="315" w:author="GK 4-7-2105" w:date="2015-04-08T16:04:00Z">
        <w:r w:rsidRPr="00F0586F">
          <w:rPr>
            <w:szCs w:val="24"/>
          </w:rPr>
          <w:t xml:space="preserve">g </w:t>
        </w:r>
      </w:ins>
      <w:ins w:id="316" w:author="GK 4-7-2105" w:date="2015-04-08T16:03:00Z">
        <w:r w:rsidRPr="00F0586F">
          <w:rPr>
            <w:szCs w:val="24"/>
          </w:rPr>
          <w:t>contractual relationship, as set forth in Section 23.4.5.7.9.1.3(i) – (viii)</w:t>
        </w:r>
      </w:ins>
      <w:ins w:id="317" w:author="GK 4-7-2105" w:date="2015-04-08T16:05:00Z">
        <w:r w:rsidRPr="00F0586F">
          <w:rPr>
            <w:szCs w:val="24"/>
          </w:rPr>
          <w:t xml:space="preserve"> of the Services Tariff, </w:t>
        </w:r>
      </w:ins>
      <w:ins w:id="318" w:author="GK 4-7-2105" w:date="2015-04-08T16:06:00Z">
        <w:r w:rsidRPr="00F0586F">
          <w:rPr>
            <w:szCs w:val="24"/>
          </w:rPr>
          <w:t xml:space="preserve">and </w:t>
        </w:r>
      </w:ins>
      <w:ins w:id="319" w:author="GK 4-7-2105" w:date="2015-04-08T16:08:00Z">
        <w:r w:rsidRPr="00F0586F">
          <w:rPr>
            <w:szCs w:val="24"/>
          </w:rPr>
          <w:t xml:space="preserve">(b) </w:t>
        </w:r>
      </w:ins>
      <w:ins w:id="320" w:author="GK 4-7-2105" w:date="2015-04-08T16:06:00Z">
        <w:r w:rsidRPr="00F0586F">
          <w:rPr>
            <w:szCs w:val="24"/>
          </w:rPr>
          <w:t xml:space="preserve">all agreements </w:t>
        </w:r>
      </w:ins>
      <w:ins w:id="321" w:author="GK 4-7-2105" w:date="2015-04-08T16:09:00Z">
        <w:r w:rsidRPr="00F0586F">
          <w:rPr>
            <w:szCs w:val="24"/>
          </w:rPr>
          <w:t>that would not constitute a non-qualifying contractual relat</w:t>
        </w:r>
        <w:r w:rsidRPr="00F0586F">
          <w:rPr>
            <w:szCs w:val="24"/>
          </w:rPr>
          <w:t xml:space="preserve">ionship are </w:t>
        </w:r>
      </w:ins>
      <w:ins w:id="322" w:author="GK 4-7-2105" w:date="2015-04-08T16:06:00Z">
        <w:r w:rsidRPr="00F0586F">
          <w:rPr>
            <w:szCs w:val="24"/>
          </w:rPr>
          <w:t>on Schedule 1 to this certification.</w:t>
        </w:r>
      </w:ins>
      <w:ins w:id="323" w:author="kavanah" w:date="2015-04-01T12:20:00Z">
        <w:r>
          <w:rPr>
            <w:color w:val="000000"/>
            <w:szCs w:val="24"/>
          </w:rPr>
          <w:t xml:space="preserve"> </w:t>
        </w:r>
      </w:ins>
    </w:p>
    <w:p w:rsidR="00791A4B" w:rsidRDefault="00F753F8" w:rsidP="00F425A1">
      <w:pPr>
        <w:pStyle w:val="alphapara"/>
        <w:spacing w:before="240" w:after="240" w:line="240" w:lineRule="auto"/>
        <w:rPr>
          <w:ins w:id="324" w:author="kavanah" w:date="2015-04-01T12:20:00Z"/>
          <w:color w:val="000000"/>
          <w:szCs w:val="24"/>
        </w:rPr>
      </w:pPr>
      <w:ins w:id="325" w:author="zimberlin" w:date="2015-04-13T14:19:00Z">
        <w:r>
          <w:rPr>
            <w:color w:val="000000"/>
            <w:szCs w:val="24"/>
          </w:rPr>
          <w:t>9.</w:t>
        </w:r>
        <w:r>
          <w:rPr>
            <w:color w:val="000000"/>
            <w:szCs w:val="24"/>
          </w:rPr>
          <w:tab/>
        </w:r>
      </w:ins>
      <w:ins w:id="326" w:author="kavanah" w:date="2015-04-01T12:20:00Z">
        <w:r>
          <w:rPr>
            <w:color w:val="000000"/>
            <w:szCs w:val="24"/>
          </w:rPr>
          <w:t xml:space="preserve">To the best of my knowledge and having conducted due diligence, the Project is not </w:t>
        </w:r>
      </w:ins>
      <w:ins w:id="327" w:author="allendm" w:date="2015-04-08T12:21:00Z">
        <w:r>
          <w:rPr>
            <w:color w:val="000000"/>
            <w:szCs w:val="24"/>
          </w:rPr>
          <w:t>a Non-Qualifying Entry Sponsor</w:t>
        </w:r>
      </w:ins>
      <w:ins w:id="328" w:author="kavanah" w:date="2015-04-01T12:20:00Z">
        <w:r>
          <w:rPr>
            <w:color w:val="000000"/>
            <w:szCs w:val="24"/>
          </w:rPr>
          <w:t xml:space="preserve">, and </w:t>
        </w:r>
      </w:ins>
      <w:ins w:id="329" w:author="allendm" w:date="2015-04-08T12:21:00Z">
        <w:r>
          <w:rPr>
            <w:color w:val="000000"/>
            <w:szCs w:val="24"/>
          </w:rPr>
          <w:t xml:space="preserve">it </w:t>
        </w:r>
      </w:ins>
      <w:ins w:id="330" w:author="kavanah" w:date="2015-04-01T12:20:00Z">
        <w:r>
          <w:rPr>
            <w:color w:val="000000"/>
            <w:szCs w:val="24"/>
          </w:rPr>
          <w:t xml:space="preserve">is not an </w:t>
        </w:r>
      </w:ins>
      <w:ins w:id="331" w:author="GK 4-7-2105" w:date="2015-04-08T16:38:00Z">
        <w:r>
          <w:rPr>
            <w:color w:val="000000"/>
            <w:szCs w:val="24"/>
          </w:rPr>
          <w:t>“</w:t>
        </w:r>
      </w:ins>
      <w:ins w:id="332" w:author="kavanah" w:date="2015-04-01T12:20:00Z">
        <w:r>
          <w:rPr>
            <w:color w:val="000000"/>
            <w:szCs w:val="24"/>
          </w:rPr>
          <w:t>Affiliate</w:t>
        </w:r>
      </w:ins>
      <w:ins w:id="333" w:author="GK 4-7-2105" w:date="2015-04-08T16:38:00Z">
        <w:r>
          <w:rPr>
            <w:color w:val="000000"/>
            <w:szCs w:val="24"/>
          </w:rPr>
          <w:t xml:space="preserve">” (as Affiliate is defined in </w:t>
        </w:r>
        <w:r w:rsidRPr="00F0586F">
          <w:rPr>
            <w:color w:val="000000"/>
            <w:szCs w:val="24"/>
          </w:rPr>
          <w:t>Section 2.1 of</w:t>
        </w:r>
        <w:r>
          <w:rPr>
            <w:color w:val="000000"/>
            <w:szCs w:val="24"/>
          </w:rPr>
          <w:t xml:space="preserve"> the Services Tariff</w:t>
        </w:r>
      </w:ins>
      <w:ins w:id="334" w:author="GK 4-7-2105" w:date="2015-04-08T16:39:00Z">
        <w:r>
          <w:rPr>
            <w:color w:val="000000"/>
            <w:szCs w:val="24"/>
          </w:rPr>
          <w:t>)</w:t>
        </w:r>
      </w:ins>
      <w:r>
        <w:rPr>
          <w:color w:val="000000"/>
          <w:szCs w:val="24"/>
        </w:rPr>
        <w:t xml:space="preserve"> </w:t>
      </w:r>
      <w:ins w:id="335" w:author="kavanah" w:date="2015-04-01T12:20:00Z">
        <w:r>
          <w:rPr>
            <w:color w:val="000000"/>
            <w:szCs w:val="24"/>
          </w:rPr>
          <w:t>of</w:t>
        </w:r>
      </w:ins>
      <w:ins w:id="336" w:author="GK 4-7-2105" w:date="2015-04-08T16:39:00Z">
        <w:r>
          <w:rPr>
            <w:color w:val="000000"/>
            <w:szCs w:val="24"/>
          </w:rPr>
          <w:t>,</w:t>
        </w:r>
      </w:ins>
      <w:ins w:id="337" w:author="kavanah" w:date="2015-04-01T12:20:00Z">
        <w:r>
          <w:rPr>
            <w:color w:val="000000"/>
            <w:szCs w:val="24"/>
          </w:rPr>
          <w:t xml:space="preserve"> a Non-Qualifying Entry Sponsor.</w:t>
        </w:r>
      </w:ins>
    </w:p>
    <w:p w:rsidR="00791A4B" w:rsidRDefault="00F753F8" w:rsidP="00F425A1">
      <w:pPr>
        <w:pStyle w:val="alphapara"/>
        <w:spacing w:before="240" w:after="240" w:line="240" w:lineRule="auto"/>
        <w:rPr>
          <w:ins w:id="338" w:author="GK Thurs" w:date="2015-04-02T13:01:00Z"/>
          <w:color w:val="000000"/>
          <w:szCs w:val="24"/>
        </w:rPr>
      </w:pPr>
      <w:ins w:id="339" w:author="zimberlin" w:date="2015-04-13T14:25:00Z">
        <w:r>
          <w:t>10.</w:t>
        </w:r>
        <w:r>
          <w:tab/>
        </w:r>
      </w:ins>
      <w:ins w:id="340" w:author="kavanah" w:date="2015-04-01T12:20:00Z">
        <w:r w:rsidR="00C42165" w:rsidRPr="00C42165">
          <w:rPr>
            <w:rPrChange w:id="341" w:author="zimberlin" w:date="2015-04-13T14:23:00Z">
              <w:rPr>
                <w:color w:val="000000"/>
                <w:szCs w:val="24"/>
              </w:rPr>
            </w:rPrChange>
          </w:rPr>
          <w:t>The</w:t>
        </w:r>
        <w:r>
          <w:rPr>
            <w:color w:val="000000"/>
            <w:szCs w:val="24"/>
          </w:rPr>
          <w:t xml:space="preserve"> Project shall provide any information or cooperation requested by the NYISO in connection with the Project’s request for a Competitive Entry Exemption.</w:t>
        </w:r>
      </w:ins>
    </w:p>
    <w:p w:rsidR="00791A4B" w:rsidRPr="00F425A1" w:rsidRDefault="00F753F8" w:rsidP="00F425A1">
      <w:pPr>
        <w:pStyle w:val="alphapara"/>
        <w:spacing w:before="240" w:after="240" w:line="240" w:lineRule="auto"/>
        <w:rPr>
          <w:ins w:id="342" w:author="kavanah" w:date="2015-04-01T12:20:00Z"/>
          <w:color w:val="000000"/>
        </w:rPr>
      </w:pPr>
      <w:ins w:id="343" w:author="zimberlin" w:date="2015-04-13T14:23:00Z">
        <w:r>
          <w:t>11.</w:t>
        </w:r>
        <w:r>
          <w:tab/>
        </w:r>
      </w:ins>
      <w:ins w:id="344" w:author="GK Thurs" w:date="2015-04-02T13:01:00Z">
        <w:r>
          <w:t xml:space="preserve">All parents or Affiliates of the </w:t>
        </w:r>
        <w:r>
          <w:t>Project shall provide any information or cooperation requested by the ISO</w:t>
        </w:r>
      </w:ins>
      <w:ins w:id="345" w:author="GK Thurs" w:date="2015-04-02T13:02:00Z">
        <w:r>
          <w:t>.</w:t>
        </w:r>
      </w:ins>
    </w:p>
    <w:p w:rsidR="00791A4B" w:rsidRDefault="00F753F8" w:rsidP="00C67880">
      <w:pPr>
        <w:autoSpaceDE w:val="0"/>
        <w:autoSpaceDN w:val="0"/>
        <w:adjustRightInd w:val="0"/>
        <w:ind w:left="360"/>
        <w:rPr>
          <w:ins w:id="346" w:author="kavanah" w:date="2015-04-01T12:20:00Z"/>
        </w:rPr>
      </w:pPr>
      <w:ins w:id="347" w:author="kavanah" w:date="2015-04-01T12:20:00Z">
        <w:r>
          <w:t>I hereby acknowledge on behalf of myself</w:t>
        </w:r>
      </w:ins>
      <w:ins w:id="348" w:author="GK 4-7-2105" w:date="2015-04-07T19:27:00Z">
        <w:r>
          <w:t xml:space="preserve">, </w:t>
        </w:r>
      </w:ins>
      <w:ins w:id="349" w:author="kavanah" w:date="2015-04-01T12:20:00Z">
        <w:r>
          <w:t>[</w:t>
        </w:r>
        <w:r w:rsidRPr="00F0586F">
          <w:t>INSERT NAME OF PROJECT</w:t>
        </w:r>
        <w:r>
          <w:t>]</w:t>
        </w:r>
      </w:ins>
      <w:ins w:id="350" w:author="GK 4-7-2105" w:date="2015-04-07T19:27:00Z">
        <w:r>
          <w:t xml:space="preserve">, </w:t>
        </w:r>
        <w:r w:rsidRPr="00F0586F">
          <w:rPr>
            <w:color w:val="000000"/>
          </w:rPr>
          <w:t>and [</w:t>
        </w:r>
      </w:ins>
      <w:ins w:id="351" w:author="GK 4-7-2105" w:date="2015-04-07T19:35:00Z">
        <w:r w:rsidRPr="00F0586F">
          <w:rPr>
            <w:color w:val="000000"/>
          </w:rPr>
          <w:t>NAME OF DEVELOPER</w:t>
        </w:r>
      </w:ins>
      <w:ins w:id="352" w:author="GK 4-7-2105" w:date="2015-04-07T19:27:00Z">
        <w:r w:rsidRPr="00F0586F">
          <w:rPr>
            <w:color w:val="000000"/>
          </w:rPr>
          <w:t>]</w:t>
        </w:r>
      </w:ins>
      <w:ins w:id="353" w:author="kavanah" w:date="2015-04-01T12:20:00Z">
        <w:r>
          <w:t xml:space="preserve"> that:</w:t>
        </w:r>
      </w:ins>
    </w:p>
    <w:p w:rsidR="00791A4B" w:rsidRDefault="00F753F8" w:rsidP="00F425A1">
      <w:pPr>
        <w:pStyle w:val="alphapara"/>
        <w:spacing w:before="240" w:after="240" w:line="240" w:lineRule="auto"/>
        <w:rPr>
          <w:ins w:id="354" w:author="kavanah" w:date="2015-04-01T12:20:00Z"/>
          <w:szCs w:val="24"/>
        </w:rPr>
      </w:pPr>
      <w:ins w:id="355" w:author="zimberlin" w:date="2015-04-13T14:27:00Z">
        <w:r>
          <w:rPr>
            <w:szCs w:val="24"/>
          </w:rPr>
          <w:t>a.</w:t>
        </w:r>
        <w:r>
          <w:rPr>
            <w:szCs w:val="24"/>
          </w:rPr>
          <w:tab/>
        </w:r>
      </w:ins>
      <w:ins w:id="356" w:author="kavanah" w:date="2015-04-01T12:20:00Z">
        <w:r>
          <w:rPr>
            <w:szCs w:val="24"/>
          </w:rPr>
          <w:t xml:space="preserve">The </w:t>
        </w:r>
        <w:r w:rsidR="00C42165" w:rsidRPr="00C42165">
          <w:rPr>
            <w:rPrChange w:id="357" w:author="zimberlin" w:date="2015-04-13T14:25:00Z">
              <w:rPr>
                <w:szCs w:val="24"/>
              </w:rPr>
            </w:rPrChange>
          </w:rPr>
          <w:t>submission</w:t>
        </w:r>
        <w:r>
          <w:rPr>
            <w:szCs w:val="24"/>
          </w:rPr>
          <w:t xml:space="preserve"> of false, misleading, or inaccurate information, or the failure t</w:t>
        </w:r>
        <w:r>
          <w:rPr>
            <w:szCs w:val="24"/>
          </w:rPr>
          <w:t xml:space="preserve">o submit information requested by the NYISO related to </w:t>
        </w:r>
        <w:r>
          <w:rPr>
            <w:color w:val="000000"/>
            <w:szCs w:val="24"/>
          </w:rPr>
          <w:t>the Project</w:t>
        </w:r>
        <w:r>
          <w:rPr>
            <w:szCs w:val="24"/>
          </w:rPr>
          <w:t xml:space="preserve">’s request for a Competitive Entry Exemption, including but not limited to information contained or submitted in </w:t>
        </w:r>
      </w:ins>
      <w:ins w:id="358" w:author="GK Thurs" w:date="2015-04-02T12:57:00Z">
        <w:r>
          <w:rPr>
            <w:szCs w:val="24"/>
          </w:rPr>
          <w:t>this</w:t>
        </w:r>
      </w:ins>
      <w:ins w:id="359" w:author="GK Thurs" w:date="2015-04-03T00:02:00Z">
        <w:r>
          <w:rPr>
            <w:szCs w:val="24"/>
          </w:rPr>
          <w:t xml:space="preserve"> </w:t>
        </w:r>
      </w:ins>
      <w:ins w:id="360" w:author="kavanah" w:date="2015-04-01T12:20:00Z">
        <w:r>
          <w:rPr>
            <w:szCs w:val="24"/>
          </w:rPr>
          <w:t xml:space="preserve">Certification and Acknowledgement on behalf of the Project, shall constitute a violation of </w:t>
        </w:r>
        <w:r w:rsidRPr="00F0586F">
          <w:rPr>
            <w:szCs w:val="24"/>
          </w:rPr>
          <w:t>Section 4.1.7 of</w:t>
        </w:r>
        <w:r>
          <w:rPr>
            <w:szCs w:val="24"/>
          </w:rPr>
          <w:t xml:space="preserve"> the Services Tariff, </w:t>
        </w:r>
      </w:ins>
      <w:ins w:id="361" w:author="GK 4-7-2105" w:date="2015-04-08T15:16:00Z">
        <w:r>
          <w:rPr>
            <w:szCs w:val="24"/>
          </w:rPr>
          <w:t xml:space="preserve">and subject to the Commission’s review, a violation </w:t>
        </w:r>
      </w:ins>
      <w:ins w:id="362" w:author="kavanah" w:date="2015-04-01T12:20:00Z">
        <w:r>
          <w:rPr>
            <w:szCs w:val="24"/>
          </w:rPr>
          <w:t>of the Commission’s regulations and Section 316A of the Federal Power Act.</w:t>
        </w:r>
        <w:r>
          <w:rPr>
            <w:szCs w:val="24"/>
          </w:rPr>
          <w:t xml:space="preserve"> </w:t>
        </w:r>
      </w:ins>
    </w:p>
    <w:p w:rsidR="00791A4B" w:rsidRDefault="00F753F8" w:rsidP="00F425A1">
      <w:pPr>
        <w:pStyle w:val="alphapara"/>
        <w:spacing w:before="240" w:after="240" w:line="240" w:lineRule="auto"/>
        <w:rPr>
          <w:ins w:id="363" w:author="kavanah" w:date="2015-04-01T12:20:00Z"/>
          <w:szCs w:val="24"/>
        </w:rPr>
      </w:pPr>
      <w:ins w:id="364" w:author="zimberlin" w:date="2015-04-13T14:27:00Z">
        <w:r>
          <w:rPr>
            <w:szCs w:val="24"/>
          </w:rPr>
          <w:t>b.</w:t>
        </w:r>
        <w:r>
          <w:rPr>
            <w:szCs w:val="24"/>
          </w:rPr>
          <w:tab/>
        </w:r>
      </w:ins>
      <w:ins w:id="365" w:author="kavanah" w:date="2015-04-01T12:20:00Z">
        <w:r>
          <w:rPr>
            <w:szCs w:val="24"/>
          </w:rPr>
          <w:t xml:space="preserve">If </w:t>
        </w:r>
        <w:r w:rsidR="00C42165" w:rsidRPr="00C42165">
          <w:rPr>
            <w:rPrChange w:id="366" w:author="zimberlin" w:date="2015-04-13T14:25:00Z">
              <w:rPr>
                <w:szCs w:val="24"/>
              </w:rPr>
            </w:rPrChange>
          </w:rPr>
          <w:t>the</w:t>
        </w:r>
        <w:r>
          <w:rPr>
            <w:szCs w:val="24"/>
          </w:rPr>
          <w:t xml:space="preserve"> Project submits false, misleading, or inaccurate information, or fails to submit requested information to the NYISO, including but not limited to information contained or submitted in </w:t>
        </w:r>
      </w:ins>
      <w:ins w:id="367" w:author="GK Thurs" w:date="2015-04-02T12:58:00Z">
        <w:r>
          <w:rPr>
            <w:szCs w:val="24"/>
          </w:rPr>
          <w:t>this</w:t>
        </w:r>
      </w:ins>
      <w:ins w:id="368" w:author="GK Thurs" w:date="2015-04-03T00:03:00Z">
        <w:r>
          <w:rPr>
            <w:szCs w:val="24"/>
          </w:rPr>
          <w:t xml:space="preserve"> </w:t>
        </w:r>
      </w:ins>
      <w:ins w:id="369" w:author="kavanah" w:date="2015-04-01T12:20:00Z">
        <w:r>
          <w:rPr>
            <w:szCs w:val="24"/>
          </w:rPr>
          <w:t>Certification and Acknowledgement on behalf of the Proj</w:t>
        </w:r>
        <w:r>
          <w:rPr>
            <w:szCs w:val="24"/>
          </w:rPr>
          <w:t>ect, it shall cease to be eligible for a Competitive Entry Exemption and, if the Project has already received a Competitive Entry Exemption, that exemption shall be subject to revocation by the NYISO or the Commission after which the Project shall be subje</w:t>
        </w:r>
        <w:r>
          <w:rPr>
            <w:szCs w:val="24"/>
          </w:rPr>
          <w:t>ct to an Offer Floor set at the Mitigation Net CONE Offer Floor</w:t>
        </w:r>
      </w:ins>
      <w:ins w:id="370" w:author="kavanah" w:date="2015-04-01T12:47:00Z">
        <w:r>
          <w:rPr>
            <w:szCs w:val="24"/>
          </w:rPr>
          <w:t xml:space="preserve"> (such value calculated based on </w:t>
        </w:r>
      </w:ins>
      <w:ins w:id="371" w:author="GK Thurs" w:date="2015-04-03T04:48:00Z">
        <w:r>
          <w:rPr>
            <w:szCs w:val="24"/>
          </w:rPr>
          <w:t xml:space="preserve">the date it first Offers UCAP, </w:t>
        </w:r>
      </w:ins>
      <w:ins w:id="372" w:author="GK Thurs" w:date="2015-04-03T04:41:00Z">
        <w:r>
          <w:rPr>
            <w:szCs w:val="24"/>
          </w:rPr>
          <w:t>in accordance with</w:t>
        </w:r>
      </w:ins>
      <w:ins w:id="373" w:author="GK Thurs" w:date="2015-04-03T04:49:00Z">
        <w:r>
          <w:rPr>
            <w:szCs w:val="24"/>
          </w:rPr>
          <w:t xml:space="preserve"> Section </w:t>
        </w:r>
      </w:ins>
      <w:ins w:id="374" w:author="GK Thurs" w:date="2015-04-03T04:41:00Z">
        <w:r>
          <w:rPr>
            <w:szCs w:val="24"/>
          </w:rPr>
          <w:t>23.4.5.7.3.</w:t>
        </w:r>
      </w:ins>
      <w:ins w:id="375" w:author="GK 4-7-2105" w:date="2015-04-07T20:15:00Z">
        <w:r>
          <w:rPr>
            <w:szCs w:val="24"/>
          </w:rPr>
          <w:t>7</w:t>
        </w:r>
      </w:ins>
      <w:ins w:id="376" w:author="GK Thurs" w:date="2015-04-03T04:48:00Z">
        <w:r>
          <w:rPr>
            <w:szCs w:val="24"/>
          </w:rPr>
          <w:t>,</w:t>
        </w:r>
      </w:ins>
      <w:ins w:id="377" w:author="GK Thurs" w:date="2015-04-03T04:41:00Z">
        <w:r>
          <w:rPr>
            <w:szCs w:val="24"/>
          </w:rPr>
          <w:t xml:space="preserve"> </w:t>
        </w:r>
      </w:ins>
      <w:ins w:id="378" w:author="kavanah" w:date="2015-04-01T12:47:00Z">
        <w:r>
          <w:rPr>
            <w:szCs w:val="24"/>
          </w:rPr>
          <w:t xml:space="preserve">and </w:t>
        </w:r>
      </w:ins>
      <w:ins w:id="379" w:author="GK Thurs" w:date="2015-04-03T04:42:00Z">
        <w:r>
          <w:rPr>
            <w:szCs w:val="24"/>
          </w:rPr>
          <w:t xml:space="preserve">adjusted annually </w:t>
        </w:r>
      </w:ins>
      <w:ins w:id="380" w:author="kavanah" w:date="2015-04-01T12:47:00Z">
        <w:r>
          <w:rPr>
            <w:szCs w:val="24"/>
          </w:rPr>
          <w:t xml:space="preserve">in accordance with </w:t>
        </w:r>
      </w:ins>
      <w:ins w:id="381" w:author="GK Thurs" w:date="2015-04-02T12:59:00Z">
        <w:r>
          <w:rPr>
            <w:szCs w:val="24"/>
          </w:rPr>
          <w:t>Section</w:t>
        </w:r>
      </w:ins>
      <w:ins w:id="382" w:author="GK Thurs" w:date="2015-04-03T04:43:00Z">
        <w:r>
          <w:rPr>
            <w:szCs w:val="24"/>
          </w:rPr>
          <w:t xml:space="preserve"> </w:t>
        </w:r>
      </w:ins>
      <w:ins w:id="383" w:author="kavanah" w:date="2015-04-01T12:47:00Z">
        <w:r>
          <w:rPr>
            <w:szCs w:val="24"/>
          </w:rPr>
          <w:t>23.4.5.7</w:t>
        </w:r>
      </w:ins>
      <w:ins w:id="384" w:author="GK Thurs" w:date="2015-04-02T12:58:00Z">
        <w:r>
          <w:rPr>
            <w:szCs w:val="24"/>
          </w:rPr>
          <w:t xml:space="preserve"> of the Services Tariff</w:t>
        </w:r>
      </w:ins>
      <w:ins w:id="385" w:author="kavanah" w:date="2015-04-01T12:47:00Z">
        <w:r>
          <w:rPr>
            <w:szCs w:val="24"/>
          </w:rPr>
          <w:t xml:space="preserve">,) </w:t>
        </w:r>
      </w:ins>
      <w:ins w:id="386" w:author="GK 4-7-2105" w:date="2015-04-07T19:50:00Z">
        <w:r>
          <w:rPr>
            <w:szCs w:val="24"/>
          </w:rPr>
          <w:t>starting with</w:t>
        </w:r>
      </w:ins>
      <w:r>
        <w:rPr>
          <w:szCs w:val="24"/>
        </w:rPr>
        <w:t xml:space="preserve"> </w:t>
      </w:r>
      <w:ins w:id="387" w:author="kavanah" w:date="2015-04-01T12:20:00Z">
        <w:r>
          <w:rPr>
            <w:szCs w:val="24"/>
          </w:rPr>
          <w:t xml:space="preserve">the date of the revocation pursuant to </w:t>
        </w:r>
      </w:ins>
      <w:ins w:id="388" w:author="kavanah" w:date="2015-04-01T12:48:00Z">
        <w:r>
          <w:rPr>
            <w:szCs w:val="24"/>
          </w:rPr>
          <w:t xml:space="preserve">Section </w:t>
        </w:r>
        <w:r w:rsidRPr="00F0586F">
          <w:rPr>
            <w:szCs w:val="24"/>
          </w:rPr>
          <w:t>23.4.5.7.9.5.3 of the Services T</w:t>
        </w:r>
      </w:ins>
      <w:ins w:id="389" w:author="kavanah" w:date="2015-04-01T12:20:00Z">
        <w:r>
          <w:rPr>
            <w:szCs w:val="24"/>
          </w:rPr>
          <w:t>ariff</w:t>
        </w:r>
      </w:ins>
      <w:ins w:id="390" w:author="kavanah" w:date="2015-04-01T12:48:00Z">
        <w:r>
          <w:rPr>
            <w:szCs w:val="24"/>
          </w:rPr>
          <w:t>.</w:t>
        </w:r>
      </w:ins>
      <w:ins w:id="391" w:author="kavanah" w:date="2015-04-01T12:20:00Z">
        <w:r>
          <w:rPr>
            <w:szCs w:val="24"/>
          </w:rPr>
          <w:t xml:space="preserve">   </w:t>
        </w:r>
      </w:ins>
    </w:p>
    <w:p w:rsidR="00791A4B" w:rsidRDefault="00F753F8" w:rsidP="00F425A1">
      <w:pPr>
        <w:pStyle w:val="alphapara"/>
        <w:spacing w:before="240" w:after="240" w:line="240" w:lineRule="auto"/>
        <w:rPr>
          <w:ins w:id="392" w:author="kavanah" w:date="2015-04-01T12:20:00Z"/>
          <w:szCs w:val="24"/>
        </w:rPr>
      </w:pPr>
      <w:ins w:id="393" w:author="zimberlin" w:date="2015-04-13T14:27:00Z">
        <w:r>
          <w:rPr>
            <w:szCs w:val="24"/>
          </w:rPr>
          <w:t>c.</w:t>
        </w:r>
        <w:r>
          <w:rPr>
            <w:szCs w:val="24"/>
          </w:rPr>
          <w:tab/>
        </w:r>
      </w:ins>
      <w:ins w:id="394" w:author="kavanah" w:date="2015-04-01T12:20:00Z">
        <w:r>
          <w:rPr>
            <w:szCs w:val="24"/>
          </w:rPr>
          <w:t xml:space="preserve">If the Project submits false, misleading, or inaccurate information, or fails to submit requested information to the NYISO, including but not limited </w:t>
        </w:r>
        <w:r>
          <w:rPr>
            <w:szCs w:val="24"/>
          </w:rPr>
          <w:t xml:space="preserve">to information contained or submitted in </w:t>
        </w:r>
      </w:ins>
      <w:ins w:id="395" w:author="GK Thurs" w:date="2015-04-02T12:59:00Z">
        <w:r>
          <w:rPr>
            <w:szCs w:val="24"/>
          </w:rPr>
          <w:t>the</w:t>
        </w:r>
      </w:ins>
      <w:ins w:id="396" w:author="GK Thurs" w:date="2015-04-02T23:31:00Z">
        <w:r w:rsidRPr="00F0586F">
          <w:rPr>
            <w:szCs w:val="24"/>
          </w:rPr>
          <w:t xml:space="preserve"> </w:t>
        </w:r>
      </w:ins>
      <w:ins w:id="397" w:author="kavanah" w:date="2015-04-01T12:20:00Z">
        <w:r>
          <w:rPr>
            <w:szCs w:val="24"/>
          </w:rPr>
          <w:t>Certification and Acknowledgement on behalf of the Project, it may be subject to civil penalties that may be imposed by the Commission for violations of</w:t>
        </w:r>
      </w:ins>
      <w:ins w:id="398" w:author="GK 4-7-2105" w:date="2015-04-08T15:18:00Z">
        <w:r>
          <w:rPr>
            <w:szCs w:val="24"/>
          </w:rPr>
          <w:t xml:space="preserve"> Section 4.1.7 of Services Tariff,</w:t>
        </w:r>
      </w:ins>
      <w:ins w:id="399" w:author="kavanah" w:date="2015-04-01T12:20:00Z">
        <w:r>
          <w:rPr>
            <w:szCs w:val="24"/>
          </w:rPr>
          <w:t xml:space="preserve"> the Commission’s rules</w:t>
        </w:r>
      </w:ins>
      <w:ins w:id="400" w:author="GK 4-7-2105" w:date="2015-04-07T19:46:00Z">
        <w:r>
          <w:rPr>
            <w:szCs w:val="24"/>
          </w:rPr>
          <w:t>,</w:t>
        </w:r>
      </w:ins>
      <w:ins w:id="401" w:author="kavanah" w:date="2015-04-01T12:20:00Z">
        <w:r>
          <w:rPr>
            <w:szCs w:val="24"/>
          </w:rPr>
          <w:t xml:space="preserve"> </w:t>
        </w:r>
      </w:ins>
      <w:ins w:id="402" w:author="GK 4-7-2105" w:date="2015-04-07T19:46:00Z">
        <w:r>
          <w:rPr>
            <w:szCs w:val="24"/>
          </w:rPr>
          <w:t xml:space="preserve">and/or </w:t>
        </w:r>
      </w:ins>
      <w:ins w:id="403" w:author="GK 4-7-2105" w:date="2015-04-07T19:45:00Z">
        <w:r>
          <w:rPr>
            <w:szCs w:val="24"/>
          </w:rPr>
          <w:t>Section 316A of the Federal Power Act</w:t>
        </w:r>
      </w:ins>
      <w:ins w:id="404" w:author="kavanah" w:date="2015-04-01T12:20:00Z">
        <w:r>
          <w:rPr>
            <w:szCs w:val="24"/>
          </w:rPr>
          <w:t xml:space="preserve">. </w:t>
        </w:r>
      </w:ins>
    </w:p>
    <w:p w:rsidR="00791A4B" w:rsidRPr="00C67880" w:rsidRDefault="00F753F8" w:rsidP="00C67880">
      <w:pPr>
        <w:autoSpaceDE w:val="0"/>
        <w:autoSpaceDN w:val="0"/>
        <w:adjustRightInd w:val="0"/>
        <w:spacing w:after="240"/>
        <w:rPr>
          <w:ins w:id="405" w:author="kavanah" w:date="2015-04-01T12:20:00Z"/>
        </w:rPr>
      </w:pPr>
    </w:p>
    <w:p w:rsidR="00791A4B" w:rsidRDefault="00F753F8">
      <w:pPr>
        <w:ind w:left="360"/>
        <w:rPr>
          <w:ins w:id="406" w:author="kavanah" w:date="2015-04-01T12:20:00Z"/>
        </w:rPr>
      </w:pPr>
    </w:p>
    <w:p w:rsidR="00791A4B" w:rsidRDefault="00F753F8">
      <w:pPr>
        <w:pStyle w:val="Signature"/>
        <w:ind w:left="4680"/>
        <w:rPr>
          <w:ins w:id="407" w:author="kavanah" w:date="2015-04-01T12:20:00Z"/>
          <w:u w:val="single"/>
        </w:rPr>
      </w:pPr>
      <w:ins w:id="408" w:author="kavanah" w:date="2015-04-01T12:20:00Z">
        <w:r>
          <w:rPr>
            <w:u w:val="single"/>
          </w:rPr>
          <w:tab/>
        </w:r>
        <w:r>
          <w:rPr>
            <w:u w:val="single"/>
          </w:rPr>
          <w:tab/>
        </w:r>
        <w:r>
          <w:rPr>
            <w:u w:val="single"/>
          </w:rPr>
          <w:tab/>
        </w:r>
        <w:r>
          <w:rPr>
            <w:u w:val="single"/>
          </w:rPr>
          <w:tab/>
        </w:r>
        <w:r>
          <w:rPr>
            <w:u w:val="single"/>
          </w:rPr>
          <w:tab/>
        </w:r>
        <w:r>
          <w:rPr>
            <w:u w:val="single"/>
          </w:rPr>
          <w:tab/>
        </w:r>
        <w:r>
          <w:rPr>
            <w:u w:val="single"/>
          </w:rPr>
          <w:tab/>
        </w:r>
      </w:ins>
    </w:p>
    <w:p w:rsidR="00791A4B" w:rsidRPr="00F0586F" w:rsidRDefault="00F753F8">
      <w:pPr>
        <w:pStyle w:val="Signature"/>
        <w:ind w:left="4680"/>
        <w:rPr>
          <w:ins w:id="409" w:author="kavanah" w:date="2015-04-01T12:20:00Z"/>
        </w:rPr>
      </w:pPr>
      <w:ins w:id="410" w:author="kavanah" w:date="2015-04-01T12:20:00Z">
        <w:r w:rsidRPr="00F0586F">
          <w:t>[PRINT NAME]</w:t>
        </w:r>
      </w:ins>
    </w:p>
    <w:p w:rsidR="00791A4B" w:rsidRPr="00F0586F" w:rsidRDefault="00F753F8">
      <w:pPr>
        <w:pStyle w:val="Signature"/>
        <w:ind w:left="4680"/>
        <w:rPr>
          <w:ins w:id="411" w:author="kavanah" w:date="2015-04-01T12:20:00Z"/>
        </w:rPr>
      </w:pPr>
      <w:ins w:id="412" w:author="kavanah" w:date="2015-04-01T12:20:00Z">
        <w:r w:rsidRPr="00F0586F">
          <w:t>[DATE]</w:t>
        </w:r>
      </w:ins>
    </w:p>
    <w:p w:rsidR="00791A4B" w:rsidRDefault="00F753F8">
      <w:pPr>
        <w:pStyle w:val="Signature"/>
        <w:ind w:left="4680"/>
        <w:rPr>
          <w:ins w:id="413" w:author="kavanah" w:date="2015-04-01T12:20:00Z"/>
        </w:rPr>
      </w:pPr>
    </w:p>
    <w:p w:rsidR="00791A4B" w:rsidRDefault="00F753F8">
      <w:pPr>
        <w:ind w:left="360"/>
        <w:rPr>
          <w:ins w:id="414" w:author="kavanah" w:date="2015-04-01T12:20:00Z"/>
        </w:rPr>
      </w:pPr>
    </w:p>
    <w:p w:rsidR="00791A4B" w:rsidRDefault="00F753F8">
      <w:pPr>
        <w:ind w:left="360"/>
        <w:rPr>
          <w:ins w:id="415" w:author="kavanah" w:date="2015-04-01T12:20:00Z"/>
        </w:rPr>
      </w:pPr>
    </w:p>
    <w:p w:rsidR="00791A4B" w:rsidRDefault="00F753F8">
      <w:pPr>
        <w:ind w:left="360"/>
        <w:rPr>
          <w:ins w:id="416" w:author="kavanah" w:date="2015-04-01T12:20:00Z"/>
        </w:rPr>
      </w:pPr>
      <w:ins w:id="417" w:author="kavanah" w:date="2015-04-01T12:20:00Z">
        <w:r>
          <w:t>Subscribed and sworn to before me</w:t>
        </w:r>
      </w:ins>
    </w:p>
    <w:p w:rsidR="00791A4B" w:rsidRDefault="00F753F8">
      <w:pPr>
        <w:ind w:left="360"/>
        <w:rPr>
          <w:ins w:id="418" w:author="kavanah" w:date="2015-04-01T12:20:00Z"/>
        </w:rPr>
      </w:pPr>
      <w:ins w:id="419" w:author="kavanah" w:date="2015-04-01T12:20:00Z">
        <w:r>
          <w:t xml:space="preserve">this [    ] day of </w:t>
        </w:r>
        <w:r w:rsidRPr="00F0586F">
          <w:t>[MONTH] [YEAR].</w:t>
        </w:r>
      </w:ins>
    </w:p>
    <w:p w:rsidR="00791A4B" w:rsidRDefault="00F753F8">
      <w:pPr>
        <w:rPr>
          <w:ins w:id="420" w:author="kavanah" w:date="2015-04-01T12:20:00Z"/>
        </w:rPr>
      </w:pPr>
      <w:ins w:id="421" w:author="kavanah" w:date="2015-04-01T12:20:00Z">
        <w:r>
          <w:t xml:space="preserve"> </w:t>
        </w:r>
        <w:bookmarkStart w:id="422" w:name="_GoBack"/>
        <w:bookmarkEnd w:id="422"/>
      </w:ins>
    </w:p>
    <w:p w:rsidR="00791A4B" w:rsidRDefault="00F753F8">
      <w:pPr>
        <w:rPr>
          <w:ins w:id="423" w:author="kavanah" w:date="2015-04-01T12:20:00Z"/>
        </w:rPr>
      </w:pPr>
    </w:p>
    <w:p w:rsidR="00791A4B" w:rsidRDefault="00F753F8">
      <w:pPr>
        <w:rPr>
          <w:ins w:id="424" w:author="kavanah" w:date="2015-04-01T12:20:00Z"/>
        </w:rPr>
      </w:pPr>
      <w:ins w:id="425" w:author="kavanah" w:date="2015-04-01T12:20:00Z">
        <w:r>
          <w:rPr>
            <w:u w:val="single"/>
          </w:rPr>
          <w:tab/>
        </w:r>
        <w:r>
          <w:rPr>
            <w:u w:val="single"/>
          </w:rPr>
          <w:tab/>
        </w:r>
        <w:r>
          <w:rPr>
            <w:u w:val="single"/>
          </w:rPr>
          <w:tab/>
        </w:r>
        <w:r>
          <w:rPr>
            <w:u w:val="single"/>
          </w:rPr>
          <w:tab/>
        </w:r>
        <w:r>
          <w:rPr>
            <w:u w:val="single"/>
          </w:rPr>
          <w:tab/>
        </w:r>
        <w:r>
          <w:rPr>
            <w:u w:val="single"/>
          </w:rPr>
          <w:tab/>
        </w:r>
      </w:ins>
    </w:p>
    <w:p w:rsidR="00791A4B" w:rsidRDefault="00F753F8">
      <w:pPr>
        <w:rPr>
          <w:ins w:id="426" w:author="kavanah" w:date="2015-04-01T12:20:00Z"/>
        </w:rPr>
      </w:pPr>
      <w:ins w:id="427" w:author="kavanah" w:date="2015-04-01T12:20:00Z">
        <w:r>
          <w:t>Notary Public</w:t>
        </w:r>
      </w:ins>
    </w:p>
    <w:p w:rsidR="00791A4B" w:rsidRDefault="00F753F8">
      <w:pPr>
        <w:rPr>
          <w:ins w:id="428" w:author="kavanah" w:date="2015-04-01T12:20:00Z"/>
        </w:rPr>
      </w:pPr>
    </w:p>
    <w:p w:rsidR="00791A4B" w:rsidRDefault="00F753F8">
      <w:pPr>
        <w:rPr>
          <w:ins w:id="429" w:author="kavanah" w:date="2015-04-01T12:20:00Z"/>
          <w:u w:val="single"/>
        </w:rPr>
      </w:pPr>
      <w:ins w:id="430" w:author="kavanah" w:date="2015-04-01T12:20:00Z">
        <w:r>
          <w:t xml:space="preserve">My commission expires: </w:t>
        </w:r>
        <w:r>
          <w:rPr>
            <w:u w:val="single"/>
          </w:rPr>
          <w:tab/>
        </w:r>
        <w:r>
          <w:rPr>
            <w:u w:val="single"/>
          </w:rPr>
          <w:tab/>
        </w:r>
        <w:r>
          <w:rPr>
            <w:u w:val="single"/>
          </w:rPr>
          <w:tab/>
        </w:r>
        <w:r>
          <w:rPr>
            <w:u w:val="single"/>
          </w:rPr>
          <w:tab/>
        </w:r>
      </w:ins>
    </w:p>
    <w:p w:rsidR="00791A4B" w:rsidRDefault="00F753F8">
      <w:pPr>
        <w:pStyle w:val="alphapara"/>
        <w:rPr>
          <w:ins w:id="431" w:author="kavanah" w:date="2015-04-01T12:41:00Z"/>
        </w:rPr>
      </w:pPr>
    </w:p>
    <w:p w:rsidR="00791A4B" w:rsidRDefault="00F753F8">
      <w:pPr>
        <w:jc w:val="center"/>
        <w:rPr>
          <w:ins w:id="432" w:author="kavanah" w:date="2015-04-01T12:42:00Z"/>
          <w:b/>
        </w:rPr>
      </w:pPr>
      <w:ins w:id="433" w:author="kavanah" w:date="2015-04-01T12:42:00Z">
        <w:r>
          <w:rPr>
            <w:b/>
          </w:rPr>
          <w:t xml:space="preserve">PROJECT NAME] SCHEDULE 1 </w:t>
        </w:r>
        <w:r>
          <w:t xml:space="preserve">CERTIFICATION AND </w:t>
        </w:r>
        <w:r>
          <w:t>ACKNOWLEDGEMENT</w:t>
        </w:r>
      </w:ins>
    </w:p>
    <w:p w:rsidR="00791A4B" w:rsidRDefault="00F753F8">
      <w:pPr>
        <w:jc w:val="center"/>
        <w:rPr>
          <w:ins w:id="434" w:author="kavanah" w:date="2015-04-01T12:42:00Z"/>
          <w:b/>
        </w:rPr>
      </w:pPr>
      <w:ins w:id="435" w:author="kavanah" w:date="2015-04-01T12:42:00Z">
        <w:r>
          <w:rPr>
            <w:b/>
          </w:rPr>
          <w:t>[DATE]</w:t>
        </w:r>
      </w:ins>
    </w:p>
    <w:p w:rsidR="00791A4B" w:rsidRDefault="00F753F8">
      <w:pPr>
        <w:jc w:val="center"/>
        <w:rPr>
          <w:ins w:id="436" w:author="kavanah" w:date="2015-04-01T12:42:00Z"/>
          <w:b/>
        </w:rPr>
      </w:pPr>
    </w:p>
    <w:p w:rsidR="00791A4B" w:rsidRDefault="00F753F8">
      <w:pPr>
        <w:jc w:val="center"/>
        <w:rPr>
          <w:ins w:id="437" w:author="kavanah" w:date="2015-04-01T12:42:00Z"/>
          <w:b/>
        </w:rPr>
      </w:pPr>
    </w:p>
    <w:p w:rsidR="00791A4B" w:rsidRDefault="00F753F8">
      <w:pPr>
        <w:autoSpaceDE w:val="0"/>
        <w:autoSpaceDN w:val="0"/>
        <w:adjustRightInd w:val="0"/>
        <w:rPr>
          <w:ins w:id="438" w:author="kavanah" w:date="2015-04-01T12:42:00Z"/>
          <w:b/>
        </w:rPr>
      </w:pPr>
      <w:ins w:id="439" w:author="kavanah" w:date="2015-04-01T12:42:00Z">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ins>
    </w:p>
    <w:p w:rsidR="00791A4B" w:rsidRDefault="00F753F8">
      <w:pPr>
        <w:rPr>
          <w:ins w:id="440" w:author="kavanah" w:date="2015-04-01T12:42:00Z"/>
          <w:u w:val="single"/>
        </w:rPr>
      </w:pPr>
    </w:p>
    <w:p w:rsidR="00791A4B" w:rsidRDefault="00F753F8">
      <w:pPr>
        <w:pStyle w:val="alphapara"/>
      </w:pPr>
      <w:r>
        <w:t xml:space="preserve"> </w:t>
      </w:r>
    </w:p>
    <w:p w:rsidR="00791A4B" w:rsidRDefault="00F753F8">
      <w:pPr>
        <w:pStyle w:val="alphapara"/>
        <w:rPr>
          <w:ins w:id="441" w:author="zimberlin" w:date="2015-03-20T16:38:00Z"/>
        </w:rPr>
      </w:pPr>
      <w:ins w:id="442" w:author="zimberlin" w:date="2015-03-20T16:38:00Z">
        <w:r>
          <w:t>23.4.5.7.</w:t>
        </w:r>
      </w:ins>
      <w:ins w:id="443" w:author="zimberlin" w:date="2015-03-20T16:41:00Z">
        <w:r>
          <w:t>9</w:t>
        </w:r>
      </w:ins>
      <w:ins w:id="444" w:author="zimberlin" w:date="2015-03-20T16:38:00Z">
        <w:r>
          <w:t xml:space="preserve">.2.2 </w:t>
        </w:r>
      </w:ins>
      <w:ins w:id="445" w:author="zimberlin" w:date="2015-04-13T14:28:00Z">
        <w:r>
          <w:tab/>
        </w:r>
      </w:ins>
      <w:ins w:id="446" w:author="zimberlin" w:date="2015-03-20T16:38:00Z">
        <w:r>
          <w:t xml:space="preserve">A duly authorized officer of the Generator or UDR project shall also submit a certification acknowledging that parents or </w:t>
        </w:r>
        <w:r>
          <w:t>Affiliates shall provide any information or cooperation requested by the ISO.</w:t>
        </w:r>
      </w:ins>
    </w:p>
    <w:p w:rsidR="00791A4B" w:rsidRDefault="00F753F8">
      <w:pPr>
        <w:pStyle w:val="alphapara"/>
        <w:rPr>
          <w:ins w:id="447" w:author="zimberlin" w:date="2015-03-20T16:38:00Z"/>
        </w:rPr>
      </w:pPr>
      <w:ins w:id="448" w:author="zimberlin" w:date="2015-03-20T16:38:00Z">
        <w:r>
          <w:t>23.4.5.7.</w:t>
        </w:r>
      </w:ins>
      <w:ins w:id="449" w:author="zimberlin" w:date="2015-03-20T16:41:00Z">
        <w:r>
          <w:t>9</w:t>
        </w:r>
      </w:ins>
      <w:ins w:id="450" w:author="zimberlin" w:date="2015-03-20T16:38:00Z">
        <w:r>
          <w:t xml:space="preserve">.2.3 </w:t>
        </w:r>
      </w:ins>
      <w:ins w:id="451" w:author="zimberlin" w:date="2015-04-13T14:28:00Z">
        <w:r>
          <w:tab/>
        </w:r>
      </w:ins>
      <w:ins w:id="452" w:author="zimberlin" w:date="2015-03-20T16:38:00Z">
        <w:r>
          <w:t>The certifying officers must have knowledge of the facts and circumstances supporting the request</w:t>
        </w:r>
      </w:ins>
      <w:ins w:id="453" w:author="kavanah" w:date="2015-04-01T12:53:00Z">
        <w:r>
          <w:t xml:space="preserve"> and qualification</w:t>
        </w:r>
      </w:ins>
      <w:ins w:id="454" w:author="zimberlin" w:date="2015-03-20T16:38:00Z">
        <w:r>
          <w:t xml:space="preserve"> for a Generator’s or UDR project’s Competitive</w:t>
        </w:r>
        <w:r>
          <w:t xml:space="preserve"> Entry Exemption.</w:t>
        </w:r>
      </w:ins>
    </w:p>
    <w:p w:rsidR="00791A4B" w:rsidRDefault="00F753F8">
      <w:pPr>
        <w:pStyle w:val="alphapara"/>
        <w:rPr>
          <w:ins w:id="455" w:author="zimberlin" w:date="2015-03-20T16:38:00Z"/>
        </w:rPr>
      </w:pPr>
      <w:ins w:id="456" w:author="zimberlin" w:date="2015-03-20T16:38:00Z">
        <w:r>
          <w:t>23.4.5.7.</w:t>
        </w:r>
      </w:ins>
      <w:ins w:id="457" w:author="zimberlin" w:date="2015-03-20T16:41:00Z">
        <w:r>
          <w:t>9</w:t>
        </w:r>
      </w:ins>
      <w:ins w:id="458" w:author="zimberlin" w:date="2015-03-20T16:38:00Z">
        <w:r>
          <w:t xml:space="preserve">.2.4 </w:t>
        </w:r>
      </w:ins>
      <w:ins w:id="459" w:author="zimberlin" w:date="2015-04-13T14:28:00Z">
        <w:r>
          <w:tab/>
        </w:r>
      </w:ins>
      <w:ins w:id="460" w:author="zimberlin" w:date="2015-03-20T16:38:00Z">
        <w:r>
          <w:t xml:space="preserve">Such certifications shall be submitted concurrent with the request for a Competitive Entry Exemption and each time the ISO requests a resubmittal of a certification, until the Generator’s or UDR project’s Entry Date. </w:t>
        </w:r>
      </w:ins>
    </w:p>
    <w:p w:rsidR="00791A4B" w:rsidRDefault="00F753F8">
      <w:pPr>
        <w:pStyle w:val="alphapara"/>
        <w:rPr>
          <w:ins w:id="461" w:author="zimberlin" w:date="2015-03-20T16:38:00Z"/>
        </w:rPr>
      </w:pPr>
      <w:ins w:id="462" w:author="zimberlin" w:date="2015-03-20T16:38:00Z">
        <w:r>
          <w:t>23.4</w:t>
        </w:r>
        <w:r>
          <w:t>.5.7.</w:t>
        </w:r>
      </w:ins>
      <w:ins w:id="463" w:author="zimberlin" w:date="2015-03-20T16:42:00Z">
        <w:r>
          <w:t>9</w:t>
        </w:r>
      </w:ins>
      <w:ins w:id="464" w:author="zimberlin" w:date="2015-03-20T16:38:00Z">
        <w:r>
          <w:t xml:space="preserve">.2.5 </w:t>
        </w:r>
      </w:ins>
      <w:ins w:id="465" w:author="zimberlin" w:date="2015-04-13T14:28:00Z">
        <w:r>
          <w:tab/>
        </w:r>
      </w:ins>
      <w:ins w:id="466" w:author="zimberlin" w:date="2015-03-20T16:38:00Z">
        <w:r>
          <w:t>The Generator or UDR project must notify the ISO if information in a certification ceases to be true, promptly upon such occurrence or learning information previously provided was not true.</w:t>
        </w:r>
      </w:ins>
    </w:p>
    <w:p w:rsidR="00791A4B" w:rsidRDefault="00F753F8">
      <w:pPr>
        <w:pStyle w:val="alphapara"/>
        <w:rPr>
          <w:ins w:id="467" w:author="zimberlin" w:date="2015-03-20T16:38:00Z"/>
        </w:rPr>
      </w:pPr>
      <w:ins w:id="468" w:author="zimberlin" w:date="2015-03-20T16:38:00Z">
        <w:r>
          <w:t>23.4.5.7.</w:t>
        </w:r>
      </w:ins>
      <w:ins w:id="469" w:author="zimberlin" w:date="2015-03-20T16:42:00Z">
        <w:r>
          <w:t>9</w:t>
        </w:r>
      </w:ins>
      <w:ins w:id="470" w:author="zimberlin" w:date="2015-03-20T16:38:00Z">
        <w:r>
          <w:t xml:space="preserve">.2.6 </w:t>
        </w:r>
      </w:ins>
      <w:ins w:id="471" w:author="zimberlin" w:date="2015-04-13T14:28:00Z">
        <w:r>
          <w:tab/>
        </w:r>
      </w:ins>
      <w:ins w:id="472" w:author="zimberlin" w:date="2015-03-20T16:38:00Z">
        <w:r>
          <w:t>Failure to provide, without prior noti</w:t>
        </w:r>
        <w:r>
          <w:t xml:space="preserve">fication, information or cooperation consistent with any certification shall be considered a false, misleading, or inaccurate submission for purposes of </w:t>
        </w:r>
        <w:r w:rsidRPr="00F0586F">
          <w:t>Section 23.4.5.7.</w:t>
        </w:r>
      </w:ins>
      <w:ins w:id="473" w:author="zimberlin" w:date="2015-03-20T16:42:00Z">
        <w:r w:rsidRPr="00F0586F">
          <w:t>9</w:t>
        </w:r>
      </w:ins>
      <w:ins w:id="474" w:author="zimberlin" w:date="2015-03-20T16:38:00Z">
        <w:r w:rsidRPr="00F0586F">
          <w:t>.5.</w:t>
        </w:r>
      </w:ins>
    </w:p>
    <w:p w:rsidR="00791A4B" w:rsidRDefault="00F753F8">
      <w:pPr>
        <w:pStyle w:val="alphapara"/>
        <w:rPr>
          <w:ins w:id="475" w:author="zimberlin" w:date="2015-03-20T16:38:00Z"/>
        </w:rPr>
      </w:pPr>
      <w:ins w:id="476" w:author="zimberlin" w:date="2015-03-20T16:38:00Z">
        <w:r>
          <w:t>23.4.5.7.</w:t>
        </w:r>
      </w:ins>
      <w:ins w:id="477" w:author="zimberlin" w:date="2015-03-20T16:42:00Z">
        <w:r>
          <w:t>9</w:t>
        </w:r>
      </w:ins>
      <w:ins w:id="478" w:author="zimberlin" w:date="2015-03-20T16:38:00Z">
        <w:r>
          <w:t>.2.7</w:t>
        </w:r>
        <w:r>
          <w:tab/>
          <w:t>Where a notification is provided to the ISO, within 2 business day</w:t>
        </w:r>
        <w:r>
          <w:t xml:space="preserve">s of receipt of a request from the ISO for information or cooperation, that the information or cooperation requested will not be provided, such refusal will not be </w:t>
        </w:r>
        <w:r w:rsidRPr="00F0586F">
          <w:t>considered a false, misleading, or inaccurate submission for purposes of Section 23.4.5.7.</w:t>
        </w:r>
      </w:ins>
      <w:ins w:id="479" w:author="zimberlin" w:date="2015-03-20T16:42:00Z">
        <w:r w:rsidRPr="00F0586F">
          <w:t>9</w:t>
        </w:r>
      </w:ins>
      <w:ins w:id="480" w:author="zimberlin" w:date="2015-03-20T16:38:00Z">
        <w:r w:rsidRPr="00F0586F">
          <w:t>.</w:t>
        </w:r>
        <w:r w:rsidRPr="00F0586F">
          <w:t>5 as</w:t>
        </w:r>
        <w:r>
          <w:t xml:space="preserve"> long as the information is provided by the earlier of a mutually agreed upon deadline or thirty (30) calendar days.  A refusal to provide information or any other failure to provide information by that deadline will make the Generator or UDR project r</w:t>
        </w:r>
        <w:r>
          <w:t>equesting a Competitive Entry Exemption ineligible for such exemption, and such Generator or UDR project shall be subject to the Mitigation Net CONE Offer Floor</w:t>
        </w:r>
      </w:ins>
      <w:ins w:id="481" w:author="kavanah" w:date="2015-04-01T12:16:00Z">
        <w:r>
          <w:t xml:space="preserve"> </w:t>
        </w:r>
      </w:ins>
      <w:ins w:id="482" w:author="kavanah" w:date="2015-04-01T12:49:00Z">
        <w:r>
          <w:t xml:space="preserve">(such value based on </w:t>
        </w:r>
      </w:ins>
      <w:ins w:id="483" w:author="GK Thurs" w:date="2015-04-03T04:50:00Z">
        <w:r>
          <w:rPr>
            <w:szCs w:val="24"/>
          </w:rPr>
          <w:t xml:space="preserve">the date it first </w:t>
        </w:r>
      </w:ins>
      <w:ins w:id="484" w:author="Noelle J Coates" w:date="2015-04-08T21:05:00Z">
        <w:r>
          <w:rPr>
            <w:szCs w:val="24"/>
          </w:rPr>
          <w:t>o</w:t>
        </w:r>
      </w:ins>
      <w:ins w:id="485" w:author="GK Thurs" w:date="2015-04-03T04:50:00Z">
        <w:r>
          <w:rPr>
            <w:szCs w:val="24"/>
          </w:rPr>
          <w:t>ffer</w:t>
        </w:r>
        <w:r>
          <w:rPr>
            <w:szCs w:val="24"/>
          </w:rPr>
          <w:t xml:space="preserve">s UCAP, in accordance with Section </w:t>
        </w:r>
        <w:r w:rsidRPr="00F0586F">
          <w:rPr>
            <w:szCs w:val="24"/>
          </w:rPr>
          <w:t>23.4.5.7.3.</w:t>
        </w:r>
      </w:ins>
      <w:ins w:id="486" w:author="GK 4-7-2105" w:date="2015-04-07T20:15:00Z">
        <w:r w:rsidRPr="00F0586F">
          <w:rPr>
            <w:szCs w:val="24"/>
          </w:rPr>
          <w:t>7</w:t>
        </w:r>
      </w:ins>
      <w:ins w:id="487" w:author="GK Thurs" w:date="2015-04-03T04:50:00Z">
        <w:r w:rsidRPr="00F0586F">
          <w:rPr>
            <w:szCs w:val="24"/>
          </w:rPr>
          <w:t>,</w:t>
        </w:r>
        <w:r>
          <w:rPr>
            <w:szCs w:val="24"/>
          </w:rPr>
          <w:t xml:space="preserve"> and adjusted annually in </w:t>
        </w:r>
      </w:ins>
      <w:ins w:id="488" w:author="kavanah" w:date="2015-04-01T12:16:00Z">
        <w:r>
          <w:t xml:space="preserve">accordance with </w:t>
        </w:r>
      </w:ins>
      <w:ins w:id="489" w:author="GK Thurs" w:date="2015-04-02T13:02:00Z">
        <w:r>
          <w:t xml:space="preserve">Section </w:t>
        </w:r>
      </w:ins>
      <w:ins w:id="490" w:author="kavanah" w:date="2015-04-01T12:17:00Z">
        <w:r>
          <w:t>23.4.5.7</w:t>
        </w:r>
      </w:ins>
      <w:ins w:id="491" w:author="GK Thurs" w:date="2015-04-03T04:50:00Z">
        <w:r>
          <w:t xml:space="preserve"> of the Services Tariff</w:t>
        </w:r>
      </w:ins>
      <w:ins w:id="492" w:author="zimberlin" w:date="2015-03-20T16:38:00Z">
        <w:r>
          <w:t>.</w:t>
        </w:r>
      </w:ins>
      <w:ins w:id="493" w:author="kavanah" w:date="2015-04-01T12:50:00Z">
        <w:r>
          <w:t>)</w:t>
        </w:r>
      </w:ins>
    </w:p>
    <w:p w:rsidR="00791A4B" w:rsidRDefault="00F753F8">
      <w:pPr>
        <w:pStyle w:val="Heading4"/>
        <w:rPr>
          <w:ins w:id="494" w:author="zimberlin" w:date="2015-03-20T16:38:00Z"/>
          <w:b w:val="0"/>
        </w:rPr>
      </w:pPr>
      <w:ins w:id="495" w:author="zimberlin" w:date="2015-03-20T16:38:00Z">
        <w:r>
          <w:t>23.4.5.7.</w:t>
        </w:r>
      </w:ins>
      <w:ins w:id="496" w:author="zimberlin" w:date="2015-03-20T16:45:00Z">
        <w:r>
          <w:t>9</w:t>
        </w:r>
      </w:ins>
      <w:ins w:id="497" w:author="zimberlin" w:date="2015-03-20T16:38:00Z">
        <w:r>
          <w:t xml:space="preserve">.3 </w:t>
        </w:r>
      </w:ins>
      <w:ins w:id="498" w:author="zimberlin" w:date="2015-04-10T09:50:00Z">
        <w:r>
          <w:tab/>
        </w:r>
      </w:ins>
      <w:ins w:id="499" w:author="zimberlin" w:date="2015-03-20T16:38:00Z">
        <w:r>
          <w:t>Timing for Requests, Required Submittals, and Withdrawals</w:t>
        </w:r>
      </w:ins>
    </w:p>
    <w:p w:rsidR="00791A4B" w:rsidRDefault="00F753F8">
      <w:pPr>
        <w:pStyle w:val="alphapara"/>
        <w:rPr>
          <w:ins w:id="500" w:author="zimberlin" w:date="2015-03-20T16:38:00Z"/>
        </w:rPr>
      </w:pPr>
      <w:ins w:id="501" w:author="zimberlin" w:date="2015-03-20T16:38:00Z">
        <w:r>
          <w:t>23.4.5.7.</w:t>
        </w:r>
      </w:ins>
      <w:ins w:id="502" w:author="zimberlin" w:date="2015-03-20T16:45:00Z">
        <w:r>
          <w:t>9</w:t>
        </w:r>
      </w:ins>
      <w:ins w:id="503" w:author="zimberlin" w:date="2015-03-20T16:38:00Z">
        <w:r>
          <w:t>.3.1</w:t>
        </w:r>
      </w:ins>
      <w:ins w:id="504" w:author="zimberlin" w:date="2015-04-13T14:28:00Z">
        <w:r>
          <w:tab/>
        </w:r>
      </w:ins>
      <w:ins w:id="505" w:author="zimberlin" w:date="2015-03-20T16:38:00Z">
        <w:r>
          <w:t xml:space="preserve">The </w:t>
        </w:r>
      </w:ins>
      <w:ins w:id="506" w:author="GK 4-7-2105" w:date="2015-04-08T16:15:00Z">
        <w:r>
          <w:t>executed</w:t>
        </w:r>
      </w:ins>
      <w:ins w:id="507" w:author="GK 4-7-2105" w:date="2015-04-08T16:14:00Z">
        <w:r>
          <w:t xml:space="preserve"> </w:t>
        </w:r>
      </w:ins>
      <w:ins w:id="508" w:author="GK 4-7-2105" w:date="2015-04-08T16:15:00Z">
        <w:r>
          <w:t>C</w:t>
        </w:r>
      </w:ins>
      <w:ins w:id="509" w:author="zimberlin" w:date="2015-03-20T16:38:00Z">
        <w:r>
          <w:t>ertification</w:t>
        </w:r>
      </w:ins>
      <w:ins w:id="510" w:author="GK 4-7-2105" w:date="2015-04-08T16:13:00Z">
        <w:r>
          <w:t xml:space="preserve"> and </w:t>
        </w:r>
      </w:ins>
      <w:ins w:id="511" w:author="GK 4-7-2105" w:date="2015-04-08T16:15:00Z">
        <w:r>
          <w:t>A</w:t>
        </w:r>
      </w:ins>
      <w:ins w:id="512" w:author="GK 4-7-2105" w:date="2015-04-08T16:13:00Z">
        <w:r>
          <w:t xml:space="preserve">cknowledgement </w:t>
        </w:r>
      </w:ins>
      <w:ins w:id="513" w:author="GK 4-7-2105" w:date="2015-04-08T16:15:00Z">
        <w:r>
          <w:t xml:space="preserve">form </w:t>
        </w:r>
      </w:ins>
      <w:ins w:id="514" w:author="zimberlin" w:date="2015-03-20T16:38:00Z">
        <w:r>
          <w:t xml:space="preserve">required by </w:t>
        </w:r>
        <w:r w:rsidRPr="00F0586F">
          <w:t>Section 23.4.5.7.</w:t>
        </w:r>
      </w:ins>
      <w:ins w:id="515" w:author="zimberlin" w:date="2015-03-20T16:45:00Z">
        <w:r w:rsidRPr="00F0586F">
          <w:t>9</w:t>
        </w:r>
      </w:ins>
      <w:ins w:id="516" w:author="zimberlin" w:date="2015-03-20T16:38:00Z">
        <w:r w:rsidRPr="00F0586F">
          <w:t xml:space="preserve">.2 </w:t>
        </w:r>
        <w:r w:rsidRPr="00F0586F">
          <w:t>shall</w:t>
        </w:r>
        <w:r>
          <w:t xml:space="preserve"> be submitted concurrent with a request for a Competitive Entry Exemption. </w:t>
        </w:r>
      </w:ins>
      <w:ins w:id="517" w:author="kavanah" w:date="2015-04-01T11:42:00Z">
        <w:r>
          <w:t xml:space="preserve"> </w:t>
        </w:r>
      </w:ins>
      <w:ins w:id="518" w:author="zimberlin" w:date="2015-03-20T16:38:00Z">
        <w:r>
          <w:t xml:space="preserve">The ISO may request additional information </w:t>
        </w:r>
      </w:ins>
      <w:ins w:id="519" w:author="GK 4-7-2105" w:date="2015-04-08T16:19:00Z">
        <w:r>
          <w:t>and updated</w:t>
        </w:r>
      </w:ins>
      <w:ins w:id="520" w:author="zimberlin" w:date="2015-03-20T16:38:00Z">
        <w:r>
          <w:t xml:space="preserve"> certifications at any time prior to a Generator’s or UDR project’s Entry Date. </w:t>
        </w:r>
      </w:ins>
      <w:ins w:id="521" w:author="kavanah" w:date="2015-04-01T11:42:00Z">
        <w:r>
          <w:t xml:space="preserve"> </w:t>
        </w:r>
      </w:ins>
      <w:ins w:id="522" w:author="zimberlin" w:date="2015-03-20T16:38:00Z">
        <w:r>
          <w:t>A Generator or UDR project that is grant</w:t>
        </w:r>
        <w:r>
          <w:t xml:space="preserve">ed an exemption pursuant to this </w:t>
        </w:r>
        <w:r w:rsidRPr="00F0586F">
          <w:t>Section 23.4.5.7.</w:t>
        </w:r>
      </w:ins>
      <w:ins w:id="523" w:author="zimberlin" w:date="2015-03-20T16:45:00Z">
        <w:r w:rsidRPr="00F0586F">
          <w:t>9</w:t>
        </w:r>
      </w:ins>
      <w:ins w:id="524" w:author="zimberlin" w:date="2015-03-20T16:38:00Z">
        <w:r w:rsidRPr="00F0586F">
          <w:t>, shall</w:t>
        </w:r>
        <w:r>
          <w:t xml:space="preserve"> be required to submit </w:t>
        </w:r>
      </w:ins>
      <w:ins w:id="525" w:author="GK 4-7-2105" w:date="2015-04-08T16:17:00Z">
        <w:r>
          <w:t>a</w:t>
        </w:r>
      </w:ins>
      <w:ins w:id="526" w:author="GK 4-7-2105" w:date="2015-04-08T16:18:00Z">
        <w:r>
          <w:t>n executed</w:t>
        </w:r>
      </w:ins>
      <w:ins w:id="527" w:author="GK 4-7-2105" w:date="2015-04-08T16:17:00Z">
        <w:r>
          <w:t xml:space="preserve"> Certification and Acknowledgement form </w:t>
        </w:r>
      </w:ins>
      <w:ins w:id="528" w:author="GK 4-7-2105" w:date="2015-04-08T16:18:00Z">
        <w:r>
          <w:t xml:space="preserve">set forth in </w:t>
        </w:r>
      </w:ins>
      <w:ins w:id="529" w:author="zimberlin" w:date="2015-03-20T16:38:00Z">
        <w:r>
          <w:t xml:space="preserve">Section </w:t>
        </w:r>
        <w:r w:rsidRPr="00F0586F">
          <w:t>23.4.5.7.</w:t>
        </w:r>
      </w:ins>
      <w:ins w:id="530" w:author="GK 4-7-2105" w:date="2015-04-08T16:17:00Z">
        <w:r w:rsidRPr="00F0586F">
          <w:t>9</w:t>
        </w:r>
      </w:ins>
      <w:ins w:id="531" w:author="zimberlin" w:date="2015-03-20T16:38:00Z">
        <w:r w:rsidRPr="00F0586F">
          <w:t xml:space="preserve">.2 </w:t>
        </w:r>
      </w:ins>
      <w:ins w:id="532" w:author="GK Thurs" w:date="2015-04-02T13:03:00Z">
        <w:r w:rsidRPr="00F0586F">
          <w:t>of</w:t>
        </w:r>
        <w:r>
          <w:t xml:space="preserve"> the Services Tariff</w:t>
        </w:r>
      </w:ins>
      <w:ins w:id="533" w:author="zimberlin" w:date="2015-03-20T16:38:00Z">
        <w:r>
          <w:t>, updated as appropriate, upon its Entry Date.</w:t>
        </w:r>
      </w:ins>
    </w:p>
    <w:p w:rsidR="00791A4B" w:rsidRDefault="00F753F8">
      <w:pPr>
        <w:pStyle w:val="alphapara"/>
        <w:rPr>
          <w:ins w:id="534" w:author="zimberlin" w:date="2015-03-20T16:38:00Z"/>
        </w:rPr>
      </w:pPr>
      <w:ins w:id="535" w:author="zimberlin" w:date="2015-03-20T16:38:00Z">
        <w:r>
          <w:t>23.4.5.7.</w:t>
        </w:r>
      </w:ins>
      <w:ins w:id="536" w:author="zimberlin" w:date="2015-03-20T16:45:00Z">
        <w:r>
          <w:t>9</w:t>
        </w:r>
      </w:ins>
      <w:ins w:id="537" w:author="zimberlin" w:date="2015-03-20T16:38:00Z">
        <w:r>
          <w:t>.3.2</w:t>
        </w:r>
      </w:ins>
      <w:ins w:id="538" w:author="zimberlin" w:date="2015-04-13T14:28:00Z">
        <w:r>
          <w:tab/>
        </w:r>
      </w:ins>
      <w:ins w:id="539" w:author="zimberlin" w:date="2015-03-20T16:38:00Z">
        <w:r>
          <w:t>Reques</w:t>
        </w:r>
        <w:r>
          <w:t>ts for Competitive Entry Exemptions for Generators or UDR projects in Class Years subsequent to Class Year 2012 must be received by the ISO no later than</w:t>
        </w:r>
        <w:r>
          <w:t xml:space="preserve"> </w:t>
        </w:r>
      </w:ins>
      <w:ins w:id="540" w:author="kavanah" w:date="2015-04-01T11:37:00Z">
        <w:r w:rsidR="00C42165" w:rsidRPr="00C42165">
          <w:rPr>
            <w:rPrChange w:id="541" w:author="zimberlin" w:date="2015-04-13T14:31:00Z">
              <w:rPr>
                <w:color w:val="FF0000"/>
              </w:rPr>
            </w:rPrChange>
          </w:rPr>
          <w:t xml:space="preserve">the deadline by which a facility must notify the ISO of its election to enter </w:t>
        </w:r>
      </w:ins>
      <w:ins w:id="542" w:author="zimberlin" w:date="2015-03-20T16:38:00Z">
        <w:r>
          <w:t xml:space="preserve">the Class Year, </w:t>
        </w:r>
      </w:ins>
      <w:ins w:id="543" w:author="kavanah" w:date="2015-04-01T11:39:00Z">
        <w:r>
          <w:t>such dat</w:t>
        </w:r>
        <w:r>
          <w:t xml:space="preserve">e </w:t>
        </w:r>
      </w:ins>
      <w:ins w:id="544" w:author="zimberlin" w:date="2015-03-20T16:38:00Z">
        <w:r>
          <w:t>as</w:t>
        </w:r>
        <w:r>
          <w:t xml:space="preserve"> </w:t>
        </w:r>
      </w:ins>
      <w:ins w:id="545" w:author="kavanah" w:date="2015-04-01T11:40:00Z">
        <w:r w:rsidR="00C42165" w:rsidRPr="00C42165">
          <w:rPr>
            <w:rPrChange w:id="546" w:author="zimberlin" w:date="2015-04-13T14:32:00Z">
              <w:rPr>
                <w:color w:val="FF0000"/>
              </w:rPr>
            </w:rPrChange>
          </w:rPr>
          <w:t xml:space="preserve">set forth in Section 25.5.9 </w:t>
        </w:r>
      </w:ins>
      <w:ins w:id="547" w:author="zimberlin" w:date="2015-03-20T16:38:00Z">
        <w:r>
          <w:t>OATT</w:t>
        </w:r>
      </w:ins>
      <w:r>
        <w:t xml:space="preserve"> </w:t>
      </w:r>
      <w:ins w:id="548" w:author="zimberlin" w:date="2015-03-20T16:38:00Z">
        <w:r>
          <w:t>Attachment S.  Generators or UDR projects in</w:t>
        </w:r>
      </w:ins>
      <w:ins w:id="549" w:author="GK 4-7-2105" w:date="2015-04-07T19:09:00Z">
        <w:r>
          <w:t>, and that remain a member of,</w:t>
        </w:r>
      </w:ins>
      <w:ins w:id="550" w:author="zimberlin" w:date="2015-03-20T16:38:00Z">
        <w:r>
          <w:t xml:space="preserve"> Class Year 2012 or prior Class Years shall not be eligible to request or receive a Competitive Entry Exemption.  The ISO shall determine whether a Generator or UDR project is exempt, subject to any required further submissions of information, or not exemp</w:t>
        </w:r>
        <w:r>
          <w:t xml:space="preserve">t under the Competitive Entry Exemption, prior to </w:t>
        </w:r>
      </w:ins>
      <w:ins w:id="551" w:author="GK 4-7-2105" w:date="2015-04-07T19:05:00Z">
        <w:r w:rsidRPr="00F0586F">
          <w:t xml:space="preserve">the Initial Decision Period within which a Developer must provide an Acceptance Notice or Non-Acceptance Notice to the ISO in response to the first </w:t>
        </w:r>
      </w:ins>
      <w:ins w:id="552" w:author="zimberlin" w:date="2015-03-20T16:38:00Z">
        <w:r>
          <w:t>Project Cost Allocation</w:t>
        </w:r>
      </w:ins>
      <w:ins w:id="553" w:author="GK 4-7-2105" w:date="2015-04-07T19:05:00Z">
        <w:r>
          <w:t xml:space="preserve"> issued by the ISO to the Developer</w:t>
        </w:r>
      </w:ins>
      <w:ins w:id="554" w:author="zimberlin" w:date="2015-03-20T16:38:00Z">
        <w:r>
          <w:t>.</w:t>
        </w:r>
      </w:ins>
    </w:p>
    <w:p w:rsidR="00791A4B" w:rsidRDefault="00F753F8">
      <w:pPr>
        <w:pStyle w:val="alphapara"/>
        <w:rPr>
          <w:ins w:id="555" w:author="zimberlin" w:date="2015-03-20T16:38:00Z"/>
        </w:rPr>
      </w:pPr>
      <w:ins w:id="556" w:author="zimberlin" w:date="2015-03-20T16:38:00Z">
        <w:r>
          <w:t>23.4.5.7.</w:t>
        </w:r>
      </w:ins>
      <w:ins w:id="557" w:author="zimberlin" w:date="2015-03-20T16:45:00Z">
        <w:r>
          <w:t>9</w:t>
        </w:r>
      </w:ins>
      <w:ins w:id="558" w:author="zimberlin" w:date="2015-03-20T16:38:00Z">
        <w:r>
          <w:t>.3.3</w:t>
        </w:r>
      </w:ins>
      <w:ins w:id="559" w:author="zimberlin" w:date="2015-04-13T14:28:00Z">
        <w:r>
          <w:tab/>
        </w:r>
      </w:ins>
      <w:ins w:id="560" w:author="zimberlin" w:date="2015-03-20T16:38:00Z">
        <w:r>
          <w:t xml:space="preserve">A Generator or UDR project that submits a request for a Competitive Entry Exemption, including the required </w:t>
        </w:r>
      </w:ins>
      <w:ins w:id="561" w:author="GK Thurs" w:date="2015-04-03T00:06:00Z">
        <w:r>
          <w:t>C</w:t>
        </w:r>
      </w:ins>
      <w:ins w:id="562" w:author="zimberlin" w:date="2015-03-20T16:38:00Z">
        <w:r>
          <w:t>ertification</w:t>
        </w:r>
      </w:ins>
      <w:ins w:id="563" w:author="GK Thurs" w:date="2015-04-02T18:14:00Z">
        <w:r>
          <w:t xml:space="preserve"> and </w:t>
        </w:r>
      </w:ins>
      <w:ins w:id="564" w:author="NJ&amp;NC" w:date="2015-04-09T09:59:00Z">
        <w:r>
          <w:t>A</w:t>
        </w:r>
      </w:ins>
      <w:ins w:id="565" w:author="GK Thurs" w:date="2015-04-03T00:12:00Z">
        <w:r>
          <w:t>c</w:t>
        </w:r>
      </w:ins>
      <w:ins w:id="566" w:author="GK Thurs" w:date="2015-04-02T18:14:00Z">
        <w:r>
          <w:t>knowledgement</w:t>
        </w:r>
      </w:ins>
      <w:ins w:id="567" w:author="zimberlin" w:date="2015-03-20T16:38:00Z">
        <w:r>
          <w:t xml:space="preserve">, responses to information requests, and resubmittal, but </w:t>
        </w:r>
      </w:ins>
      <w:ins w:id="568" w:author="kavanah" w:date="2015-04-01T11:53:00Z">
        <w:r>
          <w:t xml:space="preserve">(a) </w:t>
        </w:r>
      </w:ins>
      <w:ins w:id="569" w:author="zimberlin" w:date="2015-03-20T16:38:00Z">
        <w:r>
          <w:t>enters into a “non-qualifying contra</w:t>
        </w:r>
        <w:r>
          <w:t>ctual relationship”</w:t>
        </w:r>
      </w:ins>
      <w:ins w:id="570" w:author="kavanah" w:date="2015-04-01T11:54:00Z">
        <w:r>
          <w:t xml:space="preserve"> or (b) enters into an unexecuted agreement, written or unwritten, with a Non-Qualifying Entry Sponsor that would support the development of the Project, except those agreements </w:t>
        </w:r>
      </w:ins>
      <w:ins w:id="571" w:author="GK Thurs" w:date="2015-04-02T18:14:00Z">
        <w:r>
          <w:t xml:space="preserve">identified </w:t>
        </w:r>
      </w:ins>
      <w:ins w:id="572" w:author="kavanah" w:date="2015-04-01T11:54:00Z">
        <w:r w:rsidRPr="00F0586F">
          <w:t>in 23.4.5.7. 9.1.3</w:t>
        </w:r>
        <w:r>
          <w:t xml:space="preserve"> that would not constitute a “</w:t>
        </w:r>
        <w:r>
          <w:t>non-qualifying contractual relationship,</w:t>
        </w:r>
      </w:ins>
      <w:ins w:id="573" w:author="zimberlin" w:date="2015-03-20T16:38:00Z">
        <w:r>
          <w:t xml:space="preserve"> may withdraw such request, provided that it notifies the ISO that it has entered into such “non-qualifying contractual relationship” within 2 business days of doing so.  A Generator or UDR project seeking to withdra</w:t>
        </w:r>
        <w:r>
          <w:t xml:space="preserve">w its request pursuant to this section </w:t>
        </w:r>
        <w:r w:rsidRPr="00F0586F">
          <w:t>23.4.5.7.</w:t>
        </w:r>
      </w:ins>
      <w:ins w:id="574" w:author="zimberlin" w:date="2015-03-20T16:45:00Z">
        <w:r w:rsidRPr="00F0586F">
          <w:t>9</w:t>
        </w:r>
      </w:ins>
      <w:ins w:id="575" w:author="zimberlin" w:date="2015-03-20T16:38:00Z">
        <w:r w:rsidRPr="00F0586F">
          <w:t>.3.3 shall</w:t>
        </w:r>
        <w:r>
          <w:t xml:space="preserve"> be subject to the Mitigation Net CONE Offer Floor</w:t>
        </w:r>
      </w:ins>
      <w:ins w:id="576" w:author="GK Thurs" w:date="2015-04-03T03:14:00Z">
        <w:r>
          <w:t xml:space="preserve"> (such value calculated based on its </w:t>
        </w:r>
      </w:ins>
      <w:ins w:id="577" w:author="GK Thurs" w:date="2015-04-03T04:50:00Z">
        <w:r>
          <w:rPr>
            <w:szCs w:val="24"/>
          </w:rPr>
          <w:t xml:space="preserve">the date it </w:t>
        </w:r>
        <w:r>
          <w:rPr>
            <w:szCs w:val="24"/>
          </w:rPr>
          <w:t xml:space="preserve">first </w:t>
        </w:r>
      </w:ins>
      <w:ins w:id="578" w:author="Noelle J Coates" w:date="2015-04-08T21:27:00Z">
        <w:r w:rsidR="00C42165" w:rsidRPr="00C42165">
          <w:rPr>
            <w:szCs w:val="24"/>
            <w:rPrChange w:id="579" w:author="kavanah" w:date="2015-04-09T15:57:00Z">
              <w:rPr>
                <w:szCs w:val="24"/>
                <w:highlight w:val="cyan"/>
              </w:rPr>
            </w:rPrChange>
          </w:rPr>
          <w:t>o</w:t>
        </w:r>
      </w:ins>
      <w:ins w:id="580" w:author="GK Thurs" w:date="2015-04-03T04:50:00Z">
        <w:r>
          <w:rPr>
            <w:szCs w:val="24"/>
          </w:rPr>
          <w:t>ffers</w:t>
        </w:r>
        <w:r>
          <w:rPr>
            <w:szCs w:val="24"/>
          </w:rPr>
          <w:t xml:space="preserve"> UCAP, in accordance with Sectio</w:t>
        </w:r>
        <w:r w:rsidRPr="00F0586F">
          <w:rPr>
            <w:szCs w:val="24"/>
          </w:rPr>
          <w:t>n 23.4.5.7.3.</w:t>
        </w:r>
      </w:ins>
      <w:ins w:id="581" w:author="GK 4-7-2105" w:date="2015-04-07T20:15:00Z">
        <w:r w:rsidRPr="00F0586F">
          <w:rPr>
            <w:szCs w:val="24"/>
          </w:rPr>
          <w:t>7</w:t>
        </w:r>
      </w:ins>
      <w:ins w:id="582" w:author="GK Thurs" w:date="2015-04-03T04:50:00Z">
        <w:r w:rsidRPr="00F0586F">
          <w:rPr>
            <w:szCs w:val="24"/>
          </w:rPr>
          <w:t xml:space="preserve">, and adjusted annually in accordance with Section </w:t>
        </w:r>
        <w:r>
          <w:rPr>
            <w:szCs w:val="24"/>
          </w:rPr>
          <w:t>23.4.5.7 of the Services Tariff</w:t>
        </w:r>
      </w:ins>
      <w:ins w:id="583" w:author="zimberlin" w:date="2015-03-20T16:38:00Z">
        <w:r>
          <w:t>,</w:t>
        </w:r>
      </w:ins>
      <w:ins w:id="584" w:author="GK Thurs" w:date="2015-04-03T03:14:00Z">
        <w:r>
          <w:t>)</w:t>
        </w:r>
      </w:ins>
      <w:ins w:id="585" w:author="zimberlin" w:date="2015-03-20T16:38:00Z">
        <w:r>
          <w:t xml:space="preserve"> but will not be subject to the provisions of Section 23.4.5.7.</w:t>
        </w:r>
      </w:ins>
      <w:ins w:id="586" w:author="zimberlin" w:date="2015-03-20T16:45:00Z">
        <w:r>
          <w:t>9</w:t>
        </w:r>
      </w:ins>
      <w:ins w:id="587" w:author="zimberlin" w:date="2015-03-20T16:38:00Z">
        <w:r>
          <w:t>.5.</w:t>
        </w:r>
      </w:ins>
    </w:p>
    <w:p w:rsidR="00791A4B" w:rsidRDefault="00F753F8">
      <w:pPr>
        <w:pStyle w:val="Heading4"/>
        <w:rPr>
          <w:ins w:id="588" w:author="zimberlin" w:date="2015-03-20T16:38:00Z"/>
          <w:b w:val="0"/>
        </w:rPr>
      </w:pPr>
      <w:ins w:id="589" w:author="zimberlin" w:date="2015-03-20T16:38:00Z">
        <w:r>
          <w:t>23.4.5.7.</w:t>
        </w:r>
      </w:ins>
      <w:ins w:id="590" w:author="zimberlin" w:date="2015-03-20T16:45:00Z">
        <w:r>
          <w:t>9</w:t>
        </w:r>
      </w:ins>
      <w:ins w:id="591" w:author="zimberlin" w:date="2015-03-20T16:38:00Z">
        <w:r>
          <w:t xml:space="preserve">.4 </w:t>
        </w:r>
      </w:ins>
      <w:ins w:id="592" w:author="zimberlin" w:date="2015-04-10T09:50:00Z">
        <w:r>
          <w:tab/>
        </w:r>
      </w:ins>
      <w:ins w:id="593" w:author="zimberlin" w:date="2015-03-20T16:38:00Z">
        <w:r>
          <w:t>Notifications</w:t>
        </w:r>
      </w:ins>
    </w:p>
    <w:p w:rsidR="00791A4B" w:rsidRDefault="00F753F8">
      <w:pPr>
        <w:pStyle w:val="alphapara"/>
        <w:rPr>
          <w:ins w:id="594" w:author="zimberlin" w:date="2015-03-20T16:38:00Z"/>
        </w:rPr>
      </w:pPr>
      <w:ins w:id="595" w:author="zimberlin" w:date="2015-03-20T16:38:00Z">
        <w:r>
          <w:t>23.4.5.7.</w:t>
        </w:r>
      </w:ins>
      <w:ins w:id="596" w:author="zimberlin" w:date="2015-03-20T16:45:00Z">
        <w:r>
          <w:t>9</w:t>
        </w:r>
      </w:ins>
      <w:ins w:id="597" w:author="zimberlin" w:date="2015-03-20T16:38:00Z">
        <w:r>
          <w:t>.4.1</w:t>
        </w:r>
      </w:ins>
      <w:ins w:id="598" w:author="zimberlin" w:date="2015-04-13T14:29:00Z">
        <w:r>
          <w:tab/>
        </w:r>
      </w:ins>
      <w:ins w:id="599" w:author="zimberlin" w:date="2015-03-20T16:38:00Z">
        <w:r>
          <w:t xml:space="preserve">The ISO shall post on its website a list of </w:t>
        </w:r>
      </w:ins>
      <w:ins w:id="600" w:author="Lorenzo Seirup2" w:date="2015-04-02T11:18:00Z">
        <w:r>
          <w:t xml:space="preserve">each </w:t>
        </w:r>
      </w:ins>
      <w:ins w:id="601" w:author="zimberlin" w:date="2015-03-20T16:38:00Z">
        <w:r>
          <w:t>Generator or</w:t>
        </w:r>
        <w:r>
          <w:t xml:space="preserve"> UDR </w:t>
        </w:r>
        <w:r w:rsidRPr="00F0586F">
          <w:t>project</w:t>
        </w:r>
        <w:r>
          <w:t xml:space="preserve"> </w:t>
        </w:r>
      </w:ins>
      <w:ins w:id="602" w:author="GK Thurs" w:date="2015-04-02T18:15:00Z">
        <w:r>
          <w:t xml:space="preserve">that </w:t>
        </w:r>
      </w:ins>
      <w:ins w:id="603" w:author="zimberlin" w:date="2015-03-20T16:38:00Z">
        <w:r>
          <w:t>request</w:t>
        </w:r>
      </w:ins>
      <w:ins w:id="604" w:author="GK Thurs" w:date="2015-04-02T18:15:00Z">
        <w:r>
          <w:t>s</w:t>
        </w:r>
      </w:ins>
      <w:ins w:id="605" w:author="zimberlin" w:date="2015-03-20T16:38:00Z">
        <w:r>
          <w:t xml:space="preserve"> a Competitive Entry Exemption </w:t>
        </w:r>
      </w:ins>
      <w:ins w:id="606" w:author="Lorenzo Seirup2" w:date="2015-04-02T11:18:00Z">
        <w:r>
          <w:t>that</w:t>
        </w:r>
      </w:ins>
      <w:ins w:id="607" w:author="kavanah" w:date="2015-04-01T11:46:00Z">
        <w:r>
          <w:t xml:space="preserve"> become</w:t>
        </w:r>
      </w:ins>
      <w:ins w:id="608" w:author="Lorenzo Seirup2" w:date="2015-04-02T11:19:00Z">
        <w:r>
          <w:t>s</w:t>
        </w:r>
      </w:ins>
      <w:ins w:id="609" w:author="kavanah" w:date="2015-04-01T11:46:00Z">
        <w:r>
          <w:t xml:space="preserve"> a member of the Class Year</w:t>
        </w:r>
      </w:ins>
      <w:ins w:id="610" w:author="Lorenzo Seirup2" w:date="2015-04-02T11:19:00Z">
        <w:r>
          <w:t>,</w:t>
        </w:r>
      </w:ins>
      <w:ins w:id="611" w:author="kavanah" w:date="2015-04-01T11:47:00Z">
        <w:r>
          <w:t xml:space="preserve"> </w:t>
        </w:r>
      </w:ins>
      <w:ins w:id="612" w:author="zimberlin" w:date="2015-03-20T16:38:00Z">
        <w:r>
          <w:t xml:space="preserve">promptly after </w:t>
        </w:r>
      </w:ins>
      <w:ins w:id="613" w:author="kavanah" w:date="2015-04-01T11:47:00Z">
        <w:r>
          <w:t xml:space="preserve">the </w:t>
        </w:r>
      </w:ins>
      <w:ins w:id="614" w:author="kavanah" w:date="2015-04-01T11:45:00Z">
        <w:r>
          <w:t>deadline set forth in</w:t>
        </w:r>
        <w:r>
          <w:t xml:space="preserve"> </w:t>
        </w:r>
      </w:ins>
      <w:ins w:id="615" w:author="kavanah" w:date="2015-04-01T11:44:00Z">
        <w:r w:rsidR="00C42165" w:rsidRPr="00C42165">
          <w:rPr>
            <w:rPrChange w:id="616" w:author="zimberlin" w:date="2015-04-13T14:34:00Z">
              <w:rPr>
                <w:color w:val="FF0000"/>
              </w:rPr>
            </w:rPrChange>
          </w:rPr>
          <w:t xml:space="preserve">Section 30.8.1 of </w:t>
        </w:r>
      </w:ins>
      <w:ins w:id="617" w:author="kavanah" w:date="2015-04-01T11:49:00Z">
        <w:r w:rsidR="00C42165" w:rsidRPr="00C42165">
          <w:rPr>
            <w:rPrChange w:id="618" w:author="zimberlin" w:date="2015-04-13T14:34:00Z">
              <w:rPr>
                <w:color w:val="FF0000"/>
              </w:rPr>
            </w:rPrChange>
          </w:rPr>
          <w:t>the OATT (</w:t>
        </w:r>
      </w:ins>
      <w:ins w:id="619" w:author="kavanah" w:date="2015-04-01T11:44:00Z">
        <w:r w:rsidR="00C42165" w:rsidRPr="00C42165">
          <w:rPr>
            <w:rPrChange w:id="620" w:author="zimberlin" w:date="2015-04-13T14:34:00Z">
              <w:rPr>
                <w:color w:val="FF0000"/>
              </w:rPr>
            </w:rPrChange>
          </w:rPr>
          <w:t>Attachment X</w:t>
        </w:r>
      </w:ins>
      <w:ins w:id="621" w:author="kavanah" w:date="2015-04-01T11:49:00Z">
        <w:r w:rsidR="00C42165" w:rsidRPr="00C42165">
          <w:rPr>
            <w:rPrChange w:id="622" w:author="zimberlin" w:date="2015-04-13T14:34:00Z">
              <w:rPr>
                <w:color w:val="FF0000"/>
              </w:rPr>
            </w:rPrChange>
          </w:rPr>
          <w:t>)</w:t>
        </w:r>
      </w:ins>
      <w:ins w:id="623" w:author="kavanah" w:date="2015-04-01T11:47:00Z">
        <w:r w:rsidR="00C42165" w:rsidRPr="00C42165">
          <w:rPr>
            <w:rPrChange w:id="624" w:author="zimberlin" w:date="2015-04-13T14:34:00Z">
              <w:rPr>
                <w:color w:val="FF0000"/>
              </w:rPr>
            </w:rPrChange>
          </w:rPr>
          <w:t xml:space="preserve"> (by which the ISO must receive the Developer</w:t>
        </w:r>
      </w:ins>
      <w:ins w:id="625" w:author="kavanah" w:date="2015-04-01T11:48:00Z">
        <w:r w:rsidR="00C42165" w:rsidRPr="00C42165">
          <w:rPr>
            <w:rPrChange w:id="626" w:author="zimberlin" w:date="2015-04-13T14:34:00Z">
              <w:rPr>
                <w:color w:val="FF0000"/>
              </w:rPr>
            </w:rPrChange>
          </w:rPr>
          <w:t xml:space="preserve">’s executed </w:t>
        </w:r>
      </w:ins>
      <w:ins w:id="627" w:author="kavanah" w:date="2015-04-01T11:44:00Z">
        <w:r w:rsidR="00C42165" w:rsidRPr="00C42165">
          <w:rPr>
            <w:rPrChange w:id="628" w:author="zimberlin" w:date="2015-04-13T14:34:00Z">
              <w:rPr>
                <w:color w:val="FF0000"/>
              </w:rPr>
            </w:rPrChange>
          </w:rPr>
          <w:t>Class Year Interconnection Facilities Study Agreement</w:t>
        </w:r>
      </w:ins>
      <w:ins w:id="629" w:author="kavanah" w:date="2015-04-01T11:48:00Z">
        <w:r w:rsidR="00C42165" w:rsidRPr="00C42165">
          <w:rPr>
            <w:rPrChange w:id="630" w:author="zimberlin" w:date="2015-04-13T14:34:00Z">
              <w:rPr>
                <w:color w:val="FF0000"/>
              </w:rPr>
            </w:rPrChange>
          </w:rPr>
          <w:t xml:space="preserve"> and </w:t>
        </w:r>
      </w:ins>
      <w:ins w:id="631" w:author="kavanah" w:date="2015-04-01T11:44:00Z">
        <w:r w:rsidR="00C42165" w:rsidRPr="00C42165">
          <w:rPr>
            <w:rPrChange w:id="632" w:author="zimberlin" w:date="2015-04-13T14:34:00Z">
              <w:rPr>
                <w:color w:val="FF0000"/>
              </w:rPr>
            </w:rPrChange>
          </w:rPr>
          <w:t>deposit</w:t>
        </w:r>
      </w:ins>
      <w:ins w:id="633" w:author="GK Thurs" w:date="2015-04-03T00:08:00Z">
        <w:r w:rsidR="00C42165" w:rsidRPr="00C42165">
          <w:rPr>
            <w:rPrChange w:id="634" w:author="zimberlin" w:date="2015-04-13T14:34:00Z">
              <w:rPr>
                <w:color w:val="FF0000"/>
              </w:rPr>
            </w:rPrChange>
          </w:rPr>
          <w:t>.</w:t>
        </w:r>
      </w:ins>
      <w:ins w:id="635" w:author="kavanah" w:date="2015-04-01T11:50:00Z">
        <w:r w:rsidR="00C42165" w:rsidRPr="00C42165">
          <w:rPr>
            <w:rPrChange w:id="636" w:author="zimberlin" w:date="2015-04-13T14:34:00Z">
              <w:rPr>
                <w:color w:val="FF0000"/>
              </w:rPr>
            </w:rPrChange>
          </w:rPr>
          <w:t xml:space="preserve">)  </w:t>
        </w:r>
        <w:r>
          <w:t>The ISO</w:t>
        </w:r>
      </w:ins>
      <w:ins w:id="637" w:author="zimberlin" w:date="2015-03-20T16:38:00Z">
        <w:r>
          <w:t xml:space="preserve"> shall update the list as necessary. </w:t>
        </w:r>
      </w:ins>
      <w:r>
        <w:t xml:space="preserve"> </w:t>
      </w:r>
      <w:ins w:id="638" w:author="zimberlin" w:date="2015-03-20T16:38:00Z">
        <w:r>
          <w:t>The ISO shall also post on its website whether a request for a Competitive Entry Exemption was denied</w:t>
        </w:r>
      </w:ins>
      <w:ins w:id="639" w:author="kavanah" w:date="2015-04-01T11:51:00Z">
        <w:r>
          <w:t>,</w:t>
        </w:r>
      </w:ins>
      <w:ins w:id="640" w:author="kavanah" w:date="2015-04-01T12:50:00Z">
        <w:r>
          <w:t xml:space="preserve"> </w:t>
        </w:r>
      </w:ins>
      <w:ins w:id="641" w:author="zimberlin" w:date="2015-03-20T16:38:00Z">
        <w:r>
          <w:t>or granted</w:t>
        </w:r>
      </w:ins>
      <w:ins w:id="642" w:author="Lorenzo Seirup2" w:date="2015-04-02T11:20:00Z">
        <w:r>
          <w:t>,</w:t>
        </w:r>
      </w:ins>
      <w:ins w:id="643" w:author="zimberlin" w:date="2015-03-20T16:38:00Z">
        <w:r>
          <w:t xml:space="preserve"> as soon as its determination is final.</w:t>
        </w:r>
      </w:ins>
    </w:p>
    <w:p w:rsidR="00791A4B" w:rsidRDefault="00F753F8">
      <w:pPr>
        <w:pStyle w:val="alphapara"/>
        <w:rPr>
          <w:ins w:id="644" w:author="zimberlin" w:date="2015-03-20T16:38:00Z"/>
        </w:rPr>
      </w:pPr>
      <w:ins w:id="645" w:author="zimberlin" w:date="2015-03-20T16:38:00Z">
        <w:r>
          <w:t>23.4.5.7.</w:t>
        </w:r>
      </w:ins>
      <w:ins w:id="646" w:author="zimberlin" w:date="2015-03-20T16:45:00Z">
        <w:r>
          <w:t>9</w:t>
        </w:r>
      </w:ins>
      <w:ins w:id="647" w:author="zimberlin" w:date="2015-03-20T16:38:00Z">
        <w:r>
          <w:t>.4.2</w:t>
        </w:r>
      </w:ins>
      <w:ins w:id="648" w:author="zimberlin" w:date="2015-04-13T14:29:00Z">
        <w:r>
          <w:tab/>
        </w:r>
      </w:ins>
      <w:ins w:id="649" w:author="zimberlin" w:date="2015-03-20T16:38:00Z">
        <w:r>
          <w:t xml:space="preserve">Concurrent with the ISO posting of its final determination, the Market Monitoring Unit shall publish a report on the ISO’s determination in accordance with </w:t>
        </w:r>
        <w:r>
          <w:t>Sections 30.4.6.2.1</w:t>
        </w:r>
      </w:ins>
      <w:ins w:id="650" w:author="NJ&amp;NC" w:date="2015-04-09T09:02:00Z">
        <w:r w:rsidR="00C42165" w:rsidRPr="00C42165">
          <w:rPr>
            <w:rPrChange w:id="651" w:author="kavanah" w:date="2015-04-09T15:57:00Z">
              <w:rPr>
                <w:highlight w:val="cyan"/>
              </w:rPr>
            </w:rPrChange>
          </w:rPr>
          <w:t>2</w:t>
        </w:r>
      </w:ins>
      <w:ins w:id="652" w:author="zimberlin" w:date="2015-03-20T16:38:00Z">
        <w:r w:rsidR="00C42165" w:rsidRPr="00C42165">
          <w:rPr>
            <w:rPrChange w:id="653" w:author="kavanah" w:date="2015-04-09T15:57:00Z">
              <w:rPr>
                <w:highlight w:val="cyan"/>
              </w:rPr>
            </w:rPrChange>
          </w:rPr>
          <w:t xml:space="preserve"> and 30.10.4 of</w:t>
        </w:r>
        <w:r>
          <w:t xml:space="preserve"> Attachment O to th</w:t>
        </w:r>
      </w:ins>
      <w:ins w:id="654" w:author="GK Thurs" w:date="2015-04-02T18:17:00Z">
        <w:r>
          <w:t>e</w:t>
        </w:r>
      </w:ins>
      <w:ins w:id="655" w:author="zimberlin" w:date="2015-03-20T16:38:00Z">
        <w:r>
          <w:t xml:space="preserve"> Services Tariff.</w:t>
        </w:r>
      </w:ins>
    </w:p>
    <w:p w:rsidR="00791A4B" w:rsidRDefault="00F753F8">
      <w:pPr>
        <w:pStyle w:val="Heading4"/>
        <w:rPr>
          <w:ins w:id="656" w:author="kavanah" w:date="2015-04-01T11:58:00Z"/>
          <w:b w:val="0"/>
        </w:rPr>
      </w:pPr>
      <w:ins w:id="657" w:author="kavanah" w:date="2015-04-01T11:58:00Z">
        <w:r>
          <w:t>23.4.5.7.9.</w:t>
        </w:r>
        <w:r>
          <w:t xml:space="preserve">5 </w:t>
        </w:r>
      </w:ins>
      <w:ins w:id="658" w:author="zimberlin" w:date="2015-04-10T09:50:00Z">
        <w:r>
          <w:tab/>
        </w:r>
      </w:ins>
      <w:ins w:id="659" w:author="kavanah" w:date="2015-04-01T11:58:00Z">
        <w:r>
          <w:t>Revocation</w:t>
        </w:r>
      </w:ins>
    </w:p>
    <w:p w:rsidR="00791A4B" w:rsidRDefault="00F753F8">
      <w:pPr>
        <w:pStyle w:val="alphapara"/>
        <w:rPr>
          <w:ins w:id="660" w:author="kavanah" w:date="2015-04-01T12:01:00Z"/>
        </w:rPr>
      </w:pPr>
      <w:ins w:id="661" w:author="kavanah" w:date="2015-04-01T11:58:00Z">
        <w:r>
          <w:t>23.4.5.7.9.5.1</w:t>
        </w:r>
      </w:ins>
      <w:ins w:id="662" w:author="zimberlin" w:date="2015-04-13T14:29:00Z">
        <w:r>
          <w:tab/>
        </w:r>
      </w:ins>
      <w:ins w:id="663" w:author="kavanah" w:date="2015-04-01T11:58:00Z">
        <w:r>
          <w:t>The submission of false, misleading, or inaccurate information, or the failure to submit requested information in connection with a request for a Competitive Entry Exemption shall constitute a violation of th</w:t>
        </w:r>
      </w:ins>
      <w:ins w:id="664" w:author="GK Thurs" w:date="2015-04-02T18:17:00Z">
        <w:r>
          <w:t>e</w:t>
        </w:r>
      </w:ins>
      <w:ins w:id="665" w:author="kavanah" w:date="2015-04-01T11:58:00Z">
        <w:r>
          <w:t xml:space="preserve"> </w:t>
        </w:r>
      </w:ins>
      <w:ins w:id="666" w:author="GK Thurs" w:date="2015-04-02T18:17:00Z">
        <w:r>
          <w:t xml:space="preserve">Services </w:t>
        </w:r>
      </w:ins>
      <w:ins w:id="667" w:author="kavanah" w:date="2015-04-01T11:58:00Z">
        <w:r>
          <w:t xml:space="preserve">Tariff. </w:t>
        </w:r>
        <w:r>
          <w:t xml:space="preserve"> Such violation shall be reported, by the ISO, to the Market Monitoring Unit and to the Commission’s Office of Enforcement (or any successor to its responsibilities).  </w:t>
        </w:r>
      </w:ins>
    </w:p>
    <w:p w:rsidR="00791A4B" w:rsidRDefault="00F753F8">
      <w:pPr>
        <w:pStyle w:val="alphapara"/>
        <w:rPr>
          <w:ins w:id="668" w:author="kavanah" w:date="2015-04-01T11:57:00Z"/>
          <w:b/>
        </w:rPr>
      </w:pPr>
      <w:ins w:id="669" w:author="kavanah" w:date="2015-04-01T12:01:00Z">
        <w:r>
          <w:t>23.4.5.7.9.5.</w:t>
        </w:r>
      </w:ins>
      <w:ins w:id="670" w:author="kavanah" w:date="2015-04-01T12:58:00Z">
        <w:r>
          <w:t>2</w:t>
        </w:r>
      </w:ins>
      <w:ins w:id="671" w:author="zimberlin" w:date="2015-04-13T14:29:00Z">
        <w:r>
          <w:tab/>
        </w:r>
      </w:ins>
      <w:ins w:id="672" w:author="kavanah" w:date="2015-04-01T12:01:00Z">
        <w:r>
          <w:t>Where the ISO reasonably believes that a request for a Competitive Entry</w:t>
        </w:r>
        <w:r>
          <w:t xml:space="preserve"> Exemption was granted based on false, misleading, or inaccurate information, the ISO shall notify the Generator or UDR project that its Competitive Entry Exemption may be revoked</w:t>
        </w:r>
      </w:ins>
      <w:ins w:id="673" w:author="GK Thurs" w:date="2015-04-03T11:06:00Z">
        <w:r>
          <w:t xml:space="preserve">, and provided 30 days written notice has been </w:t>
        </w:r>
      </w:ins>
      <w:ins w:id="674" w:author="GK Thurs" w:date="2015-04-03T11:10:00Z">
        <w:r>
          <w:t>given</w:t>
        </w:r>
      </w:ins>
      <w:ins w:id="675" w:author="GK Thurs" w:date="2015-04-03T11:06:00Z">
        <w:r>
          <w:t xml:space="preserve"> to the Generator or </w:t>
        </w:r>
        <w:r>
          <w:t xml:space="preserve">UDR </w:t>
        </w:r>
      </w:ins>
      <w:ins w:id="676" w:author="Noelle J Coates" w:date="2015-04-08T21:36:00Z">
        <w:r w:rsidR="00C42165" w:rsidRPr="00C42165">
          <w:rPr>
            <w:rPrChange w:id="677" w:author="kavanah" w:date="2015-04-09T15:57:00Z">
              <w:rPr>
                <w:highlight w:val="cyan"/>
              </w:rPr>
            </w:rPrChange>
          </w:rPr>
          <w:t>project</w:t>
        </w:r>
      </w:ins>
      <w:ins w:id="678" w:author="GK 4-7-2105" w:date="2015-04-07T18:54:00Z">
        <w:r>
          <w:t xml:space="preserve"> (such notice</w:t>
        </w:r>
      </w:ins>
      <w:ins w:id="679" w:author="GK 4-7-2105" w:date="2015-04-07T18:53:00Z">
        <w:r>
          <w:t xml:space="preserve"> to the extent practicable</w:t>
        </w:r>
      </w:ins>
      <w:ins w:id="680" w:author="GK Thurs" w:date="2015-04-03T11:06:00Z">
        <w:r>
          <w:t>,</w:t>
        </w:r>
      </w:ins>
      <w:ins w:id="681" w:author="GK 4-7-2105" w:date="2015-04-07T18:54:00Z">
        <w:r>
          <w:t>)</w:t>
        </w:r>
      </w:ins>
      <w:ins w:id="682" w:author="GK Thurs" w:date="2015-04-03T11:06:00Z">
        <w:r>
          <w:t xml:space="preserve"> the ISO may revoke the Competitive Entry Exemption and apply the Mitigation Net CONE Offer </w:t>
        </w:r>
      </w:ins>
      <w:ins w:id="683" w:author="Noelle J Coates" w:date="2015-04-08T21:37:00Z">
        <w:r w:rsidR="00C42165" w:rsidRPr="00C42165">
          <w:rPr>
            <w:rPrChange w:id="684" w:author="kavanah" w:date="2015-04-09T15:57:00Z">
              <w:rPr>
                <w:highlight w:val="cyan"/>
              </w:rPr>
            </w:rPrChange>
          </w:rPr>
          <w:t>F</w:t>
        </w:r>
      </w:ins>
      <w:ins w:id="685" w:author="GK Thurs" w:date="2015-04-03T11:06:00Z">
        <w:r>
          <w:t>loor (</w:t>
        </w:r>
      </w:ins>
      <w:ins w:id="686" w:author="GK Thurs" w:date="2015-04-03T11:07:00Z">
        <w:r>
          <w:t xml:space="preserve">such value calculated based on </w:t>
        </w:r>
        <w:r>
          <w:rPr>
            <w:szCs w:val="24"/>
          </w:rPr>
          <w:t xml:space="preserve">the date it first </w:t>
        </w:r>
      </w:ins>
      <w:ins w:id="687" w:author="Noelle J Coates" w:date="2015-04-08T21:38:00Z">
        <w:r w:rsidR="00C42165" w:rsidRPr="00C42165">
          <w:rPr>
            <w:szCs w:val="24"/>
            <w:rPrChange w:id="688" w:author="kavanah" w:date="2015-04-09T15:57:00Z">
              <w:rPr>
                <w:szCs w:val="24"/>
                <w:highlight w:val="cyan"/>
              </w:rPr>
            </w:rPrChange>
          </w:rPr>
          <w:t>o</w:t>
        </w:r>
      </w:ins>
      <w:ins w:id="689" w:author="GK Thurs" w:date="2015-04-03T11:07:00Z">
        <w:r>
          <w:rPr>
            <w:szCs w:val="24"/>
          </w:rPr>
          <w:t>ff</w:t>
        </w:r>
        <w:r>
          <w:rPr>
            <w:szCs w:val="24"/>
          </w:rPr>
          <w:t xml:space="preserve">ers UCAP, in accordance with Section </w:t>
        </w:r>
        <w:r w:rsidRPr="00F0586F">
          <w:rPr>
            <w:szCs w:val="24"/>
          </w:rPr>
          <w:t>23.4.5.7.3.</w:t>
        </w:r>
      </w:ins>
      <w:ins w:id="690" w:author="GK 4-7-2105" w:date="2015-04-07T20:15:00Z">
        <w:r w:rsidRPr="00F0586F">
          <w:rPr>
            <w:szCs w:val="24"/>
          </w:rPr>
          <w:t>7</w:t>
        </w:r>
      </w:ins>
      <w:ins w:id="691" w:author="GK Thurs" w:date="2015-04-03T11:07:00Z">
        <w:r w:rsidRPr="00F0586F">
          <w:rPr>
            <w:szCs w:val="24"/>
          </w:rPr>
          <w:t>, and</w:t>
        </w:r>
        <w:r>
          <w:rPr>
            <w:szCs w:val="24"/>
          </w:rPr>
          <w:t xml:space="preserve"> ad</w:t>
        </w:r>
        <w:r>
          <w:rPr>
            <w:szCs w:val="24"/>
          </w:rPr>
          <w:t xml:space="preserve">justed annually in accordance with </w:t>
        </w:r>
        <w:r w:rsidRPr="00F0586F">
          <w:rPr>
            <w:szCs w:val="24"/>
          </w:rPr>
          <w:t>Section 23.4.5.7 of</w:t>
        </w:r>
        <w:r>
          <w:rPr>
            <w:szCs w:val="24"/>
          </w:rPr>
          <w:t xml:space="preserve"> the Services Tariff</w:t>
        </w:r>
        <w:r>
          <w:t xml:space="preserve">.)  </w:t>
        </w:r>
      </w:ins>
      <w:ins w:id="692" w:author="GK Thurs" w:date="2015-04-03T11:06:00Z">
        <w:r>
          <w:t xml:space="preserve"> </w:t>
        </w:r>
      </w:ins>
      <w:ins w:id="693" w:author="GK Thurs" w:date="2015-04-03T11:08:00Z">
        <w:r>
          <w:t>P</w:t>
        </w:r>
      </w:ins>
      <w:ins w:id="694" w:author="GK Thurs" w:date="2015-04-02T18:36:00Z">
        <w:r>
          <w:t xml:space="preserve">rior to the revocation of a Competitive Entry Exemption and the submission of a report </w:t>
        </w:r>
      </w:ins>
      <w:ins w:id="695" w:author="GK 4-7-2105" w:date="2015-04-07T20:08:00Z">
        <w:r>
          <w:t xml:space="preserve">to </w:t>
        </w:r>
      </w:ins>
      <w:ins w:id="696" w:author="GK Thurs" w:date="2015-04-02T18:36:00Z">
        <w:r>
          <w:t>the Commission’s Office of Enforcement (or any successor to its responsibilities</w:t>
        </w:r>
        <w:r w:rsidRPr="00F0586F">
          <w:t>,)</w:t>
        </w:r>
        <w:r>
          <w:t xml:space="preserve"> the</w:t>
        </w:r>
        <w:r>
          <w:t xml:space="preserve"> ISO shall provide the Generator or UDR project an opportunity to explain any statement, information, or action.  </w:t>
        </w:r>
      </w:ins>
      <w:ins w:id="697" w:author="GK Thurs" w:date="2015-04-02T18:21:00Z">
        <w:r>
          <w:t>The ISO can</w:t>
        </w:r>
      </w:ins>
      <w:ins w:id="698" w:author="GK Thurs" w:date="2015-04-02T18:22:00Z">
        <w:r>
          <w:t xml:space="preserve">not </w:t>
        </w:r>
      </w:ins>
      <w:ins w:id="699" w:author="GK Thurs" w:date="2015-04-02T18:24:00Z">
        <w:r>
          <w:t xml:space="preserve">revoke the Competitive Entry Exemption </w:t>
        </w:r>
      </w:ins>
      <w:ins w:id="700" w:author="GK Thurs" w:date="2015-04-02T18:22:00Z">
        <w:r>
          <w:t xml:space="preserve">until after the </w:t>
        </w:r>
      </w:ins>
      <w:ins w:id="701" w:author="kavanah" w:date="2015-04-01T12:06:00Z">
        <w:r>
          <w:t xml:space="preserve">30 days written notice </w:t>
        </w:r>
      </w:ins>
      <w:ins w:id="702" w:author="GK Thurs" w:date="2015-04-02T18:24:00Z">
        <w:r>
          <w:t xml:space="preserve">period </w:t>
        </w:r>
      </w:ins>
      <w:ins w:id="703" w:author="GK Thurs" w:date="2015-04-02T18:23:00Z">
        <w:r>
          <w:t xml:space="preserve">has </w:t>
        </w:r>
      </w:ins>
      <w:ins w:id="704" w:author="GK Thurs" w:date="2015-04-02T23:31:00Z">
        <w:r w:rsidRPr="00F0586F">
          <w:t>expired</w:t>
        </w:r>
      </w:ins>
      <w:ins w:id="705" w:author="kavanah" w:date="2015-04-01T12:06:00Z">
        <w:r>
          <w:t xml:space="preserve">, </w:t>
        </w:r>
      </w:ins>
      <w:ins w:id="706" w:author="GK Thurs" w:date="2015-04-02T18:24:00Z">
        <w:r>
          <w:t xml:space="preserve">unless </w:t>
        </w:r>
      </w:ins>
      <w:ins w:id="707" w:author="kavanah" w:date="2015-04-01T12:06:00Z">
        <w:r>
          <w:t xml:space="preserve">ordered to do so by </w:t>
        </w:r>
        <w:r>
          <w:t>the Commission.</w:t>
        </w:r>
      </w:ins>
    </w:p>
    <w:p w:rsidR="00791A4B" w:rsidRDefault="00F753F8">
      <w:pPr>
        <w:pStyle w:val="Heading4"/>
        <w:tabs>
          <w:tab w:val="clear" w:pos="1800"/>
          <w:tab w:val="left" w:pos="1440"/>
        </w:tabs>
        <w:spacing w:line="480" w:lineRule="auto"/>
        <w:ind w:left="1440" w:hanging="720"/>
      </w:pPr>
      <w:r w:rsidRPr="00F0586F">
        <w:rPr>
          <w:b w:val="0"/>
        </w:rPr>
        <w:t>23.4.5.7.</w:t>
      </w:r>
      <w:del w:id="708" w:author="zimberlin" w:date="2015-04-09T16:19:00Z">
        <w:r>
          <w:rPr>
            <w:b w:val="0"/>
          </w:rPr>
          <w:delText>9</w:delText>
        </w:r>
      </w:del>
      <w:ins w:id="709" w:author="zimberlin" w:date="2015-04-09T16:58:00Z">
        <w:r>
          <w:rPr>
            <w:b w:val="0"/>
          </w:rPr>
          <w:t>10</w:t>
        </w:r>
      </w:ins>
      <w:ins w:id="710" w:author="zimberlin" w:date="2015-04-13T14:29:00Z">
        <w:r>
          <w:rPr>
            <w:b w:val="0"/>
          </w:rPr>
          <w:tab/>
        </w:r>
      </w:ins>
      <w:r>
        <w:rPr>
          <w:b w:val="0"/>
        </w:rPr>
        <w:t>The ISO shall post on its website the identity of the project in a Mitigated Capacity Zone and the determination of either exempt or non-exempt as soon as the determination is final.  Concurrent with the ISO’s posting, the Mark</w:t>
      </w:r>
      <w:r>
        <w:rPr>
          <w:b w:val="0"/>
        </w:rPr>
        <w:t xml:space="preserve">et Monitoring Unit shall publish a report on the ISO’s determinations, as further specified in </w:t>
      </w:r>
      <w:r>
        <w:rPr>
          <w:b w:val="0"/>
        </w:rPr>
        <w:t>Sections 30.4.6.2.1</w:t>
      </w:r>
      <w:ins w:id="711" w:author="NJ&amp;NC" w:date="2015-04-09T09:33:00Z">
        <w:r w:rsidR="00C42165" w:rsidRPr="00C42165">
          <w:rPr>
            <w:b w:val="0"/>
            <w:rPrChange w:id="712" w:author="kavanah" w:date="2015-04-09T15:57:00Z">
              <w:rPr>
                <w:b w:val="0"/>
                <w:highlight w:val="cyan"/>
              </w:rPr>
            </w:rPrChange>
          </w:rPr>
          <w:t>2</w:t>
        </w:r>
      </w:ins>
      <w:r>
        <w:rPr>
          <w:b w:val="0"/>
        </w:rPr>
        <w:t xml:space="preserve"> and 30.10.4</w:t>
      </w:r>
      <w:r w:rsidRPr="007F6464">
        <w:rPr>
          <w:b w:val="0"/>
        </w:rPr>
        <w:t xml:space="preserve"> of</w:t>
      </w:r>
      <w:r>
        <w:rPr>
          <w:b w:val="0"/>
        </w:rPr>
        <w:t xml:space="preserve"> Attachment O to this Services Tariff.</w:t>
      </w:r>
      <w:r>
        <w:t xml:space="preserve"> </w:t>
      </w:r>
    </w:p>
    <w:p w:rsidR="00791A4B" w:rsidRDefault="00F753F8">
      <w:pPr>
        <w:pStyle w:val="romannumeralpara"/>
        <w:rPr>
          <w:bCs/>
        </w:rPr>
      </w:pPr>
      <w:r>
        <w:t>23.4.5.7.</w:t>
      </w:r>
      <w:r>
        <w:t>1</w:t>
      </w:r>
      <w:del w:id="713" w:author="zimberlin" w:date="2015-04-09T16:19:00Z">
        <w:r>
          <w:delText>0</w:delText>
        </w:r>
      </w:del>
      <w:ins w:id="714" w:author="zimberlin" w:date="2015-04-09T16:58:00Z">
        <w:r>
          <w:t>1</w:t>
        </w:r>
      </w:ins>
      <w:r>
        <w:tab/>
        <w:t xml:space="preserve">Mitigated UCAP that is subject to an Offer Floor shall remain subject to </w:t>
      </w:r>
      <w:r>
        <w:t xml:space="preserve">the requirements of Section 23.4.5.4, and if the Offer Floor is higher than the applicable offer cap shall submit offers not lower than the applicable Offer Floor.  </w:t>
      </w:r>
    </w:p>
    <w:p w:rsidR="00791A4B" w:rsidRDefault="00F753F8">
      <w:pPr>
        <w:pStyle w:val="Heading3"/>
      </w:pPr>
      <w:bookmarkStart w:id="715" w:name="_Toc261252176"/>
      <w:r>
        <w:t>23.4.6</w:t>
      </w:r>
      <w:r>
        <w:tab/>
        <w:t>Virtual Bidding Measures</w:t>
      </w:r>
      <w:bookmarkEnd w:id="715"/>
    </w:p>
    <w:p w:rsidR="00791A4B" w:rsidRDefault="00F753F8">
      <w:pPr>
        <w:pStyle w:val="Heading4"/>
      </w:pPr>
      <w:r>
        <w:t>23.4.6.1</w:t>
      </w:r>
      <w:r>
        <w:tab/>
        <w:t>Purpose</w:t>
      </w:r>
    </w:p>
    <w:p w:rsidR="00791A4B" w:rsidRDefault="00F753F8">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791A4B" w:rsidRDefault="00F753F8">
      <w:pPr>
        <w:pStyle w:val="Bodypara"/>
      </w:pPr>
      <w:r>
        <w:t>To implement the mitigation measures set forth in this Section 23.4.6, the ISO shall monitor and assess the impact of Virtual Bidding on the ISO Ad</w:t>
      </w:r>
      <w:r>
        <w:t xml:space="preserve">ministered Markets.  </w:t>
      </w:r>
    </w:p>
    <w:p w:rsidR="00791A4B" w:rsidRDefault="00F753F8">
      <w:pPr>
        <w:pStyle w:val="Heading4"/>
      </w:pPr>
      <w:r>
        <w:t>23.4.6.2</w:t>
      </w:r>
      <w:r>
        <w:tab/>
        <w:t>Implementation</w:t>
      </w:r>
    </w:p>
    <w:p w:rsidR="00791A4B" w:rsidRDefault="00F753F8">
      <w:pPr>
        <w:pStyle w:val="romannumeralpara"/>
      </w:pPr>
      <w:r>
        <w:t>23.4.6.2.1</w:t>
      </w:r>
      <w:r>
        <w:tab/>
        <w:t xml:space="preserve">Day-Ahead LBMPs and Real-Time LBMPs in each load zone shall be monitored to determine whether there is a persistent hourly deviation between them in any zone that would not be expected in a workably </w:t>
      </w:r>
      <w:r>
        <w:t>competitive market. Monitoring of Day-Ahead and real-time LBMPs shall include examination of the following two metrics (along with any additional monitoring tools and procedures that the ISO determines to be appropriate to achieve the purpose of this Secti</w:t>
      </w:r>
      <w:r>
        <w:t>on 23.4.6):</w:t>
      </w:r>
    </w:p>
    <w:p w:rsidR="00791A4B" w:rsidRDefault="00F753F8">
      <w:pPr>
        <w:pStyle w:val="alphapara"/>
      </w:pPr>
      <w:r>
        <w:tab/>
        <w:t>(1) The ISO shall compute a rolling average of the hourly deviation of real-time zonal LBMPs from Day-Ahead zonal LBMPs.  The hourly deviation shall be measured as: (zonal LBMP</w:t>
      </w:r>
      <w:r>
        <w:rPr>
          <w:vertAlign w:val="subscript"/>
        </w:rPr>
        <w:t>real time</w:t>
      </w:r>
      <w:r>
        <w:t xml:space="preserve"> - zonal LBMP</w:t>
      </w:r>
      <w:r>
        <w:rPr>
          <w:vertAlign w:val="subscript"/>
        </w:rPr>
        <w:t>day ahead</w:t>
      </w:r>
      <w:r>
        <w:t>).  Each observation of the rolling-</w:t>
      </w:r>
      <w:r>
        <w:t>average time series shall be a simple average of all the hourly deviations over the previous four weeks, or such other averaging period determined by the ISO to be appropriate to achieve the purpose of this Section 23.4.6.</w:t>
      </w:r>
    </w:p>
    <w:p w:rsidR="00791A4B" w:rsidRDefault="00F753F8">
      <w:pPr>
        <w:pStyle w:val="alphapara"/>
      </w:pPr>
      <w:r>
        <w:tab/>
      </w:r>
      <w:r>
        <w:t xml:space="preserve">(2) The ISO shall also compute the rolling average </w:t>
      </w:r>
      <w:r>
        <w:rPr>
          <w:i/>
        </w:rPr>
        <w:t>percentage</w:t>
      </w:r>
      <w:r>
        <w:t xml:space="preserve"> deviation of real-time zonal LBMPs from Day-Ahead zonal LBMPs.  This percentage deviation shall be calculated by dividing the rolling-average hourly deviation (defined in Section 23.4.6.2.1 (1) </w:t>
      </w:r>
      <w:r>
        <w:t xml:space="preserve">above) by the rolling-average level of Day-Ahead zonal LBMP over the same time period, using the averaging period(s) described in Section 23.4.6.2.1 (1), above. </w:t>
      </w:r>
    </w:p>
    <w:p w:rsidR="00791A4B" w:rsidRDefault="00F753F8">
      <w:pPr>
        <w:pStyle w:val="alphapara"/>
      </w:pPr>
      <w:r>
        <w:t>23.4.6.2.2</w:t>
      </w:r>
      <w:r>
        <w:tab/>
        <w:t>If the ISO determines that (i) the relationship between zonal LBMPs in a zone in th</w:t>
      </w:r>
      <w:r>
        <w:t>e Day-Ahead Market and the Real-Time Market is not what would be expected under conditions of workable competition, and that (ii) the Virtual Bidding practices of one or more Market Participants has contributed to an unwarranted divergence of LBMPs between</w:t>
      </w:r>
      <w:r>
        <w:t xml:space="preserve"> the two markets, then the following mitigation measure may be imposed.  Any such measure shall be rescinded upon a determination by the ISO that the foregoing conditions are not met.</w:t>
      </w:r>
    </w:p>
    <w:p w:rsidR="00791A4B" w:rsidRDefault="00F753F8">
      <w:pPr>
        <w:pStyle w:val="Heading4"/>
      </w:pPr>
      <w:r>
        <w:t>23.4.6.3</w:t>
      </w:r>
      <w:r>
        <w:tab/>
        <w:t>Description of the Measure</w:t>
      </w:r>
    </w:p>
    <w:p w:rsidR="00791A4B" w:rsidRDefault="00F753F8">
      <w:pPr>
        <w:pStyle w:val="alphapara"/>
      </w:pPr>
      <w:r>
        <w:t>23.4.6.3.1</w:t>
      </w:r>
      <w:r>
        <w:tab/>
        <w:t>If the ISO determines tha</w:t>
      </w:r>
      <w:r>
        <w:t xml:space="preserve">t the conditions specified in Section 23.4.6.2 exist, the ISO may limit the hourly quantities of Virtual Bids for supply or load that may be offered in a zone by a Market Participant whose Virtual Bidding practices have been determined to contribute to an </w:t>
      </w:r>
      <w:r>
        <w:t>unwarranted divergence of LBMPs between the Day-Ahead and Real-Time Markets.  Any such limitation shall be set at such level that, and shall remain in place for such period as, in the best judgment of the ISO, would be sufficient to prevent any unwarranted</w:t>
      </w:r>
      <w:r>
        <w:t xml:space="preserve"> divergence between Day-Ahead and Real-Time LBMPs.</w:t>
      </w:r>
    </w:p>
    <w:p w:rsidR="00791A4B" w:rsidRDefault="00F753F8">
      <w:pPr>
        <w:pStyle w:val="alphapara"/>
      </w:pPr>
      <w:r>
        <w:t>23.4.6.3.2</w:t>
      </w:r>
      <w:r>
        <w:tab/>
        <w:t>As part of the foregoing determination, the ISO shall request explanations of the relevant Virtual Bidding practices from any Market Participant submitting such Bids.  Prior to imposing a Virtua</w:t>
      </w:r>
      <w:r>
        <w:t xml:space="preserve">l Bidding quantity limitation as specified above, the ISO shall notify the affected Market Participant of the limitation. </w:t>
      </w:r>
    </w:p>
    <w:p w:rsidR="00791A4B" w:rsidRDefault="00F753F8">
      <w:pPr>
        <w:pStyle w:val="Heading4"/>
      </w:pPr>
      <w:r>
        <w:t>23.4.6.4</w:t>
      </w:r>
      <w:r>
        <w:tab/>
        <w:t>Limitation of Virtual Bidding</w:t>
      </w:r>
    </w:p>
    <w:p w:rsidR="00791A4B" w:rsidRDefault="00F753F8">
      <w:pPr>
        <w:pStyle w:val="Bodypara"/>
      </w:pPr>
      <w:r>
        <w:t>If the ISO determines that such action is necessary to avoid substantial deviations of LBMPs b</w:t>
      </w:r>
      <w:r>
        <w:t>etween the Day-Ahead and Real-Time Markets, the ISO may impose limits on the quantities of Virtual Bids that may be offered by all Market Participants.  Any such restriction shall limit the quantity of Virtual Bids for supply or load that may be offered by</w:t>
      </w:r>
      <w:r>
        <w:t xml:space="preserve"> each Market Participant by hour and by zone.  Any such limit shall remain in place for the minimum period necessary to avoid substantial deviations of LBMPs between the Day-Ahead and Real-Time Markets, or to maintain the reliability of the New York Contro</w:t>
      </w:r>
      <w:r>
        <w:t>l Area.</w:t>
      </w:r>
    </w:p>
    <w:p w:rsidR="00791A4B" w:rsidRDefault="00F753F8">
      <w:pPr>
        <w:pStyle w:val="Heading3"/>
      </w:pPr>
      <w:bookmarkStart w:id="716" w:name="_Toc261252177"/>
      <w:bookmarkEnd w:id="43"/>
      <w:r>
        <w:t>23.4.7</w:t>
      </w:r>
      <w:r>
        <w:tab/>
        <w:t>Increasing Bids in Real-Time for Day-Ahead Scheduled Incremental Energy</w:t>
      </w:r>
    </w:p>
    <w:p w:rsidR="00791A4B" w:rsidRDefault="00F753F8">
      <w:pPr>
        <w:pStyle w:val="Heading4"/>
      </w:pPr>
      <w:r>
        <w:t>23.4.7.1</w:t>
      </w:r>
      <w:r>
        <w:tab/>
        <w:t>Purpose</w:t>
      </w:r>
    </w:p>
    <w:p w:rsidR="00791A4B" w:rsidRDefault="00F753F8">
      <w:pPr>
        <w:pStyle w:val="Bodypara"/>
      </w:pPr>
      <w:r>
        <w:t xml:space="preserve">This Section 23.4.7 specifies the monitoring applicable and the mitigation measures that may be applicable to a Market Party with submitted Incremental </w:t>
      </w:r>
      <w:r>
        <w:t>Energy Bids in the real-time market that exceed the Incremental Energy Bids made in the Day-Ahead Market or mitigated Day-Ahead Incremental Energy Bids where appropriated, for a portion of the Capacity of one or more of its Generators that has been schedul</w:t>
      </w:r>
      <w:r>
        <w:t>ed in the Day-Ahead Market.</w:t>
      </w:r>
    </w:p>
    <w:p w:rsidR="00791A4B" w:rsidRDefault="00F753F8">
      <w:pPr>
        <w:pStyle w:val="Bodypara"/>
      </w:pPr>
      <w:r>
        <w:t>The purpose of the Services Tariff rules authorizing the submission of Incremental Energy Bids in the real-time market that exceed the Incremental Energy Bids made in the Day-Ahead Market or mitigated Day-Ahead Incremental Energ</w:t>
      </w:r>
      <w:r>
        <w:t>y Bids where appropriate, of the portion of the Capacity of a Market Party’s Generator that was scheduled in the Day-Ahead Market is to permit the inclusion of additional costs of providing incremental Energy in real-time Incremental Energy Bids for Genera</w:t>
      </w:r>
      <w:r>
        <w:t>tors scheduled in the Day-Ahead Market, where the additional costs of providing incremental Energy were not known prior to the close of the Day-Ahead Market.</w:t>
      </w:r>
    </w:p>
    <w:p w:rsidR="00791A4B" w:rsidRDefault="00F753F8">
      <w:pPr>
        <w:pStyle w:val="Heading4"/>
      </w:pPr>
      <w:r>
        <w:t>23.4.7.2</w:t>
      </w:r>
      <w:r>
        <w:tab/>
        <w:t>Monitoring and Implementation</w:t>
      </w:r>
    </w:p>
    <w:p w:rsidR="00791A4B" w:rsidRDefault="00F753F8">
      <w:pPr>
        <w:pStyle w:val="Bodypara"/>
      </w:pPr>
      <w:r>
        <w:t>The ISO will monitor Market Parties for unjustified interac</w:t>
      </w:r>
      <w:r>
        <w:t>tions between a Market Party’s virtual bidding and the submission of real-time Incremental Energy Bids that exceed the Incremental Energy Bids submitted in the Day-Ahead Market or mitigated Day-Ahead Incremental Energy Bids where appropriate, for the porti</w:t>
      </w:r>
      <w:r>
        <w:t>on of a Generator’s Capacity that was scheduled in the Day-Ahead Market.</w:t>
      </w:r>
    </w:p>
    <w:p w:rsidR="00791A4B" w:rsidRDefault="00F753F8">
      <w:pPr>
        <w:pStyle w:val="Bodypara"/>
      </w:pPr>
      <w:r>
        <w:t>If the Market Party has a scheduled Virtual Load Bid for the same hour of the Dispatch Day as the hour for which submitted real-time Incremental Energy Bids exceeded the Incremental E</w:t>
      </w:r>
      <w:r>
        <w:t>nergy Bids submitted in the Day-Ahead Market or mitigated Day-Ahead Incremental Energy Bids where appropriate, for a portion of its Generator’s Capacity that was scheduled in the Day-Ahead Market, and any such real-time Incremental Energy Bids exceed the r</w:t>
      </w:r>
      <w:r>
        <w:t>eference level for those Bids that can be justified after-the-fact by more than:</w:t>
      </w:r>
    </w:p>
    <w:p w:rsidR="00791A4B" w:rsidRDefault="00F753F8">
      <w:pPr>
        <w:pStyle w:val="alphapara"/>
      </w:pPr>
      <w:r>
        <w:t xml:space="preserve">(i) </w:t>
      </w:r>
      <w:r>
        <w:tab/>
        <w:t>the lower of $100/MWh or 300%</w:t>
      </w:r>
    </w:p>
    <w:p w:rsidR="00791A4B" w:rsidRDefault="00F753F8">
      <w:pPr>
        <w:pStyle w:val="romannumeralpara"/>
      </w:pPr>
      <w:r>
        <w:t xml:space="preserve">(ii) </w:t>
      </w:r>
      <w:r>
        <w:tab/>
        <w:t>If the Market Party’s Generator is located in a Constrained Area for intervals in which an interface or facility into the area in whic</w:t>
      </w:r>
      <w:r>
        <w:t>h the Generator or generation is located has a Shadow Price greater than zero, then a threshold calculated in accordance with Sections 23.3.1.2.2.1 and 23.3.1.2.2.2 of these Mitigation Measures;</w:t>
      </w:r>
    </w:p>
    <w:p w:rsidR="00791A4B" w:rsidRDefault="00F753F8">
      <w:pPr>
        <w:pStyle w:val="Bodypara"/>
        <w:ind w:firstLine="0"/>
      </w:pPr>
      <w:r>
        <w:t>and a calculation of a virtual market penalty pursuant to the</w:t>
      </w:r>
      <w:r>
        <w:t xml:space="preserve"> formula set forth in Section 23.4.3.3.4 of these Mitigation Measures for the Market Party would produce a penalty in excess of $1000, then the mitigation measure specified below in Section 23.4.7.3.1 shall be imposed for the Market Party’s Generator, alon</w:t>
      </w:r>
      <w:r>
        <w:t>g with a penalty calculated in accordance with Section 23.4.3.3.4 of these Mitigation Measures.  The application of a penalty under Section 23.4.3.3.4 of these Mitigation Measures shall not preclude the simultaneous application of a penalty pursuant to Sec</w:t>
      </w:r>
      <w:r>
        <w:t>tion 23.4.3.3.3 of these Mitigation Measures.</w:t>
      </w:r>
    </w:p>
    <w:p w:rsidR="00791A4B" w:rsidRDefault="00F753F8">
      <w:pPr>
        <w:pStyle w:val="Heading4"/>
      </w:pPr>
      <w:r>
        <w:t>23.4.7.3</w:t>
      </w:r>
      <w:r>
        <w:tab/>
      </w:r>
      <w:r>
        <w:tab/>
        <w:t>Mitigation Measure</w:t>
      </w:r>
    </w:p>
    <w:p w:rsidR="00791A4B" w:rsidRDefault="00F753F8">
      <w:pPr>
        <w:pStyle w:val="alphapara"/>
      </w:pPr>
      <w:r>
        <w:t>23.4.7.3.1</w:t>
      </w:r>
      <w:r>
        <w:tab/>
        <w:t xml:space="preserve">If the ISO determines that the conditions specified in Section 23.4.7.2 exist the ISO shall revoke the opportunity for any bidder of that Generator to submit Incremental </w:t>
      </w:r>
      <w:r>
        <w:t>Energy Bids in the real-time market that exceed the Incremental Energy Bids submitted in the Day-Ahead Market or mitigated Day-Ahead Incremental Energy Bids where appropriate, for portions of that Generator’s Capacity that were scheduled Day-Ahead.</w:t>
      </w:r>
    </w:p>
    <w:p w:rsidR="00791A4B" w:rsidRDefault="00F753F8">
      <w:pPr>
        <w:pStyle w:val="romannumeralpara"/>
      </w:pPr>
      <w:r>
        <w:t>23.4.7.</w:t>
      </w:r>
      <w:r>
        <w:t>3.1.1</w:t>
      </w:r>
      <w:r>
        <w:tab/>
        <w:t>The first time the ISO revokes the opportunity for bidders of a Generator to submit Incremental Energy Bids in the Real-Time Market that exceed the Incremental Energy Bids submitted in the Day-Ahead Market or mitigated Day-Ahead Incremental Energy Bi</w:t>
      </w:r>
      <w:r>
        <w:t>ds where appropriate, for portions of that Generator’s Capacity that were scheduled Day-Ahead, mitigation shall be imposed for 90 days.  The 90 day period shall start two business days after the date that the ISO provides written notice of its determinatio</w:t>
      </w:r>
      <w:r>
        <w:t>n that the application of mitigation is required.</w:t>
      </w:r>
    </w:p>
    <w:p w:rsidR="00791A4B" w:rsidRDefault="00F753F8">
      <w:pPr>
        <w:pStyle w:val="alphapara"/>
      </w:pPr>
      <w:r>
        <w:t>23.4.7.3.1.2</w:t>
      </w:r>
      <w:r>
        <w:tab/>
      </w:r>
      <w:r>
        <w:t>Any subsequent time the ISO revoked the opportunity for bidders of a Generator to submit Incremental Energy Bids in the Real-Time Market that exceed the Incremental Energy Bids submitted in the Day-Ahead Market or mitigated Day-Ahead Incremental Energy Bid</w:t>
      </w:r>
      <w:r>
        <w:t>s where appropriate, for portions of that Generator’s Capacity that were scheduled Day-Ahead, mitigation shall be imposed for 180 days.  The 180 day period shall start two business days after the date that the ISO provides written notice of its determinati</w:t>
      </w:r>
      <w:r>
        <w:t>on that the application of mitigation is required.</w:t>
      </w:r>
    </w:p>
    <w:p w:rsidR="00791A4B" w:rsidRDefault="00F753F8">
      <w:pPr>
        <w:pStyle w:val="alphapara"/>
      </w:pPr>
      <w:r>
        <w:t>23.4.7.3.1.3</w:t>
      </w:r>
      <w:r>
        <w:tab/>
        <w:t xml:space="preserve">If bidders of a Generator that has previously been mitigated under this Section 23.4.7.3 become and remain continuously eligible to submit Incremental Energy Bids in the Real-Time Market that </w:t>
      </w:r>
      <w:r>
        <w:t>exceed the Incremental Energy Bids submitted in the Day-Ahead Market or mitigated Day-Ahead Incremental Energy Bids where appropriate, for portions of that Generator’s Capacity that were scheduled Day-Ahead, for a period of one year or more, then the ISO s</w:t>
      </w:r>
      <w:r>
        <w:t>hall apply the mitigation measure set forth in Section 23.4.7.3 of the Mitigation Measures as if the Generator had not previously been subject to this mitigation measure.</w:t>
      </w:r>
    </w:p>
    <w:p w:rsidR="00791A4B" w:rsidRDefault="00F753F8">
      <w:pPr>
        <w:pStyle w:val="alphapara"/>
      </w:pPr>
      <w:r>
        <w:t>23.4.7.3.1.4</w:t>
      </w:r>
      <w:r>
        <w:tab/>
        <w:t>Market Parties that transfer, sell, assign, or grant to another Market P</w:t>
      </w:r>
      <w:r>
        <w:t>arty the right or ability to Bid a Generator that is subject to the mitigation measure in this Section 23.4.7.3 are required to inform the new Market Party that the Generator is subject to mitigation under this measure, and to inform the new Market Party o</w:t>
      </w:r>
      <w:r>
        <w:t>f the expected duration of such mitigation.</w:t>
      </w:r>
    </w:p>
    <w:p w:rsidR="00791A4B" w:rsidRDefault="00F753F8">
      <w:pPr>
        <w:pStyle w:val="Heading3"/>
      </w:pPr>
      <w:r>
        <w:t>23.4.8</w:t>
      </w:r>
      <w:r>
        <w:tab/>
        <w:t>Duration of Mitigation Measures</w:t>
      </w:r>
      <w:bookmarkEnd w:id="716"/>
    </w:p>
    <w:p w:rsidR="00791A4B" w:rsidRDefault="00F753F8">
      <w:pPr>
        <w:pStyle w:val="Bodypara"/>
      </w:pPr>
      <w:r>
        <w:t xml:space="preserve">Except as specified in Section 23.4.5 of this Attachment H, any mitigation measure imposed as specified above shall expire not later than six months after the occurrence of </w:t>
      </w:r>
      <w:r>
        <w:t>the conduct giving rise to the measure, or at such earlier time as may be specified by the ISO.</w:t>
      </w:r>
    </w:p>
    <w:p w:rsidR="00791A4B" w:rsidRDefault="00F753F8">
      <w:pPr>
        <w:pStyle w:val="Bodypara"/>
        <w:ind w:firstLine="0"/>
      </w:pPr>
    </w:p>
    <w:sectPr w:rsidR="00791A4B" w:rsidSect="00B06E7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65" w:rsidRDefault="00C42165" w:rsidP="00C42165">
      <w:r>
        <w:separator/>
      </w:r>
    </w:p>
  </w:endnote>
  <w:endnote w:type="continuationSeparator" w:id="0">
    <w:p w:rsidR="00C42165" w:rsidRDefault="00C42165" w:rsidP="00C421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65" w:rsidRDefault="00F753F8">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2/26/2015 - Docket #: ER15-1498-000 - Page </w:t>
    </w:r>
    <w:r w:rsidR="00C42165">
      <w:rPr>
        <w:rFonts w:ascii="Arial" w:eastAsia="Arial" w:hAnsi="Arial" w:cs="Arial"/>
        <w:color w:val="000000"/>
        <w:sz w:val="16"/>
      </w:rPr>
      <w:fldChar w:fldCharType="begin"/>
    </w:r>
    <w:r>
      <w:rPr>
        <w:rFonts w:ascii="Arial" w:eastAsia="Arial" w:hAnsi="Arial" w:cs="Arial"/>
        <w:color w:val="000000"/>
        <w:sz w:val="16"/>
      </w:rPr>
      <w:instrText>PAGE</w:instrText>
    </w:r>
    <w:r w:rsidR="00C421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65" w:rsidRDefault="00F753F8">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C421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21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65" w:rsidRDefault="00F753F8">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C42165">
      <w:rPr>
        <w:rFonts w:ascii="Arial" w:eastAsia="Arial" w:hAnsi="Arial" w:cs="Arial"/>
        <w:color w:val="000000"/>
        <w:sz w:val="16"/>
      </w:rPr>
      <w:fldChar w:fldCharType="begin"/>
    </w:r>
    <w:r>
      <w:rPr>
        <w:rFonts w:ascii="Arial" w:eastAsia="Arial" w:hAnsi="Arial" w:cs="Arial"/>
        <w:color w:val="000000"/>
        <w:sz w:val="16"/>
      </w:rPr>
      <w:instrText>PAGE</w:instrText>
    </w:r>
    <w:r w:rsidR="00C421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65" w:rsidRDefault="00C42165" w:rsidP="00C42165">
      <w:r>
        <w:separator/>
      </w:r>
    </w:p>
  </w:footnote>
  <w:footnote w:type="continuationSeparator" w:id="0">
    <w:p w:rsidR="00C42165" w:rsidRDefault="00C42165" w:rsidP="00C4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65" w:rsidRDefault="00F753F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65" w:rsidRDefault="00F753F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65" w:rsidRDefault="00F753F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w:t>
    </w:r>
    <w:r>
      <w:rPr>
        <w:rFonts w:ascii="Arial" w:eastAsia="Arial" w:hAnsi="Arial" w:cs="Arial"/>
        <w:color w:val="000000"/>
        <w:sz w:val="16"/>
      </w:rPr>
      <w:t xml:space="preserve">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FD27D1A">
      <w:start w:val="1"/>
      <w:numFmt w:val="bullet"/>
      <w:pStyle w:val="Bulletpara"/>
      <w:lvlText w:val=""/>
      <w:lvlJc w:val="left"/>
      <w:pPr>
        <w:tabs>
          <w:tab w:val="num" w:pos="720"/>
        </w:tabs>
        <w:ind w:left="720" w:hanging="360"/>
      </w:pPr>
      <w:rPr>
        <w:rFonts w:ascii="Symbol" w:hAnsi="Symbol" w:hint="default"/>
      </w:rPr>
    </w:lvl>
    <w:lvl w:ilvl="1" w:tplc="F18C27B8" w:tentative="1">
      <w:start w:val="1"/>
      <w:numFmt w:val="bullet"/>
      <w:lvlText w:val="o"/>
      <w:lvlJc w:val="left"/>
      <w:pPr>
        <w:tabs>
          <w:tab w:val="num" w:pos="1440"/>
        </w:tabs>
        <w:ind w:left="1440" w:hanging="360"/>
      </w:pPr>
      <w:rPr>
        <w:rFonts w:ascii="Courier New" w:hAnsi="Courier New" w:cs="Courier New" w:hint="default"/>
      </w:rPr>
    </w:lvl>
    <w:lvl w:ilvl="2" w:tplc="2F2E3F9C" w:tentative="1">
      <w:start w:val="1"/>
      <w:numFmt w:val="bullet"/>
      <w:lvlText w:val=""/>
      <w:lvlJc w:val="left"/>
      <w:pPr>
        <w:tabs>
          <w:tab w:val="num" w:pos="2160"/>
        </w:tabs>
        <w:ind w:left="2160" w:hanging="360"/>
      </w:pPr>
      <w:rPr>
        <w:rFonts w:ascii="Wingdings" w:hAnsi="Wingdings" w:hint="default"/>
      </w:rPr>
    </w:lvl>
    <w:lvl w:ilvl="3" w:tplc="C3E0EB74" w:tentative="1">
      <w:start w:val="1"/>
      <w:numFmt w:val="bullet"/>
      <w:lvlText w:val=""/>
      <w:lvlJc w:val="left"/>
      <w:pPr>
        <w:tabs>
          <w:tab w:val="num" w:pos="2880"/>
        </w:tabs>
        <w:ind w:left="2880" w:hanging="360"/>
      </w:pPr>
      <w:rPr>
        <w:rFonts w:ascii="Symbol" w:hAnsi="Symbol" w:hint="default"/>
      </w:rPr>
    </w:lvl>
    <w:lvl w:ilvl="4" w:tplc="8286C7BC" w:tentative="1">
      <w:start w:val="1"/>
      <w:numFmt w:val="bullet"/>
      <w:lvlText w:val="o"/>
      <w:lvlJc w:val="left"/>
      <w:pPr>
        <w:tabs>
          <w:tab w:val="num" w:pos="3600"/>
        </w:tabs>
        <w:ind w:left="3600" w:hanging="360"/>
      </w:pPr>
      <w:rPr>
        <w:rFonts w:ascii="Courier New" w:hAnsi="Courier New" w:cs="Courier New" w:hint="default"/>
      </w:rPr>
    </w:lvl>
    <w:lvl w:ilvl="5" w:tplc="EBB8A8E6" w:tentative="1">
      <w:start w:val="1"/>
      <w:numFmt w:val="bullet"/>
      <w:lvlText w:val=""/>
      <w:lvlJc w:val="left"/>
      <w:pPr>
        <w:tabs>
          <w:tab w:val="num" w:pos="4320"/>
        </w:tabs>
        <w:ind w:left="4320" w:hanging="360"/>
      </w:pPr>
      <w:rPr>
        <w:rFonts w:ascii="Wingdings" w:hAnsi="Wingdings" w:hint="default"/>
      </w:rPr>
    </w:lvl>
    <w:lvl w:ilvl="6" w:tplc="1B18EE90" w:tentative="1">
      <w:start w:val="1"/>
      <w:numFmt w:val="bullet"/>
      <w:lvlText w:val=""/>
      <w:lvlJc w:val="left"/>
      <w:pPr>
        <w:tabs>
          <w:tab w:val="num" w:pos="5040"/>
        </w:tabs>
        <w:ind w:left="5040" w:hanging="360"/>
      </w:pPr>
      <w:rPr>
        <w:rFonts w:ascii="Symbol" w:hAnsi="Symbol" w:hint="default"/>
      </w:rPr>
    </w:lvl>
    <w:lvl w:ilvl="7" w:tplc="8B14F926" w:tentative="1">
      <w:start w:val="1"/>
      <w:numFmt w:val="bullet"/>
      <w:lvlText w:val="o"/>
      <w:lvlJc w:val="left"/>
      <w:pPr>
        <w:tabs>
          <w:tab w:val="num" w:pos="5760"/>
        </w:tabs>
        <w:ind w:left="5760" w:hanging="360"/>
      </w:pPr>
      <w:rPr>
        <w:rFonts w:ascii="Courier New" w:hAnsi="Courier New" w:cs="Courier New" w:hint="default"/>
      </w:rPr>
    </w:lvl>
    <w:lvl w:ilvl="8" w:tplc="A7FAA58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C42165"/>
    <w:rsid w:val="00C42165"/>
    <w:rsid w:val="00F7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A1"/>
    <w:rPr>
      <w:sz w:val="24"/>
      <w:szCs w:val="24"/>
    </w:rPr>
  </w:style>
  <w:style w:type="paragraph" w:styleId="Heading1">
    <w:name w:val="heading 1"/>
    <w:basedOn w:val="Normal"/>
    <w:next w:val="Normal"/>
    <w:qFormat/>
    <w:rsid w:val="00B06E72"/>
    <w:pPr>
      <w:keepNext/>
      <w:spacing w:before="240" w:after="240"/>
      <w:ind w:left="720" w:hanging="720"/>
      <w:outlineLvl w:val="0"/>
    </w:pPr>
    <w:rPr>
      <w:b/>
    </w:rPr>
  </w:style>
  <w:style w:type="paragraph" w:styleId="Heading2">
    <w:name w:val="heading 2"/>
    <w:basedOn w:val="Normal"/>
    <w:next w:val="Normal"/>
    <w:qFormat/>
    <w:rsid w:val="00B06E7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06E7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06E72"/>
    <w:pPr>
      <w:keepNext/>
      <w:tabs>
        <w:tab w:val="left" w:pos="1800"/>
      </w:tabs>
      <w:spacing w:before="240" w:after="240"/>
      <w:ind w:left="1800" w:hanging="1080"/>
      <w:outlineLvl w:val="3"/>
    </w:pPr>
    <w:rPr>
      <w:b/>
    </w:rPr>
  </w:style>
  <w:style w:type="paragraph" w:styleId="Heading5">
    <w:name w:val="heading 5"/>
    <w:basedOn w:val="Normal"/>
    <w:next w:val="Normal"/>
    <w:qFormat/>
    <w:rsid w:val="00B06E72"/>
    <w:pPr>
      <w:keepNext/>
      <w:spacing w:line="480" w:lineRule="auto"/>
      <w:ind w:left="1440" w:right="-90" w:hanging="720"/>
      <w:outlineLvl w:val="4"/>
    </w:pPr>
    <w:rPr>
      <w:b/>
    </w:rPr>
  </w:style>
  <w:style w:type="paragraph" w:styleId="Heading6">
    <w:name w:val="heading 6"/>
    <w:basedOn w:val="Normal"/>
    <w:next w:val="Normal"/>
    <w:qFormat/>
    <w:rsid w:val="00B06E72"/>
    <w:pPr>
      <w:keepNext/>
      <w:spacing w:line="480" w:lineRule="auto"/>
      <w:ind w:left="1080" w:right="-90" w:hanging="360"/>
      <w:outlineLvl w:val="5"/>
    </w:pPr>
    <w:rPr>
      <w:b/>
    </w:rPr>
  </w:style>
  <w:style w:type="paragraph" w:styleId="Heading7">
    <w:name w:val="heading 7"/>
    <w:basedOn w:val="Normal"/>
    <w:next w:val="Normal"/>
    <w:qFormat/>
    <w:rsid w:val="00B06E72"/>
    <w:pPr>
      <w:keepNext/>
      <w:spacing w:line="480" w:lineRule="auto"/>
      <w:ind w:left="720" w:right="630"/>
      <w:outlineLvl w:val="6"/>
    </w:pPr>
    <w:rPr>
      <w:b/>
    </w:rPr>
  </w:style>
  <w:style w:type="paragraph" w:styleId="Heading8">
    <w:name w:val="heading 8"/>
    <w:basedOn w:val="Normal"/>
    <w:next w:val="Normal"/>
    <w:qFormat/>
    <w:rsid w:val="00B06E72"/>
    <w:pPr>
      <w:keepNext/>
      <w:spacing w:line="480" w:lineRule="auto"/>
      <w:ind w:left="720" w:right="-90"/>
      <w:outlineLvl w:val="7"/>
    </w:pPr>
    <w:rPr>
      <w:b/>
    </w:rPr>
  </w:style>
  <w:style w:type="paragraph" w:styleId="Heading9">
    <w:name w:val="heading 9"/>
    <w:basedOn w:val="Normal"/>
    <w:next w:val="Normal"/>
    <w:qFormat/>
    <w:rsid w:val="00B06E7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06E72"/>
    <w:rPr>
      <w:b/>
      <w:snapToGrid w:val="0"/>
      <w:sz w:val="24"/>
      <w:lang w:val="en-US" w:eastAsia="en-US" w:bidi="ar-SA"/>
    </w:rPr>
  </w:style>
  <w:style w:type="paragraph" w:customStyle="1" w:styleId="equationtext">
    <w:name w:val="equation text"/>
    <w:basedOn w:val="romannumeralpara"/>
    <w:rsid w:val="00B06E72"/>
    <w:pPr>
      <w:spacing w:before="120" w:after="120" w:line="240" w:lineRule="auto"/>
      <w:ind w:left="2880" w:hanging="2160"/>
    </w:pPr>
  </w:style>
  <w:style w:type="paragraph" w:customStyle="1" w:styleId="romannumeralpara">
    <w:name w:val="roman numeral para"/>
    <w:basedOn w:val="Normal"/>
    <w:link w:val="romannumeralparaChar"/>
    <w:rsid w:val="00B06E72"/>
    <w:pPr>
      <w:spacing w:line="480" w:lineRule="auto"/>
      <w:ind w:left="1440" w:hanging="720"/>
    </w:pPr>
    <w:rPr>
      <w:snapToGrid w:val="0"/>
      <w:szCs w:val="20"/>
    </w:rPr>
  </w:style>
  <w:style w:type="paragraph" w:styleId="Footer">
    <w:name w:val="footer"/>
    <w:basedOn w:val="Normal"/>
    <w:rsid w:val="00B06E72"/>
    <w:pPr>
      <w:tabs>
        <w:tab w:val="center" w:pos="4320"/>
        <w:tab w:val="right" w:pos="8640"/>
      </w:tabs>
    </w:pPr>
  </w:style>
  <w:style w:type="character" w:styleId="PageNumber">
    <w:name w:val="page number"/>
    <w:rsid w:val="00B06E72"/>
    <w:rPr>
      <w:spacing w:val="0"/>
      <w:sz w:val="20"/>
    </w:rPr>
  </w:style>
  <w:style w:type="paragraph" w:styleId="FootnoteText">
    <w:name w:val="footnote text"/>
    <w:basedOn w:val="Normal"/>
    <w:link w:val="FootnoteTextChar"/>
    <w:uiPriority w:val="99"/>
    <w:semiHidden/>
    <w:rsid w:val="00B06E72"/>
    <w:pPr>
      <w:jc w:val="both"/>
    </w:pPr>
    <w:rPr>
      <w:sz w:val="20"/>
    </w:rPr>
  </w:style>
  <w:style w:type="character" w:styleId="FootnoteReference">
    <w:name w:val="footnote reference"/>
    <w:uiPriority w:val="99"/>
    <w:semiHidden/>
    <w:rsid w:val="00B06E72"/>
  </w:style>
  <w:style w:type="paragraph" w:styleId="Header">
    <w:name w:val="header"/>
    <w:basedOn w:val="Normal"/>
    <w:rsid w:val="00B06E72"/>
    <w:pPr>
      <w:tabs>
        <w:tab w:val="center" w:pos="4680"/>
        <w:tab w:val="right" w:pos="9360"/>
      </w:tabs>
    </w:pPr>
  </w:style>
  <w:style w:type="paragraph" w:styleId="TOC1">
    <w:name w:val="toc 1"/>
    <w:basedOn w:val="Normal"/>
    <w:next w:val="Normal"/>
    <w:semiHidden/>
    <w:rsid w:val="00B06E72"/>
  </w:style>
  <w:style w:type="character" w:styleId="CommentReference">
    <w:name w:val="annotation reference"/>
    <w:semiHidden/>
    <w:rsid w:val="00B06E72"/>
    <w:rPr>
      <w:spacing w:val="0"/>
      <w:sz w:val="16"/>
    </w:rPr>
  </w:style>
  <w:style w:type="paragraph" w:styleId="CommentText">
    <w:name w:val="annotation text"/>
    <w:basedOn w:val="Normal"/>
    <w:link w:val="CommentTextChar"/>
    <w:semiHidden/>
    <w:rsid w:val="00B06E72"/>
    <w:rPr>
      <w:sz w:val="20"/>
    </w:rPr>
  </w:style>
  <w:style w:type="paragraph" w:styleId="DocumentMap">
    <w:name w:val="Document Map"/>
    <w:basedOn w:val="Normal"/>
    <w:semiHidden/>
    <w:rsid w:val="00B06E72"/>
    <w:pPr>
      <w:shd w:val="clear" w:color="auto" w:fill="000080"/>
    </w:pPr>
    <w:rPr>
      <w:rFonts w:ascii="Tahoma" w:hAnsi="Tahoma" w:cs="Tahoma"/>
      <w:sz w:val="20"/>
    </w:rPr>
  </w:style>
  <w:style w:type="character" w:customStyle="1" w:styleId="WFYComments">
    <w:name w:val="WFY Comments"/>
    <w:rsid w:val="00B06E72"/>
    <w:rPr>
      <w:rFonts w:ascii="Bradley Hand ITC" w:hAnsi="Bradley Hand ITC" w:cs="Arial"/>
      <w:color w:val="000080"/>
      <w:spacing w:val="0"/>
      <w:sz w:val="24"/>
      <w:szCs w:val="22"/>
    </w:rPr>
  </w:style>
  <w:style w:type="paragraph" w:customStyle="1" w:styleId="Definition">
    <w:name w:val="Definition"/>
    <w:basedOn w:val="Normal"/>
    <w:rsid w:val="00B06E72"/>
    <w:pPr>
      <w:spacing w:before="240" w:after="240"/>
    </w:pPr>
  </w:style>
  <w:style w:type="paragraph" w:customStyle="1" w:styleId="Definitionindent">
    <w:name w:val="Definition indent"/>
    <w:basedOn w:val="Definition"/>
    <w:rsid w:val="00B06E72"/>
    <w:pPr>
      <w:spacing w:before="120" w:after="120"/>
      <w:ind w:left="720"/>
    </w:pPr>
  </w:style>
  <w:style w:type="paragraph" w:customStyle="1" w:styleId="Bodypara">
    <w:name w:val="Body para"/>
    <w:basedOn w:val="Normal"/>
    <w:link w:val="BodyparaChar"/>
    <w:rsid w:val="00B06E72"/>
    <w:pPr>
      <w:spacing w:line="480" w:lineRule="auto"/>
      <w:ind w:firstLine="720"/>
    </w:pPr>
    <w:rPr>
      <w:snapToGrid w:val="0"/>
      <w:szCs w:val="20"/>
    </w:rPr>
  </w:style>
  <w:style w:type="paragraph" w:customStyle="1" w:styleId="alphapara">
    <w:name w:val="alpha para"/>
    <w:basedOn w:val="Bodypara"/>
    <w:link w:val="alphaparaChar"/>
    <w:rsid w:val="00B06E72"/>
    <w:pPr>
      <w:ind w:left="1440" w:hanging="720"/>
    </w:pPr>
  </w:style>
  <w:style w:type="paragraph" w:customStyle="1" w:styleId="TOCHeading1">
    <w:name w:val="TOC Heading1"/>
    <w:basedOn w:val="Normal"/>
    <w:rsid w:val="00B06E72"/>
    <w:pPr>
      <w:spacing w:before="240" w:after="240"/>
    </w:pPr>
    <w:rPr>
      <w:b/>
    </w:rPr>
  </w:style>
  <w:style w:type="paragraph" w:styleId="BalloonText">
    <w:name w:val="Balloon Text"/>
    <w:basedOn w:val="Normal"/>
    <w:semiHidden/>
    <w:rsid w:val="00B06E72"/>
    <w:rPr>
      <w:rFonts w:ascii="Tahoma" w:hAnsi="Tahoma" w:cs="Tahoma"/>
      <w:sz w:val="16"/>
      <w:szCs w:val="16"/>
    </w:rPr>
  </w:style>
  <w:style w:type="paragraph" w:customStyle="1" w:styleId="subhead">
    <w:name w:val="subhead"/>
    <w:basedOn w:val="Heading4"/>
    <w:rsid w:val="00B06E72"/>
    <w:pPr>
      <w:tabs>
        <w:tab w:val="clear" w:pos="1800"/>
      </w:tabs>
      <w:ind w:left="720" w:firstLine="0"/>
    </w:pPr>
  </w:style>
  <w:style w:type="paragraph" w:customStyle="1" w:styleId="alphaheading">
    <w:name w:val="alpha heading"/>
    <w:basedOn w:val="Normal"/>
    <w:rsid w:val="00B06E72"/>
    <w:pPr>
      <w:keepNext/>
      <w:tabs>
        <w:tab w:val="left" w:pos="1440"/>
      </w:tabs>
      <w:spacing w:before="240" w:after="240"/>
      <w:ind w:left="1440" w:hanging="720"/>
    </w:pPr>
    <w:rPr>
      <w:b/>
    </w:rPr>
  </w:style>
  <w:style w:type="paragraph" w:customStyle="1" w:styleId="Bulletpara">
    <w:name w:val="Bullet para"/>
    <w:basedOn w:val="Normal"/>
    <w:rsid w:val="00B06E72"/>
    <w:pPr>
      <w:numPr>
        <w:numId w:val="1"/>
      </w:numPr>
      <w:tabs>
        <w:tab w:val="left" w:pos="900"/>
      </w:tabs>
      <w:spacing w:before="120" w:after="120"/>
    </w:pPr>
  </w:style>
  <w:style w:type="paragraph" w:customStyle="1" w:styleId="Tarifftitle">
    <w:name w:val="Tariff title"/>
    <w:basedOn w:val="Normal"/>
    <w:rsid w:val="00B06E72"/>
    <w:rPr>
      <w:b/>
      <w:sz w:val="28"/>
      <w:szCs w:val="28"/>
    </w:rPr>
  </w:style>
  <w:style w:type="paragraph" w:styleId="TOC2">
    <w:name w:val="toc 2"/>
    <w:basedOn w:val="Normal"/>
    <w:next w:val="Normal"/>
    <w:semiHidden/>
    <w:rsid w:val="00B06E72"/>
    <w:pPr>
      <w:ind w:left="240"/>
    </w:pPr>
  </w:style>
  <w:style w:type="character" w:styleId="Hyperlink">
    <w:name w:val="Hyperlink"/>
    <w:rsid w:val="00B06E72"/>
    <w:rPr>
      <w:color w:val="0000FF"/>
      <w:u w:val="single"/>
    </w:rPr>
  </w:style>
  <w:style w:type="paragraph" w:styleId="TOC3">
    <w:name w:val="toc 3"/>
    <w:basedOn w:val="Normal"/>
    <w:next w:val="Normal"/>
    <w:semiHidden/>
    <w:rsid w:val="00B06E72"/>
    <w:pPr>
      <w:ind w:left="480"/>
    </w:pPr>
  </w:style>
  <w:style w:type="paragraph" w:styleId="TOC4">
    <w:name w:val="toc 4"/>
    <w:basedOn w:val="Normal"/>
    <w:next w:val="Normal"/>
    <w:semiHidden/>
    <w:rsid w:val="00B06E72"/>
    <w:pPr>
      <w:ind w:left="720"/>
    </w:pPr>
  </w:style>
  <w:style w:type="paragraph" w:customStyle="1" w:styleId="Level1">
    <w:name w:val="Level 1"/>
    <w:basedOn w:val="Normal"/>
    <w:rsid w:val="00B06E72"/>
    <w:pPr>
      <w:ind w:left="1890" w:hanging="720"/>
    </w:pPr>
  </w:style>
  <w:style w:type="paragraph" w:styleId="Date">
    <w:name w:val="Date"/>
    <w:basedOn w:val="Normal"/>
    <w:next w:val="Normal"/>
    <w:rsid w:val="00B06E72"/>
  </w:style>
  <w:style w:type="paragraph" w:customStyle="1" w:styleId="Footers">
    <w:name w:val="Footers"/>
    <w:basedOn w:val="Heading1"/>
    <w:rsid w:val="00B06E72"/>
    <w:pPr>
      <w:tabs>
        <w:tab w:val="left" w:pos="1440"/>
        <w:tab w:val="left" w:pos="7020"/>
        <w:tab w:val="right" w:pos="9360"/>
      </w:tabs>
    </w:pPr>
    <w:rPr>
      <w:b w:val="0"/>
      <w:sz w:val="20"/>
    </w:rPr>
  </w:style>
  <w:style w:type="character" w:customStyle="1" w:styleId="BodyparaChar">
    <w:name w:val="Body para Char"/>
    <w:link w:val="Bodypara"/>
    <w:rsid w:val="00B06E72"/>
    <w:rPr>
      <w:snapToGrid w:val="0"/>
      <w:sz w:val="24"/>
      <w:lang w:val="en-US" w:eastAsia="en-US" w:bidi="ar-SA"/>
    </w:rPr>
  </w:style>
  <w:style w:type="character" w:customStyle="1" w:styleId="alphaparaChar">
    <w:name w:val="alpha para Char"/>
    <w:basedOn w:val="BodyparaChar"/>
    <w:link w:val="alphapara"/>
    <w:rsid w:val="00B06E72"/>
    <w:rPr>
      <w:snapToGrid w:val="0"/>
      <w:sz w:val="24"/>
      <w:lang w:val="en-US" w:eastAsia="en-US" w:bidi="ar-SA"/>
    </w:rPr>
  </w:style>
  <w:style w:type="paragraph" w:customStyle="1" w:styleId="romannumeraldefinition">
    <w:name w:val="roman numeral definition"/>
    <w:basedOn w:val="romannumeralpara"/>
    <w:link w:val="romannumeraldefinitionChar"/>
    <w:rsid w:val="00B06E72"/>
    <w:pPr>
      <w:spacing w:before="120" w:after="120" w:line="240" w:lineRule="auto"/>
    </w:pPr>
    <w:rPr>
      <w:bCs/>
      <w:u w:val="double"/>
    </w:rPr>
  </w:style>
  <w:style w:type="character" w:customStyle="1" w:styleId="romannumeralparaChar">
    <w:name w:val="roman numeral para Char"/>
    <w:link w:val="romannumeralpara"/>
    <w:rsid w:val="00B06E72"/>
    <w:rPr>
      <w:snapToGrid w:val="0"/>
      <w:sz w:val="24"/>
      <w:lang w:val="en-US" w:eastAsia="en-US" w:bidi="ar-SA"/>
    </w:rPr>
  </w:style>
  <w:style w:type="character" w:customStyle="1" w:styleId="romannumeraldefinitionChar">
    <w:name w:val="roman numeral definition Char"/>
    <w:link w:val="romannumeraldefinition"/>
    <w:rsid w:val="00B06E72"/>
    <w:rPr>
      <w:bCs/>
      <w:snapToGrid w:val="0"/>
      <w:sz w:val="24"/>
      <w:u w:val="double"/>
      <w:lang w:val="en-US" w:eastAsia="en-US" w:bidi="ar-SA"/>
    </w:rPr>
  </w:style>
  <w:style w:type="paragraph" w:customStyle="1" w:styleId="DeltaViewTableBody">
    <w:name w:val="DeltaView Table Body"/>
    <w:basedOn w:val="Normal"/>
    <w:rsid w:val="00B06E72"/>
    <w:rPr>
      <w:rFonts w:ascii="Arial" w:hAnsi="Arial"/>
    </w:rPr>
  </w:style>
  <w:style w:type="paragraph" w:styleId="EndnoteText">
    <w:name w:val="endnote text"/>
    <w:basedOn w:val="Normal"/>
    <w:semiHidden/>
    <w:rsid w:val="00B06E72"/>
    <w:rPr>
      <w:sz w:val="20"/>
      <w:szCs w:val="20"/>
    </w:rPr>
  </w:style>
  <w:style w:type="character" w:styleId="EndnoteReference">
    <w:name w:val="endnote reference"/>
    <w:semiHidden/>
    <w:rsid w:val="00B06E72"/>
    <w:rPr>
      <w:vertAlign w:val="superscript"/>
    </w:rPr>
  </w:style>
  <w:style w:type="paragraph" w:styleId="Revision">
    <w:name w:val="Revision"/>
    <w:hidden/>
    <w:uiPriority w:val="99"/>
    <w:semiHidden/>
    <w:rsid w:val="00B06E72"/>
    <w:rPr>
      <w:sz w:val="24"/>
      <w:szCs w:val="24"/>
    </w:rPr>
  </w:style>
  <w:style w:type="paragraph" w:styleId="CommentSubject">
    <w:name w:val="annotation subject"/>
    <w:basedOn w:val="CommentText"/>
    <w:next w:val="CommentText"/>
    <w:link w:val="CommentSubjectChar"/>
    <w:rsid w:val="00B06E72"/>
    <w:rPr>
      <w:b/>
      <w:bCs/>
    </w:rPr>
  </w:style>
  <w:style w:type="character" w:customStyle="1" w:styleId="CommentTextChar">
    <w:name w:val="Comment Text Char"/>
    <w:link w:val="CommentText"/>
    <w:semiHidden/>
    <w:rsid w:val="00B06E72"/>
    <w:rPr>
      <w:szCs w:val="24"/>
    </w:rPr>
  </w:style>
  <w:style w:type="character" w:customStyle="1" w:styleId="CommentSubjectChar">
    <w:name w:val="Comment Subject Char"/>
    <w:link w:val="CommentSubject"/>
    <w:rsid w:val="00B06E72"/>
    <w:rPr>
      <w:b/>
      <w:bCs/>
      <w:szCs w:val="24"/>
    </w:rPr>
  </w:style>
  <w:style w:type="paragraph" w:styleId="ListParagraph">
    <w:name w:val="List Paragraph"/>
    <w:basedOn w:val="Normal"/>
    <w:uiPriority w:val="34"/>
    <w:qFormat/>
    <w:rsid w:val="00B06E72"/>
    <w:pPr>
      <w:spacing w:after="200" w:line="276" w:lineRule="auto"/>
      <w:ind w:left="720"/>
      <w:contextualSpacing/>
    </w:pPr>
    <w:rPr>
      <w:rFonts w:ascii="Calibri" w:hAnsi="Calibri"/>
      <w:sz w:val="22"/>
      <w:szCs w:val="22"/>
    </w:rPr>
  </w:style>
  <w:style w:type="paragraph" w:styleId="Signature">
    <w:name w:val="Signature"/>
    <w:basedOn w:val="Normal"/>
    <w:link w:val="SignatureChar"/>
    <w:uiPriority w:val="14"/>
    <w:qFormat/>
    <w:rsid w:val="00B06E72"/>
    <w:pPr>
      <w:ind w:left="4320"/>
    </w:pPr>
  </w:style>
  <w:style w:type="character" w:customStyle="1" w:styleId="SignatureChar">
    <w:name w:val="Signature Char"/>
    <w:basedOn w:val="DefaultParagraphFont"/>
    <w:link w:val="Signature"/>
    <w:uiPriority w:val="14"/>
    <w:rsid w:val="00B06E72"/>
    <w:rPr>
      <w:sz w:val="24"/>
      <w:szCs w:val="24"/>
    </w:rPr>
  </w:style>
  <w:style w:type="character" w:customStyle="1" w:styleId="FootnoteTextChar">
    <w:name w:val="Footnote Text Char"/>
    <w:basedOn w:val="DefaultParagraphFont"/>
    <w:link w:val="FootnoteText"/>
    <w:uiPriority w:val="99"/>
    <w:semiHidden/>
    <w:rsid w:val="00B06E72"/>
    <w:rPr>
      <w:szCs w:val="24"/>
    </w:rPr>
  </w:style>
  <w:style w:type="paragraph" w:customStyle="1" w:styleId="alphaparasinglespace">
    <w:name w:val="alpha para singlespace"/>
    <w:basedOn w:val="alphapara"/>
    <w:link w:val="alphaparasinglespaceChar"/>
    <w:qFormat/>
    <w:rsid w:val="00F425A1"/>
    <w:pPr>
      <w:spacing w:before="240" w:after="240" w:line="240" w:lineRule="auto"/>
    </w:pPr>
  </w:style>
  <w:style w:type="character" w:customStyle="1" w:styleId="alphaparasinglespaceChar">
    <w:name w:val="alpha para singlespace Char"/>
    <w:basedOn w:val="alphaparaChar"/>
    <w:link w:val="alphaparasinglespace"/>
    <w:rsid w:val="00F425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83634-400D-4C44-A3B0-F44B69EE1ECD}">
  <ds:schemaRefs>
    <ds:schemaRef ds:uri="http://schemas.openxmlformats.org/officeDocument/2006/bibliography"/>
  </ds:schemaRefs>
</ds:datastoreItem>
</file>

<file path=customXml/itemProps2.xml><?xml version="1.0" encoding="utf-8"?>
<ds:datastoreItem xmlns:ds="http://schemas.openxmlformats.org/officeDocument/2006/customXml" ds:itemID="{A21A47CA-C8C4-47C1-80FA-10A3404A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16322</Words>
  <Characters>93042</Characters>
  <Application>Microsoft Office Word</Application>
  <DocSecurity>4</DocSecurity>
  <Lines>775</Lines>
  <Paragraphs>218</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109146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2015-04-08T19:33:00Z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y fmtid="{D5CDD505-2E9C-101B-9397-08002B2CF9AE}" pid="7" name="_AdHocReviewCycleID">
    <vt:i4>505472618</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CEE 23.4 Redline Completed</vt:lpwstr>
  </property>
  <property fmtid="{D5CDD505-2E9C-101B-9397-08002B2CF9AE}" pid="11" name="_NewReviewCycle">
    <vt:lpwstr/>
  </property>
  <property fmtid="{D5CDD505-2E9C-101B-9397-08002B2CF9AE}" pid="12" name="_PreviousAdHocReviewCycleID">
    <vt:i4>538216773</vt:i4>
  </property>
  <property fmtid="{D5CDD505-2E9C-101B-9397-08002B2CF9AE}" pid="13" name="_ReviewingToolsShownOnce">
    <vt:lpwstr/>
  </property>
</Properties>
</file>