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4C7BDA" w:rsidRDefault="0008199E" w:rsidP="00C32B72">
      <w:pPr>
        <w:pStyle w:val="Heading2"/>
        <w:rPr>
          <w:szCs w:val="24"/>
        </w:rPr>
      </w:pPr>
      <w:bookmarkStart w:id="0" w:name="_Toc261445998"/>
      <w:r w:rsidRPr="004C7BDA">
        <w:rPr>
          <w:szCs w:val="24"/>
        </w:rPr>
        <w:t>2.6</w:t>
      </w:r>
      <w:r w:rsidRPr="004C7BDA">
        <w:rPr>
          <w:szCs w:val="24"/>
        </w:rPr>
        <w:tab/>
        <w:t>Definitions - F</w:t>
      </w:r>
      <w:bookmarkEnd w:id="0"/>
    </w:p>
    <w:p w:rsidR="0058348D" w:rsidRPr="004C7BDA" w:rsidRDefault="0008199E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Facility Flow-Based Methodology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methodology, as described in Section </w:t>
      </w:r>
      <w:r w:rsidRPr="004C7BDA">
        <w:rPr>
          <w:szCs w:val="24"/>
        </w:rPr>
        <w:t>17.5.</w:t>
      </w:r>
      <w:r w:rsidRPr="004C7BDA">
        <w:rPr>
          <w:szCs w:val="24"/>
        </w:rPr>
        <w:t>3.7 of Attachment B, used to allocate Net Auction Revenue among Transmission Owners.</w:t>
      </w:r>
    </w:p>
    <w:p w:rsidR="0058348D" w:rsidRPr="004C7BDA" w:rsidRDefault="0008199E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Federal Power Act (“FPA”)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Federal Power Act, as </w:t>
      </w:r>
      <w:r w:rsidRPr="004C7BDA">
        <w:rPr>
          <w:bCs/>
          <w:iCs/>
          <w:szCs w:val="24"/>
        </w:rPr>
        <w:t>may</w:t>
      </w:r>
      <w:r w:rsidRPr="004C7BDA">
        <w:rPr>
          <w:szCs w:val="24"/>
        </w:rPr>
        <w:t xml:space="preserve"> be amended from time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time (</w:t>
      </w:r>
      <w:r w:rsidRPr="004C7BDA">
        <w:rPr>
          <w:szCs w:val="24"/>
          <w:u w:val="single"/>
        </w:rPr>
        <w:t>See</w:t>
      </w:r>
      <w:r w:rsidRPr="004C7BDA">
        <w:rPr>
          <w:szCs w:val="24"/>
        </w:rPr>
        <w:t xml:space="preserve"> 16 U.S.C. § 796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et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seq</w:t>
      </w:r>
      <w:r w:rsidRPr="004C7BDA">
        <w:rPr>
          <w:szCs w:val="24"/>
        </w:rPr>
        <w:t>.).</w:t>
      </w:r>
    </w:p>
    <w:p w:rsidR="0058348D" w:rsidRPr="004C7BDA" w:rsidRDefault="0008199E" w:rsidP="003C0CCC">
      <w:pPr>
        <w:pStyle w:val="Definition"/>
        <w:rPr>
          <w:b/>
          <w:szCs w:val="24"/>
        </w:rPr>
      </w:pPr>
      <w:r w:rsidRPr="004C7BDA">
        <w:rPr>
          <w:b/>
          <w:szCs w:val="24"/>
        </w:rPr>
        <w:t>Firm Point</w:t>
      </w:r>
      <w:r w:rsidRPr="004C7BDA">
        <w:rPr>
          <w:b/>
          <w:szCs w:val="24"/>
        </w:rPr>
        <w:noBreakHyphen/>
        <w:t>To</w:t>
      </w:r>
      <w:r w:rsidRPr="004C7BDA">
        <w:rPr>
          <w:b/>
          <w:szCs w:val="24"/>
        </w:rPr>
        <w:noBreakHyphen/>
        <w:t>Point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under this Tariff that is scheduled between specified Points of Receipt and Delivery pursuant to the ISO OATT. 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 xml:space="preserve">Point </w:t>
      </w:r>
      <w:r w:rsidRPr="004C7BDA">
        <w:rPr>
          <w:szCs w:val="24"/>
        </w:rPr>
        <w:t>Transmission Service is service for which the Transmission Customer has agreed to pay the Congestion associated with its service.  A Transmission Customer may fix the price of Congestion associated with its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Point Transmission Service by acqui</w:t>
      </w:r>
      <w:r w:rsidRPr="004C7BDA">
        <w:rPr>
          <w:szCs w:val="24"/>
        </w:rPr>
        <w:t>ring sufficient TCCs with the same Points of Receipt and Delivery as its Transmission Service.</w:t>
      </w:r>
    </w:p>
    <w:p w:rsidR="0058348D" w:rsidRPr="004C7BDA" w:rsidRDefault="0008199E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Firm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reque</w:t>
      </w:r>
      <w:r w:rsidRPr="004C7BDA">
        <w:rPr>
          <w:bCs/>
          <w:iCs/>
          <w:szCs w:val="24"/>
        </w:rPr>
        <w:t>s</w:t>
      </w:r>
      <w:r w:rsidRPr="004C7BDA">
        <w:rPr>
          <w:szCs w:val="24"/>
        </w:rPr>
        <w:t xml:space="preserve">ted by a Transmission Customer willing to pay Congestion </w:t>
      </w:r>
      <w:r w:rsidRPr="004C7BDA">
        <w:rPr>
          <w:bCs/>
          <w:iCs/>
          <w:szCs w:val="24"/>
        </w:rPr>
        <w:t>Rent</w:t>
      </w:r>
      <w:r w:rsidRPr="004C7BDA">
        <w:rPr>
          <w:szCs w:val="24"/>
        </w:rPr>
        <w:t>.</w:t>
      </w:r>
    </w:p>
    <w:p w:rsidR="00431597" w:rsidRPr="004C7BDA" w:rsidRDefault="0008199E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First Settlement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The process of establishin</w:t>
      </w:r>
      <w:r w:rsidRPr="004C7BDA">
        <w:rPr>
          <w:szCs w:val="24"/>
        </w:rPr>
        <w:t>g binding financial commitments on the part of Customers participating in the Day</w:t>
      </w:r>
      <w:r w:rsidRPr="004C7BDA">
        <w:rPr>
          <w:szCs w:val="24"/>
        </w:rPr>
        <w:noBreakHyphen/>
        <w:t>Ahead Market based on Day</w:t>
      </w:r>
      <w:r w:rsidRPr="004C7BDA">
        <w:rPr>
          <w:szCs w:val="24"/>
        </w:rPr>
        <w:noBreakHyphen/>
        <w:t>Ahead LBMP.</w:t>
      </w:r>
    </w:p>
    <w:p w:rsidR="00431597" w:rsidRPr="004C7BDA" w:rsidRDefault="0008199E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Fixed Block Unit</w:t>
      </w:r>
      <w:r w:rsidRPr="004C7BDA">
        <w:rPr>
          <w:b/>
          <w:szCs w:val="24"/>
        </w:rPr>
        <w:t xml:space="preserve">: </w:t>
      </w:r>
      <w:r w:rsidRPr="004C7BDA">
        <w:rPr>
          <w:szCs w:val="24"/>
        </w:rPr>
        <w:t>A unit that, due to operational characteristics, can only be dispatched in one of two states: either turned completely</w:t>
      </w:r>
      <w:r w:rsidRPr="004C7BDA">
        <w:rPr>
          <w:szCs w:val="24"/>
        </w:rPr>
        <w:t xml:space="preserve"> off, or turned on and run at a fixed capacity level.</w:t>
      </w:r>
    </w:p>
    <w:p w:rsidR="00C74DC6" w:rsidRPr="004C7BDA" w:rsidRDefault="0008199E" w:rsidP="00C74DC6">
      <w:pPr>
        <w:pStyle w:val="Definition"/>
        <w:rPr>
          <w:szCs w:val="24"/>
        </w:rPr>
      </w:pPr>
      <w:r w:rsidRPr="004C7BDA">
        <w:rPr>
          <w:b/>
          <w:szCs w:val="24"/>
        </w:rPr>
        <w:t>Fixed Price TCC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 TCCs </w:t>
      </w:r>
      <w:r w:rsidRPr="004C7BDA">
        <w:rPr>
          <w:szCs w:val="24"/>
        </w:rPr>
        <w:t xml:space="preserve">obtained pursuant to Sections </w:t>
      </w:r>
      <w:r w:rsidRPr="004C7BDA">
        <w:rPr>
          <w:szCs w:val="24"/>
        </w:rPr>
        <w:t>19.2.1</w:t>
      </w:r>
      <w:r w:rsidRPr="004C7BDA">
        <w:rPr>
          <w:szCs w:val="24"/>
        </w:rPr>
        <w:t xml:space="preserve"> </w:t>
      </w:r>
      <w:r w:rsidRPr="004C7BDA">
        <w:rPr>
          <w:szCs w:val="24"/>
        </w:rPr>
        <w:t xml:space="preserve">or 19.2.2 of Attachment </w:t>
      </w:r>
      <w:r w:rsidRPr="004C7BDA">
        <w:rPr>
          <w:szCs w:val="24"/>
        </w:rPr>
        <w:t>M</w:t>
      </w:r>
      <w:r w:rsidRPr="004C7BDA">
        <w:rPr>
          <w:szCs w:val="24"/>
        </w:rPr>
        <w:t xml:space="preserve"> of th</w:t>
      </w:r>
      <w:r w:rsidRPr="004C7BDA">
        <w:rPr>
          <w:szCs w:val="24"/>
        </w:rPr>
        <w:t>e</w:t>
      </w:r>
      <w:r w:rsidRPr="004C7BDA">
        <w:rPr>
          <w:szCs w:val="24"/>
        </w:rPr>
        <w:t xml:space="preserve"> </w:t>
      </w:r>
      <w:r w:rsidRPr="004C7BDA">
        <w:rPr>
          <w:szCs w:val="24"/>
        </w:rPr>
        <w:t>ISO OATT</w:t>
      </w:r>
      <w:r w:rsidRPr="004C7BDA">
        <w:rPr>
          <w:szCs w:val="24"/>
        </w:rPr>
        <w:t>. If a TCC is obtained pursuant to Section 19.2.1 of Attachment M of th</w:t>
      </w:r>
      <w:r w:rsidRPr="004C7BDA">
        <w:rPr>
          <w:szCs w:val="24"/>
        </w:rPr>
        <w:t>e</w:t>
      </w:r>
      <w:r w:rsidRPr="004C7BDA">
        <w:rPr>
          <w:szCs w:val="24"/>
        </w:rPr>
        <w:t xml:space="preserve"> OATT, it is an Historic Fixed Price TCC.  If a TCC is awarded to an LSE pursuant to the provisions of Section 19.2.2 of Attachment M</w:t>
      </w:r>
      <w:r w:rsidRPr="004C7BDA">
        <w:rPr>
          <w:szCs w:val="24"/>
        </w:rPr>
        <w:t xml:space="preserve"> of the OATT</w:t>
      </w:r>
      <w:r w:rsidRPr="004C7BDA">
        <w:rPr>
          <w:szCs w:val="24"/>
        </w:rPr>
        <w:t>, it is a Non-Historic Fixed Price TCC.</w:t>
      </w:r>
    </w:p>
    <w:p w:rsidR="00C9509C" w:rsidRPr="004C7BDA" w:rsidRDefault="0008199E" w:rsidP="005469AE">
      <w:pPr>
        <w:pStyle w:val="Definition"/>
        <w:rPr>
          <w:szCs w:val="24"/>
        </w:rPr>
      </w:pPr>
      <w:r w:rsidRPr="004C7BDA">
        <w:rPr>
          <w:b/>
          <w:szCs w:val="24"/>
        </w:rPr>
        <w:t xml:space="preserve">Forced Outage:  </w:t>
      </w:r>
      <w:r w:rsidRPr="004C7BDA">
        <w:rPr>
          <w:szCs w:val="24"/>
        </w:rPr>
        <w:t>An unscheduled inability of a Market Participant’s Gene</w:t>
      </w:r>
      <w:r w:rsidRPr="004C7BDA">
        <w:rPr>
          <w:szCs w:val="24"/>
        </w:rPr>
        <w:t>rator to produce Energy that does not meet the notification criteria to be classified as a scheduled outage or de-rate as established in ISO Procedures.  If the Forced Outage of a Generator starts on or after the effective date of Section 5.1</w:t>
      </w:r>
      <w:r>
        <w:rPr>
          <w:szCs w:val="24"/>
        </w:rPr>
        <w:t>8</w:t>
      </w:r>
      <w:r w:rsidRPr="004C7BDA">
        <w:rPr>
          <w:szCs w:val="24"/>
        </w:rPr>
        <w:t xml:space="preserve"> of this Serv</w:t>
      </w:r>
      <w:r w:rsidRPr="004C7BDA">
        <w:rPr>
          <w:szCs w:val="24"/>
        </w:rPr>
        <w:t>ices Tariff, the Forced Outage will expire at the end of the month which contains the 180</w:t>
      </w:r>
      <w:r w:rsidRPr="004C7BDA">
        <w:rPr>
          <w:szCs w:val="24"/>
          <w:vertAlign w:val="superscript"/>
        </w:rPr>
        <w:t>th</w:t>
      </w:r>
      <w:r w:rsidRPr="004C7BDA">
        <w:rPr>
          <w:szCs w:val="24"/>
        </w:rPr>
        <w:t xml:space="preserve"> day of its Forced Outage but may be extended if the Market Participant has Commenced Repair of its Generator.</w:t>
      </w:r>
      <w:r w:rsidRPr="004C7BDA">
        <w:rPr>
          <w:szCs w:val="24"/>
        </w:rPr>
        <w:t xml:space="preserve"> </w:t>
      </w:r>
    </w:p>
    <w:sectPr w:rsidR="00C9509C" w:rsidRPr="004C7BDA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E8" w:rsidRDefault="008F05E8" w:rsidP="008F05E8">
      <w:r>
        <w:separator/>
      </w:r>
    </w:p>
  </w:endnote>
  <w:endnote w:type="continuationSeparator" w:id="0">
    <w:p w:rsidR="008F05E8" w:rsidRDefault="008F05E8" w:rsidP="008F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E8" w:rsidRDefault="0008199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8F05E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F05E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E8" w:rsidRDefault="0008199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8F05E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F05E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E8" w:rsidRDefault="0008199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5/1/2015 - Docket #: ER14-2518-002 - Page </w:t>
    </w:r>
    <w:r w:rsidR="008F05E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F05E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E8" w:rsidRDefault="008F05E8" w:rsidP="008F05E8">
      <w:r>
        <w:separator/>
      </w:r>
    </w:p>
  </w:footnote>
  <w:footnote w:type="continuationSeparator" w:id="0">
    <w:p w:rsidR="008F05E8" w:rsidRDefault="008F05E8" w:rsidP="008F0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E8" w:rsidRDefault="0008199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E8" w:rsidRDefault="0008199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</w:t>
    </w:r>
    <w:r>
      <w:rPr>
        <w:rFonts w:ascii="Arial" w:eastAsia="Arial" w:hAnsi="Arial" w:cs="Arial"/>
        <w:color w:val="000000"/>
        <w:sz w:val="16"/>
      </w:rPr>
      <w:t>efinitions -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E8" w:rsidRDefault="0008199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</w:t>
    </w:r>
    <w:r>
      <w:rPr>
        <w:rFonts w:ascii="Arial" w:eastAsia="Arial" w:hAnsi="Arial" w:cs="Arial"/>
        <w:color w:val="000000"/>
        <w:sz w:val="16"/>
      </w:rPr>
      <w:t>T Definitions -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6194E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C5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8A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88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21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183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C1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2B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905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21EA90B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42613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94BB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6429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F490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B099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2630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8C5F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C6B3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B596D03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F68B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1A2E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0423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8C2A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0237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EEAB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F443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108C6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0E66CE6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22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1E2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6F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F26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76C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C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40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105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B4CC65A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7529E0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3CCA2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4368B1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58231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6924D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5E2FB9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79AF0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1BCAD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AC9EA2E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D2CA11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362FF7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4A03C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36A50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99E6CF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79A0B2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388A9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DD858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BC16258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A542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D64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44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88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2CC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E5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C7E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AC0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C7CEC28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B4206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C228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4A41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68D0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E091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0E27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3692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0CC8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7B922D3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E26B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2E6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803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F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AC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00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E8A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A5927F8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D8C8C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17EC1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A72A7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044239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0FEA8E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3C06F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E9686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B2A64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7EAABB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8029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B36F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F3C34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8BE5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0F02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448CD6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F504A0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A9067D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D32E0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A3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6C7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29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E9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4AD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E7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45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92D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5270F726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F9C45E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7E44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6833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2AE1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ACD1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3A26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C43E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866A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5E8"/>
    <w:rsid w:val="0008199E"/>
    <w:rsid w:val="008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5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D7358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D7358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D735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735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D735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D735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D735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D735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D735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DD7358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8F05E8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DD73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7358"/>
    <w:rPr>
      <w:sz w:val="20"/>
    </w:rPr>
  </w:style>
  <w:style w:type="paragraph" w:styleId="Header">
    <w:name w:val="header"/>
    <w:basedOn w:val="Normal"/>
    <w:rsid w:val="00DD735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8F05E8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DD7358"/>
  </w:style>
  <w:style w:type="paragraph" w:styleId="BalloonText">
    <w:name w:val="Balloon Text"/>
    <w:basedOn w:val="Normal"/>
    <w:semiHidden/>
    <w:rsid w:val="00DD7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DD7358"/>
  </w:style>
  <w:style w:type="paragraph" w:customStyle="1" w:styleId="Definition">
    <w:name w:val="Definition"/>
    <w:basedOn w:val="Normal"/>
    <w:rsid w:val="00DD7358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D7358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D735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D7358"/>
    <w:pPr>
      <w:ind w:left="1440" w:hanging="720"/>
    </w:pPr>
  </w:style>
  <w:style w:type="paragraph" w:styleId="Date">
    <w:name w:val="Date"/>
    <w:basedOn w:val="Normal"/>
    <w:next w:val="Normal"/>
    <w:rsid w:val="00DD7358"/>
    <w:pPr>
      <w:widowControl/>
    </w:pPr>
  </w:style>
  <w:style w:type="paragraph" w:customStyle="1" w:styleId="TOCheading">
    <w:name w:val="TOC heading"/>
    <w:basedOn w:val="Normal"/>
    <w:rsid w:val="00DD7358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D7358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DD735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D735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D7358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D735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D7358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D7358"/>
  </w:style>
  <w:style w:type="paragraph" w:customStyle="1" w:styleId="Tarifftitle">
    <w:name w:val="Tariff title"/>
    <w:basedOn w:val="Normal"/>
    <w:rsid w:val="00DD7358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D7358"/>
    <w:pPr>
      <w:ind w:left="240"/>
    </w:pPr>
  </w:style>
  <w:style w:type="character" w:styleId="Hyperlink">
    <w:name w:val="Hyperlink"/>
    <w:basedOn w:val="DefaultParagraphFont"/>
    <w:rsid w:val="00DD7358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D7358"/>
    <w:pPr>
      <w:ind w:left="480"/>
    </w:pPr>
  </w:style>
  <w:style w:type="paragraph" w:styleId="TOC4">
    <w:name w:val="toc 4"/>
    <w:basedOn w:val="Normal"/>
    <w:next w:val="Normal"/>
    <w:semiHidden/>
    <w:rsid w:val="00DD7358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DD7358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D7358"/>
    <w:rPr>
      <w:b/>
      <w:snapToGrid w:val="0"/>
      <w:sz w:val="24"/>
    </w:rPr>
  </w:style>
  <w:style w:type="paragraph" w:styleId="TOC5">
    <w:name w:val="toc 5"/>
    <w:basedOn w:val="Normal"/>
    <w:next w:val="Normal"/>
    <w:rsid w:val="00DD7358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D7358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D7358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D7358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D7358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DD7358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DD735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1127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1127C"/>
  </w:style>
  <w:style w:type="paragraph" w:styleId="Footer">
    <w:name w:val="footer"/>
    <w:basedOn w:val="Normal"/>
    <w:link w:val="FooterChar"/>
    <w:rsid w:val="00DD7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127C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DD735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1127C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DD7358"/>
    <w:rPr>
      <w:snapToGrid w:val="0"/>
      <w:sz w:val="24"/>
    </w:rPr>
  </w:style>
  <w:style w:type="table" w:styleId="TableGrid">
    <w:name w:val="Table Grid"/>
    <w:basedOn w:val="TableNormal"/>
    <w:rsid w:val="00DD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2017-12-13T20:04:00Z</dcterms:created>
  <dcterms:modified xsi:type="dcterms:W3CDTF">2017-12-13T20:04:00Z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</Properties>
</file>