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80B" w:rsidRDefault="00970C40" w:rsidP="00117B7C">
      <w:pPr>
        <w:pStyle w:val="Heading2"/>
      </w:pPr>
      <w:bookmarkStart w:id="0" w:name="_Toc261444325"/>
      <w:r>
        <w:t>1.</w:t>
      </w:r>
      <w:r w:rsidRPr="00117B7C">
        <w:t>3</w:t>
      </w:r>
      <w:r>
        <w:tab/>
        <w:t>Definitions</w:t>
      </w:r>
      <w:r>
        <w:t xml:space="preserve"> - </w:t>
      </w:r>
      <w:r w:rsidRPr="00117B7C">
        <w:t>C</w:t>
      </w:r>
      <w:bookmarkEnd w:id="0"/>
    </w:p>
    <w:p w:rsidR="005C78BC" w:rsidRDefault="00970C40" w:rsidP="00FE1767">
      <w:pPr>
        <w:pStyle w:val="Definition"/>
      </w:pPr>
      <w:r>
        <w:rPr>
          <w:b/>
          <w:bCs/>
        </w:rPr>
        <w:t xml:space="preserve">Capability Period:  </w:t>
      </w:r>
      <w:r>
        <w:t>Six</w:t>
      </w:r>
      <w:r>
        <w:t>-</w:t>
      </w:r>
      <w:r>
        <w:t xml:space="preserve">month periods which are established as follows: (1) from May 1 through October 31 of each year (“Summer Capability Period”); and (2) from November 1 of each year through April 30 of the following year (“Winter </w:t>
      </w:r>
      <w:r>
        <w:t xml:space="preserve">Capability Period”); or such other periods as may be determined by the Operating Committee of the ISO.  A Summer Capability Period followed by a Winter Capability Period shall be referred to as a “Capability Year”.  Each Capability Period shall consist of </w:t>
      </w:r>
      <w:r>
        <w:t>On</w:t>
      </w:r>
      <w:r>
        <w:t>-</w:t>
      </w:r>
      <w:r>
        <w:t>Peak and Off</w:t>
      </w:r>
      <w:r>
        <w:t>-</w:t>
      </w:r>
      <w:r>
        <w:t>Peak periods.</w:t>
      </w:r>
    </w:p>
    <w:p w:rsidR="005C78BC" w:rsidRPr="00306FE1" w:rsidRDefault="00970C40" w:rsidP="00FE1767">
      <w:pPr>
        <w:pStyle w:val="Definition"/>
      </w:pPr>
      <w:r w:rsidRPr="00306FE1">
        <w:rPr>
          <w:b/>
          <w:bCs/>
        </w:rPr>
        <w:t xml:space="preserve">Capacity: </w:t>
      </w:r>
      <w:r w:rsidRPr="00306FE1">
        <w:t>The capability to generate or transmit electrical power, or the ability to reduce demand at the direction of the ISO, measured in megawatts (“MW”).</w:t>
      </w:r>
    </w:p>
    <w:p w:rsidR="005C78BC" w:rsidRDefault="00970C40" w:rsidP="00FE1767">
      <w:pPr>
        <w:pStyle w:val="Definition"/>
      </w:pPr>
      <w:r>
        <w:rPr>
          <w:b/>
          <w:bCs/>
        </w:rPr>
        <w:t xml:space="preserve">Capacity Benefit Margin (“CBM”): </w:t>
      </w:r>
      <w:r>
        <w:t>That amount of Total Transfer Capab</w:t>
      </w:r>
      <w:r>
        <w:t>ility reserved by the ISO on the NYS Transmission System to ensure access to generation from interconnected systems to meet generation reliability requirements.</w:t>
      </w:r>
    </w:p>
    <w:p w:rsidR="005C78BC" w:rsidRDefault="00970C40" w:rsidP="00FE1767">
      <w:pPr>
        <w:pStyle w:val="Definition"/>
      </w:pPr>
      <w:r>
        <w:rPr>
          <w:b/>
          <w:bCs/>
        </w:rPr>
        <w:t>Capacity Reservation Cap:</w:t>
      </w:r>
      <w:r>
        <w:t xml:space="preserve"> The maximum percentage of transmission Capacity from a Transmission O</w:t>
      </w:r>
      <w:r>
        <w:t xml:space="preserve">wner’s sets of ETCNL that may be converted into ETCNL TCCs or the maximum percentage of a Transmission Owner’s RCRRs that may be converted into RCRR TCCs, as the case may be, as established by the ISO pursuant to Section </w:t>
      </w:r>
      <w:r>
        <w:t>19.4</w:t>
      </w:r>
      <w:r>
        <w:t>.3 of Attachment M.</w:t>
      </w:r>
    </w:p>
    <w:p w:rsidR="005C78BC" w:rsidRPr="003923B6" w:rsidRDefault="00970C40" w:rsidP="00FE1767">
      <w:pPr>
        <w:pStyle w:val="Definition"/>
      </w:pPr>
      <w:r w:rsidRPr="003923B6">
        <w:rPr>
          <w:b/>
          <w:bCs/>
        </w:rPr>
        <w:t>Centralized</w:t>
      </w:r>
      <w:r w:rsidRPr="003923B6">
        <w:rPr>
          <w:b/>
          <w:bCs/>
        </w:rPr>
        <w:t xml:space="preserve"> TCC Auction:  </w:t>
      </w:r>
      <w:r w:rsidRPr="003923B6">
        <w:t>The auction in which TCCs are released for sale for one or more Capability Periods through a bidding process administered by the ISO.</w:t>
      </w:r>
    </w:p>
    <w:p w:rsidR="005C78BC" w:rsidRDefault="00970C40" w:rsidP="00FE1767">
      <w:pPr>
        <w:pStyle w:val="Definition"/>
        <w:tabs>
          <w:tab w:val="left" w:pos="360"/>
        </w:tabs>
      </w:pPr>
      <w:r>
        <w:rPr>
          <w:b/>
        </w:rPr>
        <w:t>Code o</w:t>
      </w:r>
      <w:r>
        <w:rPr>
          <w:b/>
        </w:rPr>
        <w:t>f</w:t>
      </w:r>
      <w:r>
        <w:rPr>
          <w:b/>
        </w:rPr>
        <w:t xml:space="preserve"> Conduct:</w:t>
      </w:r>
      <w:r>
        <w:t xml:space="preserve"> The rules, procedures and restrictions concerning the conduct</w:t>
      </w:r>
      <w:r>
        <w:t xml:space="preserve"> </w:t>
      </w:r>
      <w:r>
        <w:t>of the ISO directors and emp</w:t>
      </w:r>
      <w:r>
        <w:t>loyees, contained in Attachment F to the ISO Open Access Transmission Tariff.</w:t>
      </w:r>
    </w:p>
    <w:p w:rsidR="00D207EE" w:rsidRPr="007840E2" w:rsidRDefault="00970C40" w:rsidP="005F30C2">
      <w:pPr>
        <w:pStyle w:val="Definition"/>
        <w:tabs>
          <w:tab w:val="left" w:pos="360"/>
        </w:tabs>
        <w:rPr>
          <w:szCs w:val="24"/>
        </w:rPr>
      </w:pPr>
      <w:r w:rsidRPr="007840E2">
        <w:rPr>
          <w:b/>
          <w:szCs w:val="24"/>
        </w:rPr>
        <w:t>Commenced Repair:</w:t>
      </w:r>
      <w:r w:rsidRPr="004C7BDA">
        <w:rPr>
          <w:b/>
          <w:szCs w:val="24"/>
        </w:rPr>
        <w:t xml:space="preserve">  </w:t>
      </w:r>
      <w:r w:rsidRPr="00BF6142">
        <w:rPr>
          <w:bCs/>
        </w:rPr>
        <w:t xml:space="preserve">As defined in </w:t>
      </w:r>
      <w:r w:rsidRPr="0054709C">
        <w:t>the</w:t>
      </w:r>
      <w:r w:rsidRPr="00BF6142">
        <w:rPr>
          <w:bCs/>
        </w:rPr>
        <w:t xml:space="preserve"> ISO Services </w:t>
      </w:r>
      <w:r w:rsidRPr="002A7C48">
        <w:t>Tariff</w:t>
      </w:r>
      <w:r w:rsidRPr="00BF6142">
        <w:rPr>
          <w:bCs/>
        </w:rPr>
        <w:t>.</w:t>
      </w:r>
    </w:p>
    <w:p w:rsidR="005C78BC" w:rsidRDefault="00970C40" w:rsidP="00FE1767">
      <w:pPr>
        <w:pStyle w:val="Definition"/>
      </w:pPr>
      <w:r>
        <w:rPr>
          <w:b/>
        </w:rPr>
        <w:t>Commission (“FERC”):</w:t>
      </w:r>
      <w:r>
        <w:t xml:space="preserve"> The Federal Energy Regulatory Commission, or any successor agency.</w:t>
      </w:r>
    </w:p>
    <w:p w:rsidR="005C78BC" w:rsidRDefault="00970C40" w:rsidP="00FE1767">
      <w:pPr>
        <w:pStyle w:val="Definition"/>
      </w:pPr>
      <w:r>
        <w:rPr>
          <w:b/>
        </w:rPr>
        <w:t>Completed Application:</w:t>
      </w:r>
      <w:r>
        <w:t xml:space="preserve"> An Applic</w:t>
      </w:r>
      <w:r>
        <w:t>ation that satisfies all of the information and other requirements of the Tariff.</w:t>
      </w:r>
    </w:p>
    <w:p w:rsidR="005C78BC" w:rsidRDefault="00970C40" w:rsidP="00FE1767">
      <w:pPr>
        <w:pStyle w:val="Definition"/>
      </w:pPr>
      <w:r>
        <w:rPr>
          <w:b/>
        </w:rPr>
        <w:t>Confidential Information:</w:t>
      </w:r>
      <w:r>
        <w:t xml:space="preserve"> Information and/or data which has been designated by a Transmission Customer to be proprietary and confidential, provided that such designation is consistent with the ISO Procedures and this Tariff, including the attached Code of Conduct.</w:t>
      </w:r>
    </w:p>
    <w:p w:rsidR="005C78BC" w:rsidRDefault="00970C40" w:rsidP="00FE1767">
      <w:pPr>
        <w:pStyle w:val="Definition"/>
      </w:pPr>
      <w:r>
        <w:rPr>
          <w:b/>
        </w:rPr>
        <w:t>Congestion:</w:t>
      </w:r>
      <w:r>
        <w:t xml:space="preserve"> A ch</w:t>
      </w:r>
      <w:r>
        <w:t>aracteristic of the transmission system produced by a constraint on the optimum economic operation of the power system, such that the marginal price of Energy to serve the next increment of Load, exclusive of losses, at different locations on the Transmiss</w:t>
      </w:r>
      <w:r>
        <w:t>ion System is unequal.</w:t>
      </w:r>
    </w:p>
    <w:p w:rsidR="005C78BC" w:rsidRPr="00CD4527" w:rsidRDefault="00970C40" w:rsidP="00FE1767">
      <w:pPr>
        <w:pStyle w:val="Definition"/>
      </w:pPr>
      <w:r w:rsidRPr="00CD4527">
        <w:rPr>
          <w:b/>
        </w:rPr>
        <w:t>Congestion Component:</w:t>
      </w:r>
      <w:r w:rsidRPr="00CD4527">
        <w:t xml:space="preserve"> The component of the LBMP measured at a location or the Transmission Usage Charge between two locations that is attributable to the cost of transmission Congestion</w:t>
      </w:r>
      <w:r w:rsidRPr="00CD4527">
        <w:t xml:space="preserve"> as is more completely defined in Attachment B o</w:t>
      </w:r>
      <w:r w:rsidRPr="00CD4527">
        <w:t>f the Services Tariff</w:t>
      </w:r>
      <w:r w:rsidRPr="00CD4527">
        <w:t>.</w:t>
      </w:r>
    </w:p>
    <w:p w:rsidR="005C78BC" w:rsidRDefault="00970C40" w:rsidP="00FE1767">
      <w:pPr>
        <w:pStyle w:val="Definition"/>
      </w:pPr>
      <w:r>
        <w:rPr>
          <w:b/>
        </w:rPr>
        <w:lastRenderedPageBreak/>
        <w:t>Congestion Rent:</w:t>
      </w:r>
      <w:r>
        <w:t xml:space="preserve"> The opportunity costs of transmission Constraints on the NYS Transmission System. Congestion Rents are collected by the ISO through its facilitation of LBMP Market Transactions and the collection of Transmission Usag</w:t>
      </w:r>
      <w:r>
        <w:t>e Charges from Bilateral Transactions.</w:t>
      </w:r>
    </w:p>
    <w:p w:rsidR="005C78BC" w:rsidRDefault="00970C40" w:rsidP="00FE1767">
      <w:pPr>
        <w:pStyle w:val="Definition"/>
        <w:rPr>
          <w:u w:val="double"/>
        </w:rPr>
      </w:pPr>
      <w:r>
        <w:rPr>
          <w:b/>
        </w:rPr>
        <w:t>Congestion Rent Shortfall:</w:t>
      </w:r>
      <w:r>
        <w:t xml:space="preserve"> A condition in which the Congestion Rent revenue collected by the ISO in the Day</w:t>
      </w:r>
      <w:r>
        <w:noBreakHyphen/>
        <w:t>Ahead Market for Energy is less than the amount of Congestion Rent revenue in the Day</w:t>
      </w:r>
      <w:r>
        <w:noBreakHyphen/>
        <w:t>Ahead Market for Energy</w:t>
      </w:r>
      <w:r>
        <w:t xml:space="preserve"> that the ISO is obligated under the Tariff  to pay out to the Primary Holders of TCCs.</w:t>
      </w:r>
    </w:p>
    <w:p w:rsidR="00117B7C" w:rsidRDefault="00970C40" w:rsidP="00FE1767">
      <w:pPr>
        <w:pStyle w:val="Definition"/>
      </w:pPr>
      <w:r>
        <w:rPr>
          <w:b/>
        </w:rPr>
        <w:t>Constraint:</w:t>
      </w:r>
      <w:r>
        <w:t xml:space="preserve">  An upper or lower limit placed on a variable or set of variables that are used by the ISO in its SCUC, RTC or RTD programs to control and/or facilitate the</w:t>
      </w:r>
      <w:r>
        <w:t xml:space="preserve"> operation of the NYS Transmission Systems. </w:t>
      </w:r>
    </w:p>
    <w:p w:rsidR="00A8398A" w:rsidRDefault="00970C40" w:rsidP="00FE1767">
      <w:pPr>
        <w:pStyle w:val="Definition"/>
      </w:pPr>
      <w:r>
        <w:rPr>
          <w:b/>
        </w:rPr>
        <w:t>Contingency:</w:t>
      </w:r>
      <w:r>
        <w:t xml:space="preserve">  An actual or potential unexpected failure or outage of a system component, such as a Generator, transmission line, circuit breaker, switch or other electrical element.  A Contingency also may inclu</w:t>
      </w:r>
      <w:r>
        <w:t>de multiple components, which are related by situations leading to simultaneous component outages.</w:t>
      </w:r>
    </w:p>
    <w:p w:rsidR="00A8398A" w:rsidRDefault="00970C40" w:rsidP="00FE1767">
      <w:pPr>
        <w:pStyle w:val="Definition"/>
      </w:pPr>
      <w:r>
        <w:rPr>
          <w:b/>
        </w:rPr>
        <w:t xml:space="preserve">Contract Establishment Date: </w:t>
      </w:r>
      <w:r>
        <w:t>The date, listed in Attachment L, on which the listed existing agreements which are the source of Grandfathered Rights and Grand</w:t>
      </w:r>
      <w:r>
        <w:t>fathered TCCs were executed.</w:t>
      </w:r>
    </w:p>
    <w:p w:rsidR="00117B7C" w:rsidRDefault="00970C40" w:rsidP="00FE1767">
      <w:pPr>
        <w:pStyle w:val="Definition"/>
      </w:pPr>
      <w:r>
        <w:rPr>
          <w:b/>
        </w:rPr>
        <w:t xml:space="preserve">Control Area: </w:t>
      </w:r>
      <w:r>
        <w:t xml:space="preserve">An electric power system or combination of electric power systems to which a common automatic generation control scheme is applied in order to: </w:t>
      </w:r>
    </w:p>
    <w:p w:rsidR="00A8398A" w:rsidRDefault="00970C40" w:rsidP="00FE1767">
      <w:pPr>
        <w:pStyle w:val="Definitionindent"/>
        <w:spacing w:before="240" w:after="240"/>
      </w:pPr>
      <w:r>
        <w:t xml:space="preserve">(1) </w:t>
      </w:r>
      <w:r>
        <w:tab/>
      </w:r>
      <w:r>
        <w:t xml:space="preserve">match, at all times, the power output of the Generators within </w:t>
      </w:r>
      <w:r>
        <w:t>the electric power system(s) and capacity and energy purchased from entities outside the electric power system(s), with the Load within the electric power system(s);</w:t>
      </w:r>
    </w:p>
    <w:p w:rsidR="00A8398A" w:rsidRDefault="00970C40" w:rsidP="00FE1767">
      <w:pPr>
        <w:pStyle w:val="Definitionindent"/>
        <w:spacing w:before="240" w:after="240"/>
      </w:pPr>
      <w:r>
        <w:t xml:space="preserve">(2) </w:t>
      </w:r>
      <w:r>
        <w:tab/>
      </w:r>
      <w:r>
        <w:t>maintain scheduled interchange with other Control Areas, within the limits of Good Ut</w:t>
      </w:r>
      <w:r>
        <w:t>ility Practice;</w:t>
      </w:r>
    </w:p>
    <w:p w:rsidR="00A8398A" w:rsidRDefault="00970C40" w:rsidP="00FE1767">
      <w:pPr>
        <w:pStyle w:val="Definitionindent"/>
        <w:spacing w:before="240" w:after="240"/>
      </w:pPr>
      <w:r>
        <w:t xml:space="preserve">(3) </w:t>
      </w:r>
      <w:r>
        <w:tab/>
      </w:r>
      <w:r>
        <w:t>maintain the frequency of the electric power system(s) within reasonable limits in accordance with Good Utility Practice; and</w:t>
      </w:r>
    </w:p>
    <w:p w:rsidR="00A8398A" w:rsidRDefault="00970C40" w:rsidP="00FE1767">
      <w:pPr>
        <w:pStyle w:val="Definitionindent"/>
        <w:spacing w:before="240" w:after="240"/>
      </w:pPr>
      <w:r>
        <w:t xml:space="preserve">(4) </w:t>
      </w:r>
      <w:r>
        <w:tab/>
      </w:r>
      <w:r>
        <w:t>provide sufficient capacity to maintain Operating Reserves in accordance with Good Utility Practice.</w:t>
      </w:r>
    </w:p>
    <w:p w:rsidR="00EC5B8A" w:rsidRDefault="00970C40" w:rsidP="00FE1767">
      <w:pPr>
        <w:pStyle w:val="Definition"/>
        <w:rPr>
          <w:b/>
        </w:rPr>
      </w:pPr>
      <w:r w:rsidRPr="006D0670">
        <w:rPr>
          <w:b/>
          <w:szCs w:val="24"/>
        </w:rPr>
        <w:t>Cre</w:t>
      </w:r>
      <w:r w:rsidRPr="006D0670">
        <w:rPr>
          <w:b/>
          <w:szCs w:val="24"/>
        </w:rPr>
        <w:t>dible Repair Plan:</w:t>
      </w:r>
      <w:r w:rsidRPr="004C7BDA">
        <w:rPr>
          <w:b/>
          <w:szCs w:val="24"/>
        </w:rPr>
        <w:t xml:space="preserve">  </w:t>
      </w:r>
      <w:r w:rsidRPr="00BF6142">
        <w:rPr>
          <w:bCs/>
        </w:rPr>
        <w:t xml:space="preserve">As defined in </w:t>
      </w:r>
      <w:r w:rsidRPr="0054709C">
        <w:t>the</w:t>
      </w:r>
      <w:r w:rsidRPr="00BF6142">
        <w:rPr>
          <w:bCs/>
        </w:rPr>
        <w:t xml:space="preserve"> ISO Services </w:t>
      </w:r>
      <w:r w:rsidRPr="002A7C48">
        <w:t>Tariff</w:t>
      </w:r>
      <w:r w:rsidRPr="00BF6142">
        <w:rPr>
          <w:bCs/>
        </w:rPr>
        <w:t>.</w:t>
      </w:r>
    </w:p>
    <w:p w:rsidR="00A8398A" w:rsidRPr="00BF6142" w:rsidRDefault="00970C40" w:rsidP="00FE1767">
      <w:pPr>
        <w:pStyle w:val="Definition"/>
        <w:rPr>
          <w:bCs/>
        </w:rPr>
      </w:pPr>
      <w:r w:rsidRPr="00BF6142">
        <w:rPr>
          <w:b/>
        </w:rPr>
        <w:t>Credit Assessment:</w:t>
      </w:r>
      <w:r w:rsidRPr="00BF6142">
        <w:rPr>
          <w:bCs/>
        </w:rPr>
        <w:t xml:space="preserve">  As defined in the </w:t>
      </w:r>
      <w:r w:rsidRPr="00312982">
        <w:t>ISO</w:t>
      </w:r>
      <w:r w:rsidRPr="00BF6142">
        <w:rPr>
          <w:bCs/>
        </w:rPr>
        <w:t xml:space="preserve"> Services Tariff.</w:t>
      </w:r>
    </w:p>
    <w:p w:rsidR="00A8398A" w:rsidRDefault="00970C40" w:rsidP="00FE1767">
      <w:pPr>
        <w:pStyle w:val="Definition"/>
        <w:rPr>
          <w:bCs/>
        </w:rPr>
      </w:pPr>
      <w:r>
        <w:rPr>
          <w:b/>
        </w:rPr>
        <w:t xml:space="preserve">Cross-Sound Scheduled Line: </w:t>
      </w:r>
      <w:r>
        <w:rPr>
          <w:bCs/>
        </w:rPr>
        <w:t xml:space="preserve">A transmission facility that interconnects the NYCA to the New England Control Area at </w:t>
      </w:r>
      <w:smartTag w:uri="urn:schemas-microsoft-com:office:smarttags" w:element="City">
        <w:r w:rsidRPr="00312982">
          <w:t>Shoreham</w:t>
        </w:r>
      </w:smartTag>
      <w:r>
        <w:rPr>
          <w:bCs/>
        </w:rPr>
        <w:t xml:space="preserve">, </w:t>
      </w:r>
      <w:smartTag w:uri="urn:schemas-microsoft-com:office:smarttags" w:element="State">
        <w:r w:rsidRPr="002507CE">
          <w:t>New</w:t>
        </w:r>
        <w:r>
          <w:rPr>
            <w:bCs/>
          </w:rPr>
          <w:t xml:space="preserve"> York</w:t>
        </w:r>
      </w:smartTag>
      <w:r>
        <w:rPr>
          <w:bCs/>
        </w:rPr>
        <w:t xml:space="preserve"> and terminates near </w:t>
      </w:r>
      <w:smartTag w:uri="urn:schemas-microsoft-com:office:smarttags" w:element="place">
        <w:smartTag w:uri="urn:schemas-microsoft-com:office:smarttags" w:element="City">
          <w:r>
            <w:rPr>
              <w:bCs/>
            </w:rPr>
            <w:t>New Haven</w:t>
          </w:r>
        </w:smartTag>
        <w:r>
          <w:rPr>
            <w:bCs/>
          </w:rPr>
          <w:t xml:space="preserve">, </w:t>
        </w:r>
        <w:smartTag w:uri="urn:schemas-microsoft-com:office:smarttags" w:element="State">
          <w:r>
            <w:rPr>
              <w:bCs/>
            </w:rPr>
            <w:t>Connecticut</w:t>
          </w:r>
        </w:smartTag>
      </w:smartTag>
      <w:r>
        <w:rPr>
          <w:bCs/>
        </w:rPr>
        <w:t>.</w:t>
      </w:r>
    </w:p>
    <w:p w:rsidR="007E3796" w:rsidRPr="00CD4527" w:rsidRDefault="00970C40" w:rsidP="002507CE">
      <w:pPr>
        <w:pStyle w:val="Definition"/>
      </w:pPr>
      <w:r w:rsidRPr="00CD4527">
        <w:rPr>
          <w:b/>
        </w:rPr>
        <w:t>CTS Enabled Interface:</w:t>
      </w:r>
      <w:r w:rsidRPr="00CD4527">
        <w:t xml:space="preserve">  An External Interface at which the ISO has authorized the use of Coordinated Transaction Scheduling (“CTS”) market rules and which includes a CTS Enabled </w:t>
      </w:r>
      <w:r w:rsidRPr="00CD4527">
        <w:lastRenderedPageBreak/>
        <w:t xml:space="preserve">Proxy Generator Bus for New York </w:t>
      </w:r>
      <w:r w:rsidRPr="00CD4527">
        <w:t>and a CTS Enabled Proxy Generator Bus for the neighboring Control Area.</w:t>
      </w:r>
    </w:p>
    <w:p w:rsidR="007E3796" w:rsidRPr="00CD4527" w:rsidRDefault="00970C40" w:rsidP="002507CE">
      <w:pPr>
        <w:pStyle w:val="Definition"/>
      </w:pPr>
      <w:r w:rsidRPr="00CD4527">
        <w:rPr>
          <w:b/>
        </w:rPr>
        <w:t>CTS Enabled Proxy Generator Bus:</w:t>
      </w:r>
      <w:r w:rsidRPr="00CD4527">
        <w:t xml:space="preserve">  </w:t>
      </w:r>
      <w:r w:rsidRPr="00CD4527">
        <w:t xml:space="preserve">A Proxy Generator Bus at which the ISO </w:t>
      </w:r>
      <w:r w:rsidRPr="00CD4527">
        <w:t xml:space="preserve">either </w:t>
      </w:r>
      <w:r w:rsidRPr="00CD4527">
        <w:t>requires</w:t>
      </w:r>
      <w:r w:rsidRPr="00CD4527">
        <w:t xml:space="preserve"> or permits</w:t>
      </w:r>
      <w:r w:rsidRPr="00CD4527">
        <w:t xml:space="preserve"> the use of CTS Interface Bids for Import and Export Transactions </w:t>
      </w:r>
      <w:r w:rsidRPr="00CD4527">
        <w:t>in the Real-Time Ma</w:t>
      </w:r>
      <w:r w:rsidRPr="00CD4527">
        <w:t xml:space="preserve">rket </w:t>
      </w:r>
      <w:r w:rsidRPr="00CD4527">
        <w:t xml:space="preserve">and </w:t>
      </w:r>
      <w:r w:rsidRPr="00CD4527">
        <w:t xml:space="preserve">requires </w:t>
      </w:r>
      <w:r w:rsidRPr="00CD4527">
        <w:t>the use of Decremental Bids for Wheels Through in the Real-Time Market</w:t>
      </w:r>
      <w:r w:rsidRPr="00CD4527">
        <w:t>.</w:t>
      </w:r>
      <w:r w:rsidRPr="00CD4527">
        <w:t xml:space="preserve">  A CTS Enabled Proxy Generator Bus at which the ISO permits CTS Interface Bids will also permit Decremental and Sink Price Cap Bids.</w:t>
      </w:r>
    </w:p>
    <w:p w:rsidR="007E3796" w:rsidRPr="00CD4527" w:rsidRDefault="00970C40" w:rsidP="002507CE">
      <w:pPr>
        <w:pStyle w:val="Definition"/>
      </w:pPr>
      <w:r w:rsidRPr="00CD4527">
        <w:rPr>
          <w:b/>
        </w:rPr>
        <w:t>CTS Interface Bid:</w:t>
      </w:r>
      <w:r w:rsidRPr="00CD4527">
        <w:t xml:space="preserve">  A Real-Time B</w:t>
      </w:r>
      <w:r w:rsidRPr="00CD4527">
        <w:t>id provided by an entity engaged in a</w:t>
      </w:r>
      <w:r w:rsidRPr="00CD4527">
        <w:t>n External</w:t>
      </w:r>
      <w:r w:rsidRPr="00CD4527">
        <w:t xml:space="preserve"> Transaction at a CTS Enabled Interface</w:t>
      </w:r>
      <w:r w:rsidRPr="00CD4527">
        <w:t xml:space="preserve">.  CTS Interface Bids shall include </w:t>
      </w:r>
      <w:r w:rsidRPr="00CD4527">
        <w:t>a MW amount, a direction indicating whether the proposed Transaction is to Import Energy to, or Export Energy from, the New York Contr</w:t>
      </w:r>
      <w:r w:rsidRPr="00CD4527">
        <w:t>ol Area, and a Bid Price.</w:t>
      </w:r>
    </w:p>
    <w:p w:rsidR="007E3796" w:rsidRPr="00CD4527" w:rsidRDefault="00970C40" w:rsidP="002507CE">
      <w:pPr>
        <w:pStyle w:val="Definition"/>
      </w:pPr>
      <w:r w:rsidRPr="00CD4527">
        <w:rPr>
          <w:b/>
        </w:rPr>
        <w:t>CTS Sink:</w:t>
      </w:r>
      <w:r w:rsidRPr="00CD4527">
        <w:t xml:space="preserve">  </w:t>
      </w:r>
      <w:r w:rsidRPr="00CD4527">
        <w:t>Representation of the location(s) within a</w:t>
      </w:r>
      <w:r w:rsidRPr="00CD4527">
        <w:t xml:space="preserve"> Control Area </w:t>
      </w:r>
      <w:r w:rsidRPr="00CD4527">
        <w:t xml:space="preserve">where energy associated </w:t>
      </w:r>
      <w:r w:rsidRPr="00CD4527">
        <w:t xml:space="preserve">with a CTS Interface Bid is </w:t>
      </w:r>
      <w:r w:rsidRPr="00CD4527">
        <w:t>withdrawn</w:t>
      </w:r>
      <w:r w:rsidRPr="00CD4527">
        <w:t>.</w:t>
      </w:r>
      <w:r w:rsidRPr="00CD4527">
        <w:t xml:space="preserve">  The </w:t>
      </w:r>
      <w:r w:rsidRPr="00CD4527">
        <w:t>NYCA</w:t>
      </w:r>
      <w:r w:rsidRPr="00CD4527">
        <w:t xml:space="preserve"> CTS Sinks are Proxy Generator Buses.</w:t>
      </w:r>
      <w:r w:rsidRPr="00CD4527">
        <w:t xml:space="preserve"> </w:t>
      </w:r>
    </w:p>
    <w:p w:rsidR="007E3796" w:rsidRPr="00CD4527" w:rsidRDefault="00970C40" w:rsidP="002507CE">
      <w:pPr>
        <w:pStyle w:val="Definition"/>
      </w:pPr>
      <w:r w:rsidRPr="00CD4527">
        <w:rPr>
          <w:b/>
        </w:rPr>
        <w:t>CTS Sink Price:</w:t>
      </w:r>
      <w:r w:rsidRPr="00CD4527">
        <w:t xml:space="preserve"> </w:t>
      </w:r>
      <w:r w:rsidRPr="00CD4527">
        <w:t xml:space="preserve">The price at </w:t>
      </w:r>
      <w:r w:rsidRPr="00CD4527">
        <w:t>a CTS</w:t>
      </w:r>
      <w:r w:rsidRPr="00CD4527">
        <w:t xml:space="preserve"> Sink</w:t>
      </w:r>
      <w:r w:rsidRPr="00CD4527">
        <w:t>.</w:t>
      </w:r>
    </w:p>
    <w:p w:rsidR="007E3796" w:rsidRPr="00CD4527" w:rsidRDefault="00970C40" w:rsidP="002507CE">
      <w:pPr>
        <w:pStyle w:val="Definition"/>
      </w:pPr>
      <w:r w:rsidRPr="00CD4527">
        <w:rPr>
          <w:b/>
        </w:rPr>
        <w:t>CTS Source:</w:t>
      </w:r>
      <w:r w:rsidRPr="00CD4527">
        <w:t xml:space="preserve"> </w:t>
      </w:r>
      <w:r w:rsidRPr="00CD4527">
        <w:t>Representation of the location(s) within a</w:t>
      </w:r>
      <w:r w:rsidRPr="00CD4527">
        <w:t xml:space="preserve"> Control Area </w:t>
      </w:r>
      <w:r w:rsidRPr="00CD4527">
        <w:t xml:space="preserve">where energy associated </w:t>
      </w:r>
      <w:r w:rsidRPr="00CD4527">
        <w:t xml:space="preserve">with a CTS Interface Bid is </w:t>
      </w:r>
      <w:r w:rsidRPr="00CD4527">
        <w:t>injected</w:t>
      </w:r>
      <w:r w:rsidRPr="00CD4527">
        <w:t>.</w:t>
      </w:r>
      <w:r w:rsidRPr="00CD4527">
        <w:t xml:space="preserve">  The </w:t>
      </w:r>
      <w:r w:rsidRPr="00CD4527">
        <w:t>NYCA</w:t>
      </w:r>
      <w:r w:rsidRPr="00CD4527">
        <w:t xml:space="preserve"> CTS Sources are Proxy Generator Buses.</w:t>
      </w:r>
    </w:p>
    <w:p w:rsidR="007E3796" w:rsidRPr="00CD4527" w:rsidRDefault="00970C40" w:rsidP="007E3796">
      <w:pPr>
        <w:pStyle w:val="Definition"/>
        <w:rPr>
          <w:bCs/>
        </w:rPr>
      </w:pPr>
      <w:r w:rsidRPr="00CD4527">
        <w:rPr>
          <w:b/>
        </w:rPr>
        <w:t>CTS Source Price:</w:t>
      </w:r>
      <w:r w:rsidRPr="00CD4527">
        <w:t xml:space="preserve"> </w:t>
      </w:r>
      <w:r w:rsidRPr="00CD4527">
        <w:t xml:space="preserve">The price at </w:t>
      </w:r>
      <w:r w:rsidRPr="00CD4527">
        <w:t>a</w:t>
      </w:r>
      <w:r w:rsidRPr="00CD4527">
        <w:t xml:space="preserve"> </w:t>
      </w:r>
      <w:r w:rsidRPr="00CD4527">
        <w:t xml:space="preserve">CTS </w:t>
      </w:r>
      <w:r w:rsidRPr="00CD4527">
        <w:t>Source</w:t>
      </w:r>
      <w:r w:rsidRPr="00CD4527">
        <w:t>.</w:t>
      </w:r>
    </w:p>
    <w:p w:rsidR="00A8398A" w:rsidRDefault="00970C40" w:rsidP="00FE1767">
      <w:pPr>
        <w:pStyle w:val="Definition"/>
      </w:pPr>
      <w:r>
        <w:rPr>
          <w:b/>
        </w:rPr>
        <w:t xml:space="preserve">Curtailment or Curtail: </w:t>
      </w:r>
      <w:r>
        <w:t xml:space="preserve">A reduction in </w:t>
      </w:r>
      <w:r>
        <w:t>Transmission Service in response to a transmission capacity shortage as a result of system reliability conditions.</w:t>
      </w:r>
    </w:p>
    <w:p w:rsidR="00A8398A" w:rsidRDefault="00970C40" w:rsidP="00FE1767">
      <w:pPr>
        <w:pStyle w:val="Definition"/>
      </w:pPr>
      <w:r>
        <w:rPr>
          <w:b/>
        </w:rPr>
        <w:t>Customer:</w:t>
      </w:r>
      <w:r>
        <w:t xml:space="preserve"> An entity which has complied with the requirements contained in the ISO Services Tariff, including having signed a Service Agreemen</w:t>
      </w:r>
      <w:r>
        <w:t>t, and is qualified to utilize the Market Services and the Control Area Services provided by the ISO under the ISO Services Tariff; provided, however, that a party taking services under the ISO Services Tariff pursuant to an unsigned Service Agreement file</w:t>
      </w:r>
      <w:r>
        <w:t>d with the Commission by the ISO shall be deemed a Customer.</w:t>
      </w:r>
    </w:p>
    <w:p w:rsidR="00CA4F49" w:rsidRPr="00CA4F49" w:rsidRDefault="00970C40" w:rsidP="00CA4F49">
      <w:pPr>
        <w:pStyle w:val="Heading2"/>
      </w:pPr>
    </w:p>
    <w:sectPr w:rsidR="00CA4F49" w:rsidRPr="00CA4F49"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57A" w:rsidRDefault="000D757A" w:rsidP="000D757A">
      <w:r>
        <w:separator/>
      </w:r>
    </w:p>
  </w:endnote>
  <w:endnote w:type="continuationSeparator" w:id="0">
    <w:p w:rsidR="000D757A" w:rsidRDefault="000D757A" w:rsidP="000D75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57A" w:rsidRDefault="00970C40">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0D757A">
      <w:rPr>
        <w:rFonts w:ascii="Arial" w:eastAsia="Arial" w:hAnsi="Arial" w:cs="Arial"/>
        <w:color w:val="000000"/>
        <w:sz w:val="16"/>
      </w:rPr>
      <w:fldChar w:fldCharType="begin"/>
    </w:r>
    <w:r>
      <w:rPr>
        <w:rFonts w:ascii="Arial" w:eastAsia="Arial" w:hAnsi="Arial" w:cs="Arial"/>
        <w:color w:val="000000"/>
        <w:sz w:val="16"/>
      </w:rPr>
      <w:instrText>PAGE</w:instrText>
    </w:r>
    <w:r w:rsidR="000D757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57A" w:rsidRDefault="00970C40">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0D757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sidR="000D757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57A" w:rsidRDefault="00970C40">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0D757A">
      <w:rPr>
        <w:rFonts w:ascii="Arial" w:eastAsia="Arial" w:hAnsi="Arial" w:cs="Arial"/>
        <w:color w:val="000000"/>
        <w:sz w:val="16"/>
      </w:rPr>
      <w:fldChar w:fldCharType="begin"/>
    </w:r>
    <w:r>
      <w:rPr>
        <w:rFonts w:ascii="Arial" w:eastAsia="Arial" w:hAnsi="Arial" w:cs="Arial"/>
        <w:color w:val="000000"/>
        <w:sz w:val="16"/>
      </w:rPr>
      <w:instrText>PAGE</w:instrText>
    </w:r>
    <w:r w:rsidR="000D757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57A" w:rsidRDefault="000D757A" w:rsidP="000D757A">
      <w:r>
        <w:separator/>
      </w:r>
    </w:p>
  </w:footnote>
  <w:footnote w:type="continuationSeparator" w:id="0">
    <w:p w:rsidR="000D757A" w:rsidRDefault="000D757A" w:rsidP="000D75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57A" w:rsidRDefault="00970C40">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1.3 OATT Definitions - 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57A" w:rsidRDefault="00970C40">
    <w:pPr>
      <w:rPr>
        <w:rFonts w:ascii="Arial" w:eastAsia="Arial" w:hAnsi="Arial" w:cs="Arial"/>
        <w:color w:val="000000"/>
        <w:sz w:val="16"/>
      </w:rPr>
    </w:pPr>
    <w:r>
      <w:rPr>
        <w:rFonts w:ascii="Arial" w:eastAsia="Arial" w:hAnsi="Arial" w:cs="Arial"/>
        <w:color w:val="000000"/>
        <w:sz w:val="16"/>
      </w:rPr>
      <w:t>NYISO Tariffs --&gt; O</w:t>
    </w:r>
    <w:r>
      <w:rPr>
        <w:rFonts w:ascii="Arial" w:eastAsia="Arial" w:hAnsi="Arial" w:cs="Arial"/>
        <w:color w:val="000000"/>
        <w:sz w:val="16"/>
      </w:rPr>
      <w:t>pen Access Transmission Tariff (OATT) --&gt; 1 OATT Definitions --&gt; 1.3 OATT Definitions - 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57A" w:rsidRDefault="00970C40">
    <w:pPr>
      <w:rPr>
        <w:rFonts w:ascii="Arial" w:eastAsia="Arial" w:hAnsi="Arial" w:cs="Arial"/>
        <w:color w:val="000000"/>
        <w:sz w:val="16"/>
      </w:rPr>
    </w:pPr>
    <w:r>
      <w:rPr>
        <w:rFonts w:ascii="Arial" w:eastAsia="Arial" w:hAnsi="Arial" w:cs="Arial"/>
        <w:color w:val="000000"/>
        <w:sz w:val="16"/>
      </w:rPr>
      <w:t>NYISO Tariffs --&gt; Open Access Tran</w:t>
    </w:r>
    <w:r>
      <w:rPr>
        <w:rFonts w:ascii="Arial" w:eastAsia="Arial" w:hAnsi="Arial" w:cs="Arial"/>
        <w:color w:val="000000"/>
        <w:sz w:val="16"/>
      </w:rPr>
      <w:t>smission Tariff (OATT) --&gt; 1 OATT Definitions --&gt; 1.3 OATT Definitions -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660CA38">
      <w:start w:val="1"/>
      <w:numFmt w:val="bullet"/>
      <w:pStyle w:val="Bulletpara"/>
      <w:lvlText w:val=""/>
      <w:lvlJc w:val="left"/>
      <w:pPr>
        <w:tabs>
          <w:tab w:val="num" w:pos="720"/>
        </w:tabs>
        <w:ind w:left="720" w:hanging="360"/>
      </w:pPr>
      <w:rPr>
        <w:rFonts w:ascii="Symbol" w:hAnsi="Symbol" w:hint="default"/>
      </w:rPr>
    </w:lvl>
    <w:lvl w:ilvl="1" w:tplc="6A523E30" w:tentative="1">
      <w:start w:val="1"/>
      <w:numFmt w:val="bullet"/>
      <w:lvlText w:val="o"/>
      <w:lvlJc w:val="left"/>
      <w:pPr>
        <w:tabs>
          <w:tab w:val="num" w:pos="1440"/>
        </w:tabs>
        <w:ind w:left="1440" w:hanging="360"/>
      </w:pPr>
      <w:rPr>
        <w:rFonts w:ascii="Courier New" w:hAnsi="Courier New" w:cs="Courier New" w:hint="default"/>
      </w:rPr>
    </w:lvl>
    <w:lvl w:ilvl="2" w:tplc="4290DEC0" w:tentative="1">
      <w:start w:val="1"/>
      <w:numFmt w:val="bullet"/>
      <w:lvlText w:val=""/>
      <w:lvlJc w:val="left"/>
      <w:pPr>
        <w:tabs>
          <w:tab w:val="num" w:pos="2160"/>
        </w:tabs>
        <w:ind w:left="2160" w:hanging="360"/>
      </w:pPr>
      <w:rPr>
        <w:rFonts w:ascii="Wingdings" w:hAnsi="Wingdings" w:hint="default"/>
      </w:rPr>
    </w:lvl>
    <w:lvl w:ilvl="3" w:tplc="EF96DC7E" w:tentative="1">
      <w:start w:val="1"/>
      <w:numFmt w:val="bullet"/>
      <w:lvlText w:val=""/>
      <w:lvlJc w:val="left"/>
      <w:pPr>
        <w:tabs>
          <w:tab w:val="num" w:pos="2880"/>
        </w:tabs>
        <w:ind w:left="2880" w:hanging="360"/>
      </w:pPr>
      <w:rPr>
        <w:rFonts w:ascii="Symbol" w:hAnsi="Symbol" w:hint="default"/>
      </w:rPr>
    </w:lvl>
    <w:lvl w:ilvl="4" w:tplc="870C4BBA" w:tentative="1">
      <w:start w:val="1"/>
      <w:numFmt w:val="bullet"/>
      <w:lvlText w:val="o"/>
      <w:lvlJc w:val="left"/>
      <w:pPr>
        <w:tabs>
          <w:tab w:val="num" w:pos="3600"/>
        </w:tabs>
        <w:ind w:left="3600" w:hanging="360"/>
      </w:pPr>
      <w:rPr>
        <w:rFonts w:ascii="Courier New" w:hAnsi="Courier New" w:cs="Courier New" w:hint="default"/>
      </w:rPr>
    </w:lvl>
    <w:lvl w:ilvl="5" w:tplc="7B1C55D4" w:tentative="1">
      <w:start w:val="1"/>
      <w:numFmt w:val="bullet"/>
      <w:lvlText w:val=""/>
      <w:lvlJc w:val="left"/>
      <w:pPr>
        <w:tabs>
          <w:tab w:val="num" w:pos="4320"/>
        </w:tabs>
        <w:ind w:left="4320" w:hanging="360"/>
      </w:pPr>
      <w:rPr>
        <w:rFonts w:ascii="Wingdings" w:hAnsi="Wingdings" w:hint="default"/>
      </w:rPr>
    </w:lvl>
    <w:lvl w:ilvl="6" w:tplc="36EC5A28" w:tentative="1">
      <w:start w:val="1"/>
      <w:numFmt w:val="bullet"/>
      <w:lvlText w:val=""/>
      <w:lvlJc w:val="left"/>
      <w:pPr>
        <w:tabs>
          <w:tab w:val="num" w:pos="5040"/>
        </w:tabs>
        <w:ind w:left="5040" w:hanging="360"/>
      </w:pPr>
      <w:rPr>
        <w:rFonts w:ascii="Symbol" w:hAnsi="Symbol" w:hint="default"/>
      </w:rPr>
    </w:lvl>
    <w:lvl w:ilvl="7" w:tplc="3A0AF7A8" w:tentative="1">
      <w:start w:val="1"/>
      <w:numFmt w:val="bullet"/>
      <w:lvlText w:val="o"/>
      <w:lvlJc w:val="left"/>
      <w:pPr>
        <w:tabs>
          <w:tab w:val="num" w:pos="5760"/>
        </w:tabs>
        <w:ind w:left="5760" w:hanging="360"/>
      </w:pPr>
      <w:rPr>
        <w:rFonts w:ascii="Courier New" w:hAnsi="Courier New" w:cs="Courier New" w:hint="default"/>
      </w:rPr>
    </w:lvl>
    <w:lvl w:ilvl="8" w:tplc="78F2508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155A7728">
      <w:start w:val="1"/>
      <w:numFmt w:val="bullet"/>
      <w:lvlText w:val="­"/>
      <w:lvlJc w:val="left"/>
      <w:pPr>
        <w:tabs>
          <w:tab w:val="num" w:pos="720"/>
        </w:tabs>
        <w:ind w:left="720" w:hanging="360"/>
      </w:pPr>
      <w:rPr>
        <w:rFonts w:ascii="Courier New" w:hAnsi="Courier New" w:hint="default"/>
      </w:rPr>
    </w:lvl>
    <w:lvl w:ilvl="1" w:tplc="BFC80162" w:tentative="1">
      <w:start w:val="1"/>
      <w:numFmt w:val="bullet"/>
      <w:lvlText w:val="o"/>
      <w:lvlJc w:val="left"/>
      <w:pPr>
        <w:tabs>
          <w:tab w:val="num" w:pos="1440"/>
        </w:tabs>
        <w:ind w:left="1440" w:hanging="360"/>
      </w:pPr>
      <w:rPr>
        <w:rFonts w:ascii="Courier New" w:hAnsi="Courier New" w:cs="Courier New" w:hint="default"/>
      </w:rPr>
    </w:lvl>
    <w:lvl w:ilvl="2" w:tplc="552E1C80" w:tentative="1">
      <w:start w:val="1"/>
      <w:numFmt w:val="bullet"/>
      <w:lvlText w:val=""/>
      <w:lvlJc w:val="left"/>
      <w:pPr>
        <w:tabs>
          <w:tab w:val="num" w:pos="2160"/>
        </w:tabs>
        <w:ind w:left="2160" w:hanging="360"/>
      </w:pPr>
      <w:rPr>
        <w:rFonts w:ascii="Wingdings" w:hAnsi="Wingdings" w:hint="default"/>
      </w:rPr>
    </w:lvl>
    <w:lvl w:ilvl="3" w:tplc="CBF07332" w:tentative="1">
      <w:start w:val="1"/>
      <w:numFmt w:val="bullet"/>
      <w:lvlText w:val=""/>
      <w:lvlJc w:val="left"/>
      <w:pPr>
        <w:tabs>
          <w:tab w:val="num" w:pos="2880"/>
        </w:tabs>
        <w:ind w:left="2880" w:hanging="360"/>
      </w:pPr>
      <w:rPr>
        <w:rFonts w:ascii="Symbol" w:hAnsi="Symbol" w:hint="default"/>
      </w:rPr>
    </w:lvl>
    <w:lvl w:ilvl="4" w:tplc="A7D88756" w:tentative="1">
      <w:start w:val="1"/>
      <w:numFmt w:val="bullet"/>
      <w:lvlText w:val="o"/>
      <w:lvlJc w:val="left"/>
      <w:pPr>
        <w:tabs>
          <w:tab w:val="num" w:pos="3600"/>
        </w:tabs>
        <w:ind w:left="3600" w:hanging="360"/>
      </w:pPr>
      <w:rPr>
        <w:rFonts w:ascii="Courier New" w:hAnsi="Courier New" w:cs="Courier New" w:hint="default"/>
      </w:rPr>
    </w:lvl>
    <w:lvl w:ilvl="5" w:tplc="7848BD34" w:tentative="1">
      <w:start w:val="1"/>
      <w:numFmt w:val="bullet"/>
      <w:lvlText w:val=""/>
      <w:lvlJc w:val="left"/>
      <w:pPr>
        <w:tabs>
          <w:tab w:val="num" w:pos="4320"/>
        </w:tabs>
        <w:ind w:left="4320" w:hanging="360"/>
      </w:pPr>
      <w:rPr>
        <w:rFonts w:ascii="Wingdings" w:hAnsi="Wingdings" w:hint="default"/>
      </w:rPr>
    </w:lvl>
    <w:lvl w:ilvl="6" w:tplc="FB8A6384" w:tentative="1">
      <w:start w:val="1"/>
      <w:numFmt w:val="bullet"/>
      <w:lvlText w:val=""/>
      <w:lvlJc w:val="left"/>
      <w:pPr>
        <w:tabs>
          <w:tab w:val="num" w:pos="5040"/>
        </w:tabs>
        <w:ind w:left="5040" w:hanging="360"/>
      </w:pPr>
      <w:rPr>
        <w:rFonts w:ascii="Symbol" w:hAnsi="Symbol" w:hint="default"/>
      </w:rPr>
    </w:lvl>
    <w:lvl w:ilvl="7" w:tplc="413629C8" w:tentative="1">
      <w:start w:val="1"/>
      <w:numFmt w:val="bullet"/>
      <w:lvlText w:val="o"/>
      <w:lvlJc w:val="left"/>
      <w:pPr>
        <w:tabs>
          <w:tab w:val="num" w:pos="5760"/>
        </w:tabs>
        <w:ind w:left="5760" w:hanging="360"/>
      </w:pPr>
      <w:rPr>
        <w:rFonts w:ascii="Courier New" w:hAnsi="Courier New" w:cs="Courier New" w:hint="default"/>
      </w:rPr>
    </w:lvl>
    <w:lvl w:ilvl="8" w:tplc="5C02456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3C3A00E0">
      <w:start w:val="1"/>
      <w:numFmt w:val="lowerRoman"/>
      <w:lvlText w:val="(%1)"/>
      <w:lvlJc w:val="left"/>
      <w:pPr>
        <w:tabs>
          <w:tab w:val="num" w:pos="2448"/>
        </w:tabs>
        <w:ind w:left="2448" w:hanging="648"/>
      </w:pPr>
      <w:rPr>
        <w:rFonts w:hint="default"/>
        <w:b w:val="0"/>
        <w:i w:val="0"/>
        <w:u w:val="none"/>
      </w:rPr>
    </w:lvl>
    <w:lvl w:ilvl="1" w:tplc="F5E0374C" w:tentative="1">
      <w:start w:val="1"/>
      <w:numFmt w:val="lowerLetter"/>
      <w:lvlText w:val="%2."/>
      <w:lvlJc w:val="left"/>
      <w:pPr>
        <w:tabs>
          <w:tab w:val="num" w:pos="1440"/>
        </w:tabs>
        <w:ind w:left="1440" w:hanging="360"/>
      </w:pPr>
    </w:lvl>
    <w:lvl w:ilvl="2" w:tplc="EF820A56" w:tentative="1">
      <w:start w:val="1"/>
      <w:numFmt w:val="lowerRoman"/>
      <w:lvlText w:val="%3."/>
      <w:lvlJc w:val="right"/>
      <w:pPr>
        <w:tabs>
          <w:tab w:val="num" w:pos="2160"/>
        </w:tabs>
        <w:ind w:left="2160" w:hanging="180"/>
      </w:pPr>
    </w:lvl>
    <w:lvl w:ilvl="3" w:tplc="D4B6C6C0" w:tentative="1">
      <w:start w:val="1"/>
      <w:numFmt w:val="decimal"/>
      <w:lvlText w:val="%4."/>
      <w:lvlJc w:val="left"/>
      <w:pPr>
        <w:tabs>
          <w:tab w:val="num" w:pos="2880"/>
        </w:tabs>
        <w:ind w:left="2880" w:hanging="360"/>
      </w:pPr>
    </w:lvl>
    <w:lvl w:ilvl="4" w:tplc="6DC0E068" w:tentative="1">
      <w:start w:val="1"/>
      <w:numFmt w:val="lowerLetter"/>
      <w:lvlText w:val="%5."/>
      <w:lvlJc w:val="left"/>
      <w:pPr>
        <w:tabs>
          <w:tab w:val="num" w:pos="3600"/>
        </w:tabs>
        <w:ind w:left="3600" w:hanging="360"/>
      </w:pPr>
    </w:lvl>
    <w:lvl w:ilvl="5" w:tplc="AD16A652" w:tentative="1">
      <w:start w:val="1"/>
      <w:numFmt w:val="lowerRoman"/>
      <w:lvlText w:val="%6."/>
      <w:lvlJc w:val="right"/>
      <w:pPr>
        <w:tabs>
          <w:tab w:val="num" w:pos="4320"/>
        </w:tabs>
        <w:ind w:left="4320" w:hanging="180"/>
      </w:pPr>
    </w:lvl>
    <w:lvl w:ilvl="6" w:tplc="13BA1DE2" w:tentative="1">
      <w:start w:val="1"/>
      <w:numFmt w:val="decimal"/>
      <w:lvlText w:val="%7."/>
      <w:lvlJc w:val="left"/>
      <w:pPr>
        <w:tabs>
          <w:tab w:val="num" w:pos="5040"/>
        </w:tabs>
        <w:ind w:left="5040" w:hanging="360"/>
      </w:pPr>
    </w:lvl>
    <w:lvl w:ilvl="7" w:tplc="DBFE5B2E" w:tentative="1">
      <w:start w:val="1"/>
      <w:numFmt w:val="lowerLetter"/>
      <w:lvlText w:val="%8."/>
      <w:lvlJc w:val="left"/>
      <w:pPr>
        <w:tabs>
          <w:tab w:val="num" w:pos="5760"/>
        </w:tabs>
        <w:ind w:left="5760" w:hanging="360"/>
      </w:pPr>
    </w:lvl>
    <w:lvl w:ilvl="8" w:tplc="824C207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C7D2649A">
      <w:start w:val="1"/>
      <w:numFmt w:val="bullet"/>
      <w:lvlText w:val=""/>
      <w:lvlJc w:val="left"/>
      <w:pPr>
        <w:tabs>
          <w:tab w:val="num" w:pos="5760"/>
        </w:tabs>
        <w:ind w:left="5760" w:hanging="360"/>
      </w:pPr>
      <w:rPr>
        <w:rFonts w:ascii="Symbol" w:hAnsi="Symbol" w:hint="default"/>
        <w:color w:val="auto"/>
        <w:u w:val="none"/>
      </w:rPr>
    </w:lvl>
    <w:lvl w:ilvl="1" w:tplc="E1E8044C" w:tentative="1">
      <w:start w:val="1"/>
      <w:numFmt w:val="bullet"/>
      <w:lvlText w:val="o"/>
      <w:lvlJc w:val="left"/>
      <w:pPr>
        <w:tabs>
          <w:tab w:val="num" w:pos="3600"/>
        </w:tabs>
        <w:ind w:left="3600" w:hanging="360"/>
      </w:pPr>
      <w:rPr>
        <w:rFonts w:ascii="Courier New" w:hAnsi="Courier New" w:hint="default"/>
      </w:rPr>
    </w:lvl>
    <w:lvl w:ilvl="2" w:tplc="21D656FC" w:tentative="1">
      <w:start w:val="1"/>
      <w:numFmt w:val="bullet"/>
      <w:lvlText w:val=""/>
      <w:lvlJc w:val="left"/>
      <w:pPr>
        <w:tabs>
          <w:tab w:val="num" w:pos="4320"/>
        </w:tabs>
        <w:ind w:left="4320" w:hanging="360"/>
      </w:pPr>
      <w:rPr>
        <w:rFonts w:ascii="Wingdings" w:hAnsi="Wingdings" w:hint="default"/>
      </w:rPr>
    </w:lvl>
    <w:lvl w:ilvl="3" w:tplc="877E5DFA">
      <w:start w:val="1"/>
      <w:numFmt w:val="bullet"/>
      <w:lvlText w:val=""/>
      <w:lvlJc w:val="left"/>
      <w:pPr>
        <w:tabs>
          <w:tab w:val="num" w:pos="5040"/>
        </w:tabs>
        <w:ind w:left="5040" w:hanging="360"/>
      </w:pPr>
      <w:rPr>
        <w:rFonts w:ascii="Symbol" w:hAnsi="Symbol" w:hint="default"/>
      </w:rPr>
    </w:lvl>
    <w:lvl w:ilvl="4" w:tplc="C1929488" w:tentative="1">
      <w:start w:val="1"/>
      <w:numFmt w:val="bullet"/>
      <w:lvlText w:val="o"/>
      <w:lvlJc w:val="left"/>
      <w:pPr>
        <w:tabs>
          <w:tab w:val="num" w:pos="5760"/>
        </w:tabs>
        <w:ind w:left="5760" w:hanging="360"/>
      </w:pPr>
      <w:rPr>
        <w:rFonts w:ascii="Courier New" w:hAnsi="Courier New" w:hint="default"/>
      </w:rPr>
    </w:lvl>
    <w:lvl w:ilvl="5" w:tplc="95904984" w:tentative="1">
      <w:start w:val="1"/>
      <w:numFmt w:val="bullet"/>
      <w:lvlText w:val=""/>
      <w:lvlJc w:val="left"/>
      <w:pPr>
        <w:tabs>
          <w:tab w:val="num" w:pos="6480"/>
        </w:tabs>
        <w:ind w:left="6480" w:hanging="360"/>
      </w:pPr>
      <w:rPr>
        <w:rFonts w:ascii="Wingdings" w:hAnsi="Wingdings" w:hint="default"/>
      </w:rPr>
    </w:lvl>
    <w:lvl w:ilvl="6" w:tplc="A964EEA2" w:tentative="1">
      <w:start w:val="1"/>
      <w:numFmt w:val="bullet"/>
      <w:lvlText w:val=""/>
      <w:lvlJc w:val="left"/>
      <w:pPr>
        <w:tabs>
          <w:tab w:val="num" w:pos="7200"/>
        </w:tabs>
        <w:ind w:left="7200" w:hanging="360"/>
      </w:pPr>
      <w:rPr>
        <w:rFonts w:ascii="Symbol" w:hAnsi="Symbol" w:hint="default"/>
      </w:rPr>
    </w:lvl>
    <w:lvl w:ilvl="7" w:tplc="7E5AABFC" w:tentative="1">
      <w:start w:val="1"/>
      <w:numFmt w:val="bullet"/>
      <w:lvlText w:val="o"/>
      <w:lvlJc w:val="left"/>
      <w:pPr>
        <w:tabs>
          <w:tab w:val="num" w:pos="7920"/>
        </w:tabs>
        <w:ind w:left="7920" w:hanging="360"/>
      </w:pPr>
      <w:rPr>
        <w:rFonts w:ascii="Courier New" w:hAnsi="Courier New" w:hint="default"/>
      </w:rPr>
    </w:lvl>
    <w:lvl w:ilvl="8" w:tplc="5DD650E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0D757A"/>
    <w:rsid w:val="000D757A"/>
    <w:rsid w:val="00970C4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1522"/>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A21522"/>
    <w:pPr>
      <w:keepNext/>
      <w:spacing w:line="480" w:lineRule="auto"/>
      <w:ind w:left="1440" w:right="-90" w:hanging="720"/>
      <w:outlineLvl w:val="4"/>
    </w:pPr>
    <w:rPr>
      <w:b/>
    </w:rPr>
  </w:style>
  <w:style w:type="paragraph" w:styleId="Heading6">
    <w:name w:val="heading 6"/>
    <w:basedOn w:val="Normal"/>
    <w:next w:val="Normal"/>
    <w:qFormat/>
    <w:rsid w:val="00A21522"/>
    <w:pPr>
      <w:keepNext/>
      <w:spacing w:line="480" w:lineRule="auto"/>
      <w:ind w:left="1080" w:right="-90" w:hanging="360"/>
      <w:outlineLvl w:val="5"/>
    </w:pPr>
    <w:rPr>
      <w:b/>
    </w:rPr>
  </w:style>
  <w:style w:type="paragraph" w:styleId="Heading7">
    <w:name w:val="heading 7"/>
    <w:basedOn w:val="Normal"/>
    <w:next w:val="Normal"/>
    <w:qFormat/>
    <w:rsid w:val="00A21522"/>
    <w:pPr>
      <w:keepNext/>
      <w:spacing w:line="480" w:lineRule="auto"/>
      <w:ind w:left="720" w:right="630"/>
      <w:outlineLvl w:val="6"/>
    </w:pPr>
    <w:rPr>
      <w:b/>
    </w:rPr>
  </w:style>
  <w:style w:type="paragraph" w:styleId="Heading8">
    <w:name w:val="heading 8"/>
    <w:basedOn w:val="Normal"/>
    <w:next w:val="Normal"/>
    <w:qFormat/>
    <w:rsid w:val="00A21522"/>
    <w:pPr>
      <w:keepNext/>
      <w:spacing w:line="480" w:lineRule="auto"/>
      <w:ind w:left="720" w:right="-90"/>
      <w:outlineLvl w:val="7"/>
    </w:pPr>
    <w:rPr>
      <w:b/>
    </w:rPr>
  </w:style>
  <w:style w:type="paragraph" w:styleId="Heading9">
    <w:name w:val="heading 9"/>
    <w:basedOn w:val="Normal"/>
    <w:next w:val="Normal"/>
    <w:qFormat/>
    <w:rsid w:val="00A2152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A21522"/>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A21522"/>
    <w:pPr>
      <w:widowControl/>
      <w:tabs>
        <w:tab w:val="center" w:pos="4680"/>
        <w:tab w:val="right" w:pos="9360"/>
      </w:tabs>
    </w:pPr>
    <w:rPr>
      <w:snapToGrid/>
      <w:szCs w:val="24"/>
    </w:rPr>
  </w:style>
  <w:style w:type="paragraph" w:styleId="Date">
    <w:name w:val="Date"/>
    <w:basedOn w:val="Normal"/>
    <w:next w:val="Normal"/>
    <w:rsid w:val="00A21522"/>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6015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2017-03-24T08:52:00Z</dcterms:created>
  <dcterms:modified xsi:type="dcterms:W3CDTF">2017-03-24T08:52:00Z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-659328325</vt:i4>
  </property>
  <property fmtid="{D5CDD505-2E9C-101B-9397-08002B2CF9AE}" pid="3" name="_NewReviewCycle">
    <vt:lpwstr/>
  </property>
  <property fmtid="{D5CDD505-2E9C-101B-9397-08002B2CF9AE}" pid="4" name="_PreviousAdHocReviewCycleID">
    <vt:i4>-218208335</vt:i4>
  </property>
  <property fmtid="{D5CDD505-2E9C-101B-9397-08002B2CF9AE}" pid="5" name="_ReviewingToolsShownOnce">
    <vt:lpwstr/>
  </property>
</Properties>
</file>