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8957C9">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8957C9">
      <w:pPr>
        <w:pStyle w:val="Heading2"/>
      </w:pPr>
      <w:bookmarkStart w:id="1" w:name="_Toc261252298"/>
      <w:r>
        <w:lastRenderedPageBreak/>
        <w:t>25.1</w:t>
      </w:r>
      <w:r>
        <w:tab/>
      </w:r>
      <w:bookmarkEnd w:id="1"/>
      <w:r>
        <w:t>Introduction</w:t>
      </w:r>
    </w:p>
    <w:p w:rsidR="003C21CD" w:rsidRDefault="008957C9">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8957C9">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8957C9">
      <w:pPr>
        <w:pStyle w:val="Heading2"/>
      </w:pPr>
      <w:bookmarkStart w:id="2" w:name="_Toc261252299"/>
      <w:r>
        <w:lastRenderedPageBreak/>
        <w:t>25.2</w:t>
      </w:r>
      <w:r>
        <w:tab/>
        <w:t>Eligibility for</w:t>
      </w:r>
      <w:r>
        <w:t xml:space="preserve"> Receiving Day-Ahead Margin Assurance Payments</w:t>
      </w:r>
      <w:bookmarkEnd w:id="2"/>
    </w:p>
    <w:p w:rsidR="003C21CD" w:rsidRDefault="008957C9" w:rsidP="00E2308C">
      <w:pPr>
        <w:pStyle w:val="Heading3"/>
      </w:pPr>
      <w:r>
        <w:t>25.2.1</w:t>
      </w:r>
      <w:r>
        <w:tab/>
        <w:t>General Eligibility Requirements for Suppliers to Receive Day-Ahead Margin Assurance Payments</w:t>
      </w:r>
    </w:p>
    <w:p w:rsidR="003C21CD" w:rsidRDefault="008957C9">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8957C9">
      <w:pPr>
        <w:pStyle w:val="Heading3"/>
      </w:pPr>
      <w:r>
        <w:t>25.2.2</w:t>
      </w:r>
      <w:r>
        <w:tab/>
        <w:t>Exceptions</w:t>
      </w:r>
    </w:p>
    <w:p w:rsidR="003C21CD" w:rsidRDefault="008957C9">
      <w:pPr>
        <w:pStyle w:val="Bodypara"/>
      </w:pPr>
      <w:r>
        <w:t>Notwithstanding Section 25.2.1 of this Attachment J, no Day-Ahead Margin Assurance Payment shall be paid to:</w:t>
      </w:r>
    </w:p>
    <w:p w:rsidR="003C21CD" w:rsidRDefault="008957C9">
      <w:pPr>
        <w:pStyle w:val="alphapara"/>
      </w:pPr>
      <w:r>
        <w:t>25.2.2.1</w:t>
      </w:r>
      <w:r>
        <w:tab/>
        <w:t>a Resource otherwise eligible for a Day-Ahead Marg</w:t>
      </w:r>
      <w:r>
        <w:t>in Assurance Payment in hours in which the NYISO has increased the Resource’s minimum operating level either: (i) at the Resource’s request; or (ii) in order to reconcile the ISO’s dispatch with the Resource’s actual output or to address reliability concer</w:t>
      </w:r>
      <w:r>
        <w:t>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3C21CD" w:rsidRDefault="008957C9">
      <w:pPr>
        <w:pStyle w:val="alphapara"/>
      </w:pPr>
      <w:bookmarkStart w:id="3" w:name="_Toc261252300"/>
      <w:r>
        <w:t>25.2.2.2</w:t>
      </w:r>
      <w:r>
        <w:tab/>
        <w:t>a Generator, otherwise eligible for Day-Ahead Margin Assurance Payments, for (i) any hour in which t</w:t>
      </w:r>
      <w:r>
        <w:t xml:space="preserve">he Incremental Energy Bids submitted in the real-time market for that Generator exceed the Incremental Energy Bids submitted in the Day-Ahead Market, or the mitigated Day-Ahead Incremental Energy Bids where appropriate, for the portion of that Generator’s </w:t>
      </w:r>
      <w:r>
        <w:t>Capacity that was scheduled in the Day-Ahead Market; and (ii) the two hours immediately preceding and the two hours immediately following the hour(s) in which the Incremental Energy Bids submitted in the real-time market for that Generator exceed the Incre</w:t>
      </w:r>
      <w:r>
        <w:t>mental Energy Bids submitted in the Day-Ahead Market, or the mitigated Day-Ahead Incremental Energy Bids where appropriate, for the portion of that Generator’s Capacity that was scheduled in the Day-Ahead Market.</w:t>
      </w:r>
    </w:p>
    <w:p w:rsidR="003C21CD" w:rsidRDefault="008957C9">
      <w:pPr>
        <w:pStyle w:val="alphapara"/>
        <w:rPr>
          <w:color w:val="000000"/>
        </w:rPr>
      </w:pPr>
    </w:p>
    <w:p w:rsidR="003C21CD" w:rsidRDefault="008957C9">
      <w:pPr>
        <w:pStyle w:val="alphapara"/>
      </w:pPr>
    </w:p>
    <w:p w:rsidR="003C21CD" w:rsidRDefault="008957C9">
      <w:pPr>
        <w:pStyle w:val="Heading2"/>
      </w:pPr>
      <w:r>
        <w:t>25.3</w:t>
      </w:r>
      <w:r>
        <w:tab/>
        <w:t>Calculation of Day-Ahead Margin Assu</w:t>
      </w:r>
      <w:r>
        <w:t>rance Payments</w:t>
      </w:r>
      <w:bookmarkEnd w:id="3"/>
    </w:p>
    <w:p w:rsidR="003C21CD" w:rsidRDefault="008957C9">
      <w:pPr>
        <w:pStyle w:val="Heading3"/>
      </w:pPr>
      <w:bookmarkStart w:id="4" w:name="_Toc261252301"/>
      <w:r>
        <w:t>25.3.1</w:t>
      </w:r>
      <w:bookmarkEnd w:id="4"/>
      <w:r>
        <w:t xml:space="preserve">  </w:t>
      </w:r>
      <w:r>
        <w:tab/>
        <w:t>Formula for Day-Ahead Margin Assurance Payments for Generators, Except for Limited Energy Storage Resources</w:t>
      </w:r>
    </w:p>
    <w:p w:rsidR="003C21CD" w:rsidRDefault="008957C9">
      <w:pPr>
        <w:pStyle w:val="Bodypara"/>
      </w:pPr>
      <w:r>
        <w:t>Subject to Sections 25.4 and 25.5 of this Attachment J, Day-Ahead Margin Assurance Payments for Generators, except for Limit</w:t>
      </w:r>
      <w:r>
        <w: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3C21CD" w:rsidRDefault="009F1BA7">
      <w:pPr>
        <w:pStyle w:val="equationtext"/>
      </w:pPr>
      <w:r w:rsidRPr="009F1BA7">
        <w:rPr>
          <w:position w:val="-26"/>
        </w:rPr>
        <w:object w:dxaOrig="31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31.15pt" o:ole="">
            <v:imagedata r:id="rId8" o:title=""/>
          </v:shape>
          <o:OLEObject Type="Embed" ProgID="Equation.3" ShapeID="_x0000_i1025" DrawAspect="Content" ObjectID="_1551825587" r:id="rId9"/>
        </w:object>
      </w:r>
      <w:r w:rsidR="008957C9">
        <w:t xml:space="preserve">      where:</w:t>
      </w:r>
    </w:p>
    <w:p w:rsidR="003C21CD" w:rsidRDefault="009F1BA7">
      <w:pPr>
        <w:pStyle w:val="equationtext"/>
      </w:pPr>
      <w:r w:rsidRPr="009F1BA7">
        <w:rPr>
          <w:position w:val="-30"/>
        </w:rPr>
        <w:object w:dxaOrig="5880" w:dyaOrig="580">
          <v:shape id="_x0000_i1026" type="#_x0000_t75" style="width:294.45pt;height:29pt" o:ole="">
            <v:imagedata r:id="rId10" o:title=""/>
          </v:shape>
          <o:OLEObject Type="Embed" ProgID="Equation.3" ShapeID="_x0000_i1026" DrawAspect="Content" ObjectID="_1551825588" r:id="rId11"/>
        </w:object>
      </w:r>
    </w:p>
    <w:p w:rsidR="003C21CD" w:rsidRDefault="008957C9">
      <w:pPr>
        <w:pStyle w:val="Bodypara"/>
      </w:pPr>
      <w:r>
        <w:t>If the Generator’s real-time Energy sc</w:t>
      </w:r>
      <w:r>
        <w:t>hedule is lower than its Day-Ahead Energy schedule then:</w:t>
      </w:r>
    </w:p>
    <w:p w:rsidR="003C21CD" w:rsidRDefault="008957C9">
      <w:pPr>
        <w:pStyle w:val="equationtext"/>
      </w:pPr>
      <w:r>
        <w:rPr>
          <w:i/>
          <w:noProof/>
          <w:position w:val="-54"/>
        </w:rPr>
        <w:drawing>
          <wp:inline distT="0" distB="0" distL="0" distR="0">
            <wp:extent cx="3590925"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90925" cy="762000"/>
                    </a:xfrm>
                    <a:prstGeom prst="rect">
                      <a:avLst/>
                    </a:prstGeom>
                    <a:noFill/>
                    <a:ln w="9525">
                      <a:noFill/>
                      <a:miter lim="800000"/>
                      <a:headEnd/>
                      <a:tailEnd/>
                    </a:ln>
                  </pic:spPr>
                </pic:pic>
              </a:graphicData>
            </a:graphic>
          </wp:inline>
        </w:drawing>
      </w:r>
      <w:r>
        <w:rPr>
          <w:i/>
          <w:iCs w:val="0"/>
        </w:rPr>
        <w:t>,</w:t>
      </w:r>
    </w:p>
    <w:p w:rsidR="003C21CD" w:rsidRDefault="008957C9">
      <w:pPr>
        <w:pStyle w:val="Bodypara"/>
      </w:pPr>
      <w:r>
        <w:t>If the Generator’s real-time Energy schedule is greater than or equal to its Day-Ahead Energy schedule then:</w:t>
      </w:r>
    </w:p>
    <w:p w:rsidR="003C21CD" w:rsidRDefault="008957C9">
      <w:pPr>
        <w:pStyle w:val="equationtext"/>
        <w:rPr>
          <w:i/>
        </w:rPr>
      </w:pPr>
      <w:r>
        <w:rPr>
          <w:i/>
          <w:noProof/>
          <w:position w:val="-56"/>
        </w:rPr>
        <w:drawing>
          <wp:inline distT="0" distB="0" distL="0" distR="0">
            <wp:extent cx="42291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229100" cy="781050"/>
                    </a:xfrm>
                    <a:prstGeom prst="rect">
                      <a:avLst/>
                    </a:prstGeom>
                    <a:noFill/>
                    <a:ln w="9525">
                      <a:noFill/>
                      <a:miter lim="800000"/>
                      <a:headEnd/>
                      <a:tailEnd/>
                    </a:ln>
                  </pic:spPr>
                </pic:pic>
              </a:graphicData>
            </a:graphic>
          </wp:inline>
        </w:drawing>
      </w:r>
    </w:p>
    <w:p w:rsidR="003C21CD" w:rsidRDefault="008957C9">
      <w:pPr>
        <w:pStyle w:val="Bodypara"/>
      </w:pPr>
      <w:r>
        <w:t xml:space="preserve">If the Generator’s real-time schedule for a given Operating Reserve product, p, is </w:t>
      </w:r>
      <w:r>
        <w:t>lower than its Day-Ahead Operating Reserve schedule for that product then:</w:t>
      </w:r>
    </w:p>
    <w:p w:rsidR="003C21CD" w:rsidRDefault="008957C9">
      <w:pPr>
        <w:pStyle w:val="equationtext"/>
      </w:pPr>
      <w:r>
        <w:rPr>
          <w:noProof/>
          <w:position w:val="-24"/>
        </w:rPr>
        <w:drawing>
          <wp:inline distT="0" distB="0" distL="0" distR="0">
            <wp:extent cx="485775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857750" cy="390525"/>
                    </a:xfrm>
                    <a:prstGeom prst="rect">
                      <a:avLst/>
                    </a:prstGeom>
                    <a:noFill/>
                    <a:ln w="9525">
                      <a:noFill/>
                      <a:miter lim="800000"/>
                      <a:headEnd/>
                      <a:tailEnd/>
                    </a:ln>
                  </pic:spPr>
                </pic:pic>
              </a:graphicData>
            </a:graphic>
          </wp:inline>
        </w:drawing>
      </w:r>
    </w:p>
    <w:p w:rsidR="003C21CD" w:rsidRDefault="008957C9">
      <w:pPr>
        <w:pStyle w:val="Bodypara"/>
      </w:pPr>
      <w:r>
        <w:t>If the Generator’s real-time schedule for a given Operating Reserve product, p, is greater than or equal to its Day-Ahead Operating Reserve schedule for that product then:</w:t>
      </w:r>
    </w:p>
    <w:p w:rsidR="003C21CD" w:rsidRDefault="008957C9">
      <w:pPr>
        <w:pStyle w:val="equationtext"/>
      </w:pPr>
      <w:r>
        <w:rPr>
          <w:noProof/>
          <w:position w:val="-24"/>
        </w:rPr>
        <w:drawing>
          <wp:inline distT="0" distB="0" distL="0" distR="0">
            <wp:extent cx="405765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057650" cy="390525"/>
                    </a:xfrm>
                    <a:prstGeom prst="rect">
                      <a:avLst/>
                    </a:prstGeom>
                    <a:noFill/>
                    <a:ln w="9525">
                      <a:noFill/>
                      <a:miter lim="800000"/>
                      <a:headEnd/>
                      <a:tailEnd/>
                    </a:ln>
                  </pic:spPr>
                </pic:pic>
              </a:graphicData>
            </a:graphic>
          </wp:inline>
        </w:drawing>
      </w:r>
    </w:p>
    <w:p w:rsidR="003C21CD" w:rsidRDefault="008957C9">
      <w:pPr>
        <w:pStyle w:val="Bodypara"/>
      </w:pPr>
    </w:p>
    <w:p w:rsidR="003C21CD" w:rsidRDefault="008957C9">
      <w:pPr>
        <w:pStyle w:val="Bodypara"/>
      </w:pPr>
      <w:r>
        <w:t xml:space="preserve">If </w:t>
      </w:r>
      <w:r>
        <w:t>the Generator’s real-time Regulation Service schedule is less than its Day-Ahead</w:t>
      </w:r>
      <w:r>
        <w:rPr>
          <w:i/>
          <w:iCs/>
        </w:rPr>
        <w:t xml:space="preserve"> </w:t>
      </w:r>
      <w:r>
        <w:t>Regulation Service schedule then:</w:t>
      </w:r>
    </w:p>
    <w:p w:rsidR="003C21CD" w:rsidRDefault="008957C9">
      <w:pPr>
        <w:pStyle w:val="equationtext"/>
        <w:rPr>
          <w:position w:val="-24"/>
        </w:rPr>
      </w:pPr>
      <w:r>
        <w:rPr>
          <w:noProof/>
          <w:position w:val="-24"/>
        </w:rPr>
        <w:drawing>
          <wp:inline distT="0" distB="0" distL="0" distR="0">
            <wp:extent cx="478155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781550" cy="390525"/>
                    </a:xfrm>
                    <a:prstGeom prst="rect">
                      <a:avLst/>
                    </a:prstGeom>
                    <a:noFill/>
                    <a:ln w="9525">
                      <a:noFill/>
                      <a:miter lim="800000"/>
                      <a:headEnd/>
                      <a:tailEnd/>
                    </a:ln>
                  </pic:spPr>
                </pic:pic>
              </a:graphicData>
            </a:graphic>
          </wp:inline>
        </w:drawing>
      </w:r>
    </w:p>
    <w:p w:rsidR="003C21CD" w:rsidRDefault="008957C9">
      <w:pPr>
        <w:pStyle w:val="equationtext"/>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8957C9">
      <w:pPr>
        <w:pStyle w:val="equationtext"/>
      </w:pPr>
    </w:p>
    <w:p w:rsidR="003C21CD" w:rsidRDefault="008957C9">
      <w:pPr>
        <w:pStyle w:val="equationtext"/>
      </w:pPr>
    </w:p>
    <w:p w:rsidR="003C21CD" w:rsidRDefault="008957C9">
      <w:pPr>
        <w:pStyle w:val="Bodypara"/>
      </w:pPr>
      <w:r>
        <w:t>If the Generator’s real-time Regulation Schedule is greater</w:t>
      </w:r>
      <w:r>
        <w:t xml:space="preserve"> than or equal to the Day-Ahead Regulation Service schedule then:</w:t>
      </w:r>
    </w:p>
    <w:p w:rsidR="003C21CD" w:rsidRDefault="008957C9">
      <w:pPr>
        <w:pStyle w:val="equationtext"/>
      </w:pPr>
      <w:r>
        <w:rPr>
          <w:noProof/>
          <w:position w:val="-24"/>
        </w:rPr>
        <w:drawing>
          <wp:inline distT="0" distB="0" distL="0" distR="0">
            <wp:extent cx="5343525" cy="39052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343525" cy="390525"/>
                    </a:xfrm>
                    <a:prstGeom prst="rect">
                      <a:avLst/>
                    </a:prstGeom>
                    <a:noFill/>
                    <a:ln w="9525">
                      <a:noFill/>
                      <a:miter lim="800000"/>
                      <a:headEnd/>
                      <a:tailEnd/>
                    </a:ln>
                  </pic:spPr>
                </pic:pic>
              </a:graphicData>
            </a:graphic>
          </wp:inline>
        </w:drawing>
      </w:r>
      <w:r>
        <w:t xml:space="preserve">            </w:t>
      </w:r>
    </w:p>
    <w:p w:rsidR="003C21CD" w:rsidRDefault="008957C9">
      <w:pPr>
        <w:pStyle w:val="Bodypara"/>
        <w:ind w:firstLine="0"/>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8957C9">
      <w:pPr>
        <w:pStyle w:val="Heading3"/>
      </w:pPr>
      <w:bookmarkStart w:id="5" w:name="_Toc261252302"/>
      <w:r>
        <w:t>25.3.2</w:t>
      </w:r>
      <w:bookmarkEnd w:id="5"/>
      <w:r>
        <w:tab/>
        <w:t>Formula for Day-Ahead Margin Assurance Payments for Demand Side Resources</w:t>
      </w:r>
    </w:p>
    <w:p w:rsidR="003C21CD" w:rsidRDefault="008957C9">
      <w:pPr>
        <w:pStyle w:val="Heading4"/>
      </w:pPr>
      <w:r>
        <w:t>25.3.2.1</w:t>
      </w:r>
      <w:r>
        <w:tab/>
        <w:t>Formula fo</w:t>
      </w:r>
      <w:r>
        <w:t xml:space="preserve">r Day-Ahead Margin Assurance Payment for Demand Side Resources  </w:t>
      </w:r>
    </w:p>
    <w:p w:rsidR="003C21CD" w:rsidRDefault="008957C9">
      <w:pPr>
        <w:pStyle w:val="Bodypara"/>
      </w:pPr>
      <w:r>
        <w:t>Subject to Section 25.5 of this Attachment J, Day-Ahead Margin Assurance Payments for Demand Side resources scheduled to provide Operating Reserves or Regulation Service shall be determined b</w:t>
      </w:r>
      <w:r>
        <w:t>y applying</w:t>
      </w:r>
      <w:r>
        <w:rPr>
          <w:i/>
          <w:iCs/>
        </w:rPr>
        <w:t xml:space="preserve"> </w:t>
      </w:r>
      <w:r>
        <w:t>the following equations to each individual Demand Side Resource using the terms as defined in Section 25.3.4, except for RPIiu, which is defined in Section 25.3.2.2:</w:t>
      </w:r>
    </w:p>
    <w:p w:rsidR="003C21CD" w:rsidRDefault="008957C9">
      <w:pPr>
        <w:pStyle w:val="equationtext"/>
      </w:pPr>
      <w:r>
        <w:rPr>
          <w:noProof/>
          <w:position w:val="-30"/>
        </w:rPr>
        <w:drawing>
          <wp:inline distT="0" distB="0" distL="0" distR="0">
            <wp:extent cx="2095500" cy="45720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2095500" cy="457200"/>
                    </a:xfrm>
                    <a:prstGeom prst="rect">
                      <a:avLst/>
                    </a:prstGeom>
                    <a:noFill/>
                    <a:ln w="9525">
                      <a:noFill/>
                      <a:miter lim="800000"/>
                      <a:headEnd/>
                      <a:tailEnd/>
                    </a:ln>
                  </pic:spPr>
                </pic:pic>
              </a:graphicData>
            </a:graphic>
          </wp:inline>
        </w:drawing>
      </w:r>
      <w:r>
        <w:t>where:</w:t>
      </w:r>
    </w:p>
    <w:p w:rsidR="003C21CD" w:rsidRDefault="008957C9">
      <w:pPr>
        <w:pStyle w:val="equationtext"/>
      </w:pPr>
      <w:r>
        <w:rPr>
          <w:noProof/>
          <w:position w:val="-30"/>
        </w:rPr>
        <w:drawing>
          <wp:inline distT="0" distB="0" distL="0" distR="0">
            <wp:extent cx="2819400" cy="352425"/>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2819400" cy="352425"/>
                    </a:xfrm>
                    <a:prstGeom prst="rect">
                      <a:avLst/>
                    </a:prstGeom>
                    <a:noFill/>
                    <a:ln w="9525">
                      <a:noFill/>
                      <a:miter lim="800000"/>
                      <a:headEnd/>
                      <a:tailEnd/>
                    </a:ln>
                  </pic:spPr>
                </pic:pic>
              </a:graphicData>
            </a:graphic>
          </wp:inline>
        </w:drawing>
      </w:r>
      <w:r>
        <w:t xml:space="preserve">, </w:t>
      </w:r>
    </w:p>
    <w:p w:rsidR="003C21CD" w:rsidRDefault="008957C9">
      <w:pPr>
        <w:pStyle w:val="Bodypara"/>
      </w:pPr>
      <w:r>
        <w:t>If the Demand Side Resource’s real-time schedule for a given Operat</w:t>
      </w:r>
      <w:r>
        <w:t>ing Reserve product, p, is lower than its Day-Ahead Operating Reserve schedule for that product then:</w:t>
      </w:r>
    </w:p>
    <w:p w:rsidR="003C21CD" w:rsidRDefault="008957C9">
      <w:pPr>
        <w:pStyle w:val="equationtext"/>
      </w:pPr>
      <w:r>
        <w:rPr>
          <w:noProof/>
          <w:position w:val="-24"/>
        </w:rPr>
        <w:drawing>
          <wp:inline distT="0" distB="0" distL="0" distR="0">
            <wp:extent cx="5410200" cy="400050"/>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410200" cy="400050"/>
                    </a:xfrm>
                    <a:prstGeom prst="rect">
                      <a:avLst/>
                    </a:prstGeom>
                    <a:noFill/>
                    <a:ln w="9525">
                      <a:noFill/>
                      <a:miter lim="800000"/>
                      <a:headEnd/>
                      <a:tailEnd/>
                    </a:ln>
                  </pic:spPr>
                </pic:pic>
              </a:graphicData>
            </a:graphic>
          </wp:inline>
        </w:drawing>
      </w:r>
    </w:p>
    <w:p w:rsidR="003C21CD" w:rsidRDefault="008957C9">
      <w:pPr>
        <w:pStyle w:val="Bodypara"/>
      </w:pPr>
      <w:r>
        <w:t>If the Demand Side Resource’s real-time schedule for a given Operating Reserve product, p, is greater than or equal to its Day-Ahead Operating Reserve s</w:t>
      </w:r>
      <w:r>
        <w:t>chedule for that product then:</w:t>
      </w:r>
    </w:p>
    <w:p w:rsidR="003C21CD" w:rsidRDefault="008957C9">
      <w:pPr>
        <w:pStyle w:val="equationtext"/>
      </w:pPr>
      <w:r>
        <w:rPr>
          <w:noProof/>
          <w:position w:val="-24"/>
        </w:rPr>
        <w:drawing>
          <wp:inline distT="0" distB="0" distL="0" distR="0">
            <wp:extent cx="4591050" cy="40005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4591050" cy="400050"/>
                    </a:xfrm>
                    <a:prstGeom prst="rect">
                      <a:avLst/>
                    </a:prstGeom>
                    <a:noFill/>
                    <a:ln w="9525">
                      <a:noFill/>
                      <a:miter lim="800000"/>
                      <a:headEnd/>
                      <a:tailEnd/>
                    </a:ln>
                  </pic:spPr>
                </pic:pic>
              </a:graphicData>
            </a:graphic>
          </wp:inline>
        </w:drawing>
      </w:r>
    </w:p>
    <w:p w:rsidR="003C21CD" w:rsidRDefault="008957C9">
      <w:pPr>
        <w:pStyle w:val="Bodypara"/>
      </w:pPr>
      <w:r>
        <w:t>If the Demand Side Resource’s real-time Regulation Service schedule is less than its Day-Ahead</w:t>
      </w:r>
      <w:r>
        <w:rPr>
          <w:i/>
          <w:iCs/>
        </w:rPr>
        <w:t xml:space="preserve"> </w:t>
      </w:r>
      <w:r>
        <w:t>Regulation Service schedule then:</w:t>
      </w:r>
    </w:p>
    <w:p w:rsidR="003C21CD" w:rsidRDefault="008957C9">
      <w:pPr>
        <w:pStyle w:val="equationtext"/>
      </w:pPr>
      <w:r>
        <w:rPr>
          <w:noProof/>
          <w:position w:val="-24"/>
        </w:rPr>
        <w:drawing>
          <wp:inline distT="0" distB="0" distL="0" distR="0">
            <wp:extent cx="4781550" cy="39052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781550" cy="390525"/>
                    </a:xfrm>
                    <a:prstGeom prst="rect">
                      <a:avLst/>
                    </a:prstGeom>
                    <a:noFill/>
                    <a:ln w="9525">
                      <a:noFill/>
                      <a:miter lim="800000"/>
                      <a:headEnd/>
                      <a:tailEnd/>
                    </a:ln>
                  </pic:spPr>
                </pic:pic>
              </a:graphicData>
            </a:graphic>
          </wp:inline>
        </w:drawing>
      </w:r>
    </w:p>
    <w:p w:rsidR="003C21CD" w:rsidRDefault="008957C9">
      <w:pPr>
        <w:pStyle w:val="Bodypara"/>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8957C9">
      <w:pPr>
        <w:pStyle w:val="Bodypara"/>
      </w:pPr>
    </w:p>
    <w:p w:rsidR="003C21CD" w:rsidRDefault="008957C9">
      <w:pPr>
        <w:pStyle w:val="Bodypara"/>
      </w:pPr>
      <w:r>
        <w:t>If the Demand</w:t>
      </w:r>
      <w:r>
        <w:t xml:space="preserve"> Side Resource’s real-time Regulation Schedule is greater than or equal to the Day-Ahead Regulation Service schedule then:</w:t>
      </w:r>
    </w:p>
    <w:p w:rsidR="003C21CD" w:rsidRDefault="008957C9">
      <w:pPr>
        <w:pStyle w:val="equationtext"/>
      </w:pPr>
      <w:r>
        <w:rPr>
          <w:noProof/>
          <w:position w:val="-24"/>
        </w:rPr>
        <w:drawing>
          <wp:inline distT="0" distB="0" distL="0" distR="0">
            <wp:extent cx="5343525" cy="390525"/>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5343525" cy="390525"/>
                    </a:xfrm>
                    <a:prstGeom prst="rect">
                      <a:avLst/>
                    </a:prstGeom>
                    <a:noFill/>
                    <a:ln w="9525">
                      <a:noFill/>
                      <a:miter lim="800000"/>
                      <a:headEnd/>
                      <a:tailEnd/>
                    </a:ln>
                  </pic:spPr>
                </pic:pic>
              </a:graphicData>
            </a:graphic>
          </wp:inline>
        </w:drawing>
      </w:r>
      <w:r>
        <w:t xml:space="preserve">             </w:t>
      </w:r>
    </w:p>
    <w:p w:rsidR="003C21CD" w:rsidRDefault="008957C9">
      <w:pPr>
        <w:pStyle w:val="equationtext"/>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8957C9">
      <w:pPr>
        <w:pStyle w:val="Heading4"/>
      </w:pPr>
      <w:bookmarkStart w:id="6" w:name="_Toc261252303"/>
      <w:r>
        <w:t>25.3.2.2</w:t>
      </w:r>
      <w:r>
        <w:tab/>
        <w:t>Reserve Performance Index for Dem</w:t>
      </w:r>
      <w:r>
        <w:t>and Side Resource Suppliers of Operating Reserves</w:t>
      </w:r>
    </w:p>
    <w:p w:rsidR="003C21CD" w:rsidRDefault="008957C9">
      <w:pPr>
        <w:pStyle w:val="Bodypara"/>
      </w:pPr>
      <w:r>
        <w:t>The ISO shall produce a Reserve Performance Index for purposes of calculating a Day Ahead Margin Assurance Payment for a Demand Side Resource providing Operating Reserves.  The Reserve Performance Index sha</w:t>
      </w:r>
      <w:r>
        <w:t>ll take account of the actual Demand Reduction achieved by the Supplier of Operating Reserves following the ISO’s instruction to convert Operating Reserves to Demand Reduction.</w:t>
      </w:r>
    </w:p>
    <w:p w:rsidR="003C21CD" w:rsidRDefault="008957C9">
      <w:pPr>
        <w:pStyle w:val="Bodypara"/>
      </w:pPr>
      <w:r>
        <w:t>The Reserve Performance Index shall be a factor with a value between 0.0 and 1.</w:t>
      </w:r>
      <w:r>
        <w:t xml:space="preserve">0 inclusive.  For each interval in which the ISO has not instructed the Demand Side Resource to convert its Operating Reserves to Demand Reduction, the Reserve Performance Index shall have a value of one.  For each interval in which the ISO has instructed </w:t>
      </w:r>
      <w:r>
        <w:t>the Demand Side Resource to convert its Operating Reserves to Demand Reduction the Reserve Performance Index shall be calculated pursuant to the following formula, provided however when UAGi is zero or less, the Reserve Performance Index shall be set to ze</w:t>
      </w:r>
      <w:r>
        <w:t>ro:</w:t>
      </w:r>
      <w:r>
        <w:rPr>
          <w:iCs/>
        </w:rPr>
        <w:t xml:space="preserve"> </w:t>
      </w:r>
    </w:p>
    <w:p w:rsidR="003C21CD" w:rsidRDefault="008957C9">
      <w:pPr>
        <w:ind w:left="1080"/>
        <w:rPr>
          <w:iCs/>
          <w:lang w:val="fr-FR"/>
        </w:rPr>
      </w:pPr>
      <w:r>
        <w:rPr>
          <w:iCs/>
          <w:lang w:val="fr-FR"/>
        </w:rPr>
        <w:t>RPI</w:t>
      </w:r>
      <w:r>
        <w:rPr>
          <w:iCs/>
          <w:vertAlign w:val="subscript"/>
          <w:lang w:val="fr-FR"/>
        </w:rPr>
        <w:t>iu</w:t>
      </w:r>
      <w:r>
        <w:rPr>
          <w:iCs/>
          <w:lang w:val="fr-FR"/>
        </w:rPr>
        <w:t xml:space="preserve"> = Min [(UAGi / ADGi + .1), 1]</w:t>
      </w:r>
    </w:p>
    <w:p w:rsidR="003C21CD" w:rsidRDefault="008957C9">
      <w:pPr>
        <w:ind w:left="1080"/>
        <w:rPr>
          <w:iCs/>
          <w:lang w:val="fr-FR"/>
        </w:rPr>
      </w:pPr>
    </w:p>
    <w:p w:rsidR="003C21CD" w:rsidRDefault="008957C9">
      <w:pPr>
        <w:rPr>
          <w:iCs/>
        </w:rPr>
      </w:pPr>
      <w:r>
        <w:rPr>
          <w:iCs/>
        </w:rPr>
        <w:t xml:space="preserve">Where: </w:t>
      </w:r>
      <w:r>
        <w:rPr>
          <w:iCs/>
        </w:rPr>
        <w:tab/>
      </w:r>
    </w:p>
    <w:p w:rsidR="003C21CD" w:rsidRDefault="008957C9">
      <w:pPr>
        <w:rPr>
          <w:iCs/>
        </w:rPr>
      </w:pPr>
    </w:p>
    <w:p w:rsidR="003C21CD" w:rsidRDefault="008957C9">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3C21CD" w:rsidRDefault="008957C9">
      <w:pPr>
        <w:rPr>
          <w:iCs/>
        </w:rPr>
      </w:pPr>
    </w:p>
    <w:p w:rsidR="003C21CD" w:rsidRDefault="008957C9">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3C21CD" w:rsidRDefault="008957C9">
      <w:pPr>
        <w:ind w:firstLine="720"/>
        <w:rPr>
          <w:iCs/>
        </w:rPr>
      </w:pPr>
    </w:p>
    <w:p w:rsidR="003C21CD" w:rsidRDefault="008957C9">
      <w:pPr>
        <w:pStyle w:val="equationtext"/>
        <w:rPr>
          <w:iCs w:val="0"/>
        </w:rPr>
      </w:pPr>
      <w:r>
        <w:rPr>
          <w:iCs w:val="0"/>
        </w:rPr>
        <w:t xml:space="preserve">ADGi </w:t>
      </w:r>
      <w:r>
        <w:rPr>
          <w:iCs w:val="0"/>
        </w:rPr>
        <w:tab/>
        <w:t xml:space="preserve">= </w:t>
      </w:r>
      <w:r>
        <w:rPr>
          <w:iCs w:val="0"/>
        </w:rPr>
        <w:tab/>
        <w:t xml:space="preserve">average </w:t>
      </w:r>
      <w:r>
        <w:rPr>
          <w:iCs w:val="0"/>
        </w:rPr>
        <w:t>scheduled Demand Reduction for interval i, represented as a positive generation base point.</w:t>
      </w:r>
    </w:p>
    <w:p w:rsidR="003C21CD" w:rsidRDefault="008957C9"/>
    <w:p w:rsidR="003C21CD" w:rsidRDefault="008957C9">
      <w:pPr>
        <w:pStyle w:val="Heading3"/>
      </w:pPr>
      <w:r>
        <w:t>25.3.3</w:t>
      </w:r>
      <w:r>
        <w:tab/>
        <w:t>Formula for Day-Ahead Margin Assurance Payments for Limited Energy Storage Resources</w:t>
      </w:r>
    </w:p>
    <w:p w:rsidR="003C21CD" w:rsidRDefault="008957C9">
      <w:pPr>
        <w:pStyle w:val="Bodypara"/>
      </w:pPr>
      <w:r>
        <w:t>Day-Ahead Margin Assurance Payments for Limited Energy Storage Resource</w:t>
      </w:r>
      <w:r>
        <w:t>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xml:space="preserve">, that a Day-Ahead Margin Assurance Payment is  payable only for intervals in </w:t>
      </w:r>
      <w:r>
        <w:t>which the NYISO has reduced the real-time Regulation Service offer (in MWs) of a Limited Energy Storage Resource and the NYISO is not pursuing LESR Energy Management for such Resource for such interval, pursuant to ISO Procedures:</w:t>
      </w:r>
    </w:p>
    <w:p w:rsidR="003C21CD" w:rsidRDefault="008957C9">
      <w:pPr>
        <w:pStyle w:val="Bodypara"/>
      </w:pPr>
      <w:r>
        <w:t>If the LESR’s real-time R</w:t>
      </w:r>
      <w:r>
        <w:t>egulation Service schedule is less than its Day-Ahead Regulation Service schedule and the real-time Regulation Capacity Market Price is greater than the</w:t>
      </w:r>
      <w:r w:rsidR="009F1BA7">
        <w:rPr>
          <w:noProof/>
        </w:rPr>
        <w:pict>
          <v:group id="_x0000_s1027" editas="canvas" style="position:absolute;margin-left:-2.1pt;margin-top:31.5pt;width:468pt;height:43.2pt;z-index:251658240;mso-position-horizontal-relative:char;mso-position-vertical-relative:line" coordorigin="-720" coordsize="9360,864">
            <o:lock v:ext="edit" aspectratio="t"/>
            <v:shape id="_x0000_s1028" type="#_x0000_t75" style="position:absolute;left:-720;width:9360;height:864" o:preferrelative="f">
              <v:fill o:detectmouseclick="t"/>
              <o:lock v:ext="edit" text="t"/>
            </v:shape>
            <v:rect id="_x0000_s1029" style="position:absolute;left:1080;top:63;width:107;height:392;mso-wrap-style:none" filled="f" stroked="f">
              <v:textbox style="mso-fit-shape-to-text:t" inset="0,0,0,0">
                <w:txbxContent>
                  <w:p w:rsidR="003C21CD" w:rsidRDefault="008957C9">
                    <w:r>
                      <w:rPr>
                        <w:rFonts w:ascii="Symbol" w:hAnsi="Symbol" w:cs="Symbol"/>
                        <w:color w:val="000000"/>
                        <w:sz w:val="32"/>
                        <w:szCs w:val="32"/>
                      </w:rPr>
                      <w:sym w:font="Symbol" w:char="F028"/>
                    </w:r>
                  </w:p>
                </w:txbxContent>
              </v:textbox>
            </v:rect>
            <v:rect id="_x0000_s1030" style="position:absolute;left:3240;top:63;width:107;height:392;mso-wrap-style:none" filled="f" stroked="f">
              <v:textbox style="mso-fit-shape-to-text:t" inset="0,0,0,0">
                <w:txbxContent>
                  <w:p w:rsidR="003C21CD" w:rsidRDefault="008957C9">
                    <w:r>
                      <w:rPr>
                        <w:rFonts w:ascii="Symbol" w:hAnsi="Symbol" w:cs="Symbol"/>
                        <w:color w:val="000000"/>
                        <w:sz w:val="32"/>
                        <w:szCs w:val="32"/>
                      </w:rPr>
                      <w:sym w:font="Symbol" w:char="F029"/>
                    </w:r>
                  </w:p>
                </w:txbxContent>
              </v:textbox>
            </v:rect>
            <v:rect id="_x0000_s1031" style="position:absolute;left:3673;top:63;width:107;height:392;mso-wrap-style:none" filled="f" stroked="f">
              <v:textbox style="mso-fit-shape-to-text:t" inset="0,0,0,0">
                <w:txbxContent>
                  <w:p w:rsidR="003C21CD" w:rsidRDefault="008957C9">
                    <w:r>
                      <w:rPr>
                        <w:rFonts w:ascii="Symbol" w:hAnsi="Symbol" w:cs="Symbol"/>
                        <w:color w:val="000000"/>
                        <w:sz w:val="32"/>
                        <w:szCs w:val="32"/>
                      </w:rPr>
                      <w:sym w:font="Symbol" w:char="F028"/>
                    </w:r>
                  </w:p>
                </w:txbxContent>
              </v:textbox>
            </v:rect>
            <v:rect id="_x0000_s1032" style="position:absolute;left:5760;top:63;width:107;height:392;mso-wrap-style:none" filled="f" stroked="f">
              <v:textbox style="mso-fit-shape-to-text:t" inset="0,0,0,0">
                <w:txbxContent>
                  <w:p w:rsidR="003C21CD" w:rsidRDefault="008957C9">
                    <w:r>
                      <w:rPr>
                        <w:rFonts w:ascii="Symbol" w:hAnsi="Symbol" w:cs="Symbol"/>
                        <w:color w:val="000000"/>
                        <w:sz w:val="32"/>
                        <w:szCs w:val="32"/>
                      </w:rPr>
                      <w:sym w:font="Symbol" w:char="F029"/>
                    </w:r>
                  </w:p>
                </w:txbxContent>
              </v:textbox>
            </v:rect>
            <v:rect id="_x0000_s1033" style="position:absolute;left:900;top:55;width:107;height:392;mso-wrap-style:none" filled="f" stroked="f">
              <v:textbox style="mso-fit-shape-to-text:t" inset="0,0,0,0">
                <w:txbxContent>
                  <w:p w:rsidR="003C21CD" w:rsidRDefault="008957C9">
                    <w:r>
                      <w:rPr>
                        <w:rFonts w:ascii="Symbol" w:hAnsi="Symbol" w:cs="Symbol"/>
                        <w:color w:val="000000"/>
                        <w:sz w:val="32"/>
                        <w:szCs w:val="32"/>
                      </w:rPr>
                      <w:sym w:font="Symbol" w:char="F05B"/>
                    </w:r>
                  </w:p>
                </w:txbxContent>
              </v:textbox>
            </v:rect>
            <v:rect id="_x0000_s1034" style="position:absolute;left:5833;top:55;width:107;height:392;mso-wrap-style:none" filled="f" stroked="f">
              <v:textbox style="mso-fit-shape-to-text:t" inset="0,0,0,0">
                <w:txbxContent>
                  <w:p w:rsidR="003C21CD" w:rsidRDefault="008957C9">
                    <w:r>
                      <w:rPr>
                        <w:rFonts w:ascii="Symbol" w:hAnsi="Symbol" w:cs="Symbol"/>
                        <w:color w:val="000000"/>
                        <w:sz w:val="32"/>
                        <w:szCs w:val="32"/>
                      </w:rPr>
                      <w:sym w:font="Symbol" w:char="F05D"/>
                    </w:r>
                  </w:p>
                </w:txbxContent>
              </v:textbox>
            </v:rect>
            <v:line id="_x0000_s1035" style="position:absolute" from="7380,322" to="8270,323" strokeweight=".5pt"/>
            <v:rect id="_x0000_s1036" style="position:absolute;left:7619;top:355;width:481;height:276;mso-wrap-style:none" filled="f" stroked="f">
              <v:textbox style="mso-fit-shape-to-text:t" inset="0,0,0,0">
                <w:txbxContent>
                  <w:p w:rsidR="003C21CD" w:rsidRDefault="008957C9">
                    <w:r>
                      <w:rPr>
                        <w:color w:val="000000"/>
                      </w:rPr>
                      <w:t>3600</w:t>
                    </w:r>
                  </w:p>
                </w:txbxContent>
              </v:textbox>
            </v:rect>
            <v:rect id="_x0000_s1037" style="position:absolute;left:7480;top:17;width:800;height:552" filled="f" stroked="f">
              <v:textbox style="mso-fit-shape-to-text:t" inset="0,0,0,0">
                <w:txbxContent>
                  <w:p w:rsidR="003C21CD" w:rsidRDefault="008957C9">
                    <w:r>
                      <w:rPr>
                        <w:color w:val="000000"/>
                      </w:rPr>
                      <w:t>Seconds</w:t>
                    </w:r>
                  </w:p>
                </w:txbxContent>
              </v:textbox>
            </v:rect>
            <v:rect id="_x0000_s1038" style="position:absolute;left:6840;top:180;width:179;height:263" filled="f" stroked="f">
              <v:textbox inset="0,0,0,0">
                <w:txbxContent>
                  <w:p w:rsidR="003C21CD" w:rsidRDefault="008957C9">
                    <w:r>
                      <w:rPr>
                        <w:color w:val="000000"/>
                      </w:rPr>
                      <w:t xml:space="preserve">*   </w:t>
                    </w:r>
                  </w:p>
                </w:txbxContent>
              </v:textbox>
            </v:rect>
            <v:rect id="_x0000_s1039" style="position:absolute;left:4860;top:167;width:814;height:276;mso-wrap-style:none" filled="f" stroked="f">
              <v:textbox style="mso-fit-shape-to-text:t" inset="0,0,0,0">
                <w:txbxContent>
                  <w:p w:rsidR="003C21CD" w:rsidRDefault="008957C9">
                    <w:r>
                      <w:rPr>
                        <w:color w:val="000000"/>
                      </w:rPr>
                      <w:t>DABreg</w:t>
                    </w:r>
                  </w:p>
                </w:txbxContent>
              </v:textbox>
            </v:rect>
            <v:rect id="_x0000_s1040" style="position:absolute;left:3780;top:167;width:747;height:276;mso-wrap-style:none" filled="f" stroked="f">
              <v:textbox style="mso-fit-shape-to-text:t" inset="0,0,0,0">
                <w:txbxContent>
                  <w:p w:rsidR="003C21CD" w:rsidRDefault="008957C9">
                    <w:r>
                      <w:rPr>
                        <w:color w:val="000000"/>
                      </w:rPr>
                      <w:t>RTPreg</w:t>
                    </w:r>
                  </w:p>
                </w:txbxContent>
              </v:textbox>
            </v:rect>
            <v:rect id="_x0000_s1041" style="position:absolute;left:2340;top:167;width:747;height:276;mso-wrap-style:none" filled="f" stroked="f">
              <v:textbox style="mso-fit-shape-to-text:t" inset="0,0,0,0">
                <w:txbxContent>
                  <w:p w:rsidR="003C21CD" w:rsidRDefault="008957C9">
                    <w:r>
                      <w:rPr>
                        <w:color w:val="000000"/>
                      </w:rPr>
                      <w:t>RTSreg</w:t>
                    </w:r>
                  </w:p>
                </w:txbxContent>
              </v:textbox>
            </v:rect>
            <v:rect id="_x0000_s1042" style="position:absolute;left:1260;top:167;width:787;height:276;mso-wrap-style:none" filled="f" stroked="f">
              <v:textbox style="mso-fit-shape-to-text:t" inset="0,0,0,0">
                <w:txbxContent>
                  <w:p w:rsidR="003C21CD" w:rsidRDefault="008957C9">
                    <w:r>
                      <w:rPr>
                        <w:color w:val="000000"/>
                      </w:rPr>
                      <w:t>DASreg</w:t>
                    </w:r>
                  </w:p>
                </w:txbxContent>
              </v:textbox>
            </v:rect>
            <v:rect id="_x0000_s1043" style="position:absolute;left:-540;top:167;width:1161;height:276;mso-wrap-style:none" filled="f" stroked="f">
              <v:textbox style="mso-fit-shape-to-text:t" inset="0,0,0,0">
                <w:txbxContent>
                  <w:p w:rsidR="003C21CD" w:rsidRDefault="008957C9">
                    <w:r>
                      <w:rPr>
                        <w:color w:val="000000"/>
                      </w:rPr>
                      <w:t>CDMAPreg</w:t>
                    </w:r>
                  </w:p>
                </w:txbxContent>
              </v:textbox>
            </v:rect>
            <v:rect id="_x0000_s1044" style="position:absolute;left:8280;top:180;width:45;height:184;mso-wrap-style:none" filled="f" stroked="f">
              <v:textbox style="mso-fit-shape-to-text:t" inset="0,0,0,0">
                <w:txbxContent>
                  <w:p w:rsidR="003C21CD" w:rsidRDefault="008957C9">
                    <w:pPr>
                      <w:rPr>
                        <w:sz w:val="16"/>
                        <w:szCs w:val="16"/>
                      </w:rPr>
                    </w:pPr>
                    <w:r>
                      <w:rPr>
                        <w:color w:val="000000"/>
                        <w:sz w:val="16"/>
                        <w:szCs w:val="16"/>
                      </w:rPr>
                      <w:t>i</w:t>
                    </w:r>
                  </w:p>
                </w:txbxContent>
              </v:textbox>
            </v:rect>
            <v:rect id="_x0000_s1045" style="position:absolute;left:5619;top:317;width:161;height:184;mso-wrap-style:none" filled="f" stroked="f">
              <v:textbox style="mso-fit-shape-to-text:t" inset="0,0,0,0">
                <w:txbxContent>
                  <w:p w:rsidR="003C21CD" w:rsidRDefault="008957C9">
                    <w:pPr>
                      <w:rPr>
                        <w:sz w:val="16"/>
                        <w:szCs w:val="16"/>
                      </w:rPr>
                    </w:pPr>
                    <w:r>
                      <w:rPr>
                        <w:color w:val="000000"/>
                        <w:sz w:val="16"/>
                        <w:szCs w:val="16"/>
                      </w:rPr>
                      <w:t>hu</w:t>
                    </w:r>
                  </w:p>
                </w:txbxContent>
              </v:textbox>
            </v:rect>
            <v:rect id="_x0000_s1046" style="position:absolute;left:4571;top:317;width:125;height:184;mso-wrap-style:none" filled="f" stroked="f">
              <v:textbox style="mso-fit-shape-to-text:t" inset="0,0,0,0">
                <w:txbxContent>
                  <w:p w:rsidR="003C21CD" w:rsidRDefault="008957C9">
                    <w:pPr>
                      <w:rPr>
                        <w:sz w:val="16"/>
                        <w:szCs w:val="16"/>
                      </w:rPr>
                    </w:pPr>
                    <w:r>
                      <w:rPr>
                        <w:color w:val="000000"/>
                        <w:sz w:val="16"/>
                        <w:szCs w:val="16"/>
                      </w:rPr>
                      <w:t>iu</w:t>
                    </w:r>
                  </w:p>
                </w:txbxContent>
              </v:textbox>
            </v:rect>
            <v:rect id="_x0000_s1047" style="position:absolute;left:3131;top:317;width:125;height:184;mso-wrap-style:none" filled="f" stroked="f">
              <v:textbox style="mso-fit-shape-to-text:t" inset="0,0,0,0">
                <w:txbxContent>
                  <w:p w:rsidR="003C21CD" w:rsidRDefault="008957C9">
                    <w:pPr>
                      <w:rPr>
                        <w:sz w:val="16"/>
                        <w:szCs w:val="16"/>
                      </w:rPr>
                    </w:pPr>
                    <w:r>
                      <w:rPr>
                        <w:color w:val="000000"/>
                        <w:sz w:val="16"/>
                        <w:szCs w:val="16"/>
                      </w:rPr>
                      <w:t>iu</w:t>
                    </w:r>
                  </w:p>
                </w:txbxContent>
              </v:textbox>
            </v:rect>
            <v:rect id="_x0000_s1048" style="position:absolute;left:2019;top:317;width:141;height:161;mso-wrap-style:none" filled="f" stroked="f">
              <v:textbox style="mso-fit-shape-to-text:t" inset="0,0,0,0">
                <w:txbxContent>
                  <w:p w:rsidR="003C21CD" w:rsidRDefault="008957C9">
                    <w:r>
                      <w:rPr>
                        <w:color w:val="000000"/>
                        <w:sz w:val="14"/>
                        <w:szCs w:val="14"/>
                      </w:rPr>
                      <w:t>hu</w:t>
                    </w:r>
                  </w:p>
                </w:txbxContent>
              </v:textbox>
            </v:rect>
            <v:rect id="_x0000_s1049" style="position:absolute;left:611;top:317;width:125;height:184;mso-wrap-style:none" filled="f" stroked="f">
              <v:textbox style="mso-fit-shape-to-text:t" inset="0,0,0,0">
                <w:txbxContent>
                  <w:p w:rsidR="003C21CD" w:rsidRDefault="008957C9">
                    <w:pPr>
                      <w:rPr>
                        <w:sz w:val="16"/>
                        <w:szCs w:val="16"/>
                      </w:rPr>
                    </w:pPr>
                    <w:r>
                      <w:rPr>
                        <w:color w:val="000000"/>
                        <w:sz w:val="16"/>
                        <w:szCs w:val="16"/>
                      </w:rPr>
                      <w:t>iu</w:t>
                    </w:r>
                  </w:p>
                </w:txbxContent>
              </v:textbox>
            </v:rect>
            <v:rect id="_x0000_s1050" style="position:absolute;left:4728;top:139;width:132;height:294;mso-wrap-style:none" filled="f" stroked="f">
              <v:textbox style="mso-fit-shape-to-text:t" inset="0,0,0,0">
                <w:txbxContent>
                  <w:p w:rsidR="003C21CD" w:rsidRDefault="008957C9">
                    <w:r>
                      <w:rPr>
                        <w:rFonts w:ascii="Symbol" w:hAnsi="Symbol" w:cs="Symbol"/>
                        <w:color w:val="000000"/>
                      </w:rPr>
                      <w:sym w:font="Symbol" w:char="F02D"/>
                    </w:r>
                  </w:p>
                </w:txbxContent>
              </v:textbox>
            </v:rect>
            <v:rect id="_x0000_s1051" style="position:absolute;left:2160;top:139;width:132;height:294;mso-wrap-style:none" filled="f" stroked="f">
              <v:textbox style="mso-fit-shape-to-text:t" inset="0,0,0,0">
                <w:txbxContent>
                  <w:p w:rsidR="003C21CD" w:rsidRDefault="008957C9">
                    <w:r>
                      <w:rPr>
                        <w:rFonts w:ascii="Symbol" w:hAnsi="Symbol" w:cs="Symbol"/>
                        <w:color w:val="000000"/>
                      </w:rPr>
                      <w:sym w:font="Symbol" w:char="F02D"/>
                    </w:r>
                  </w:p>
                </w:txbxContent>
              </v:textbox>
            </v:rect>
            <v:rect id="_x0000_s1052" style="position:absolute;left:720;top:139;width:132;height:294;mso-wrap-style:none" filled="f" stroked="f">
              <v:textbox style="mso-fit-shape-to-text:t" inset="0,0,0,0">
                <w:txbxContent>
                  <w:p w:rsidR="003C21CD" w:rsidRDefault="008957C9">
                    <w:r>
                      <w:rPr>
                        <w:rFonts w:ascii="Symbol" w:hAnsi="Symbol" w:cs="Symbol"/>
                        <w:color w:val="000000"/>
                      </w:rPr>
                      <w:sym w:font="Symbol" w:char="F03D"/>
                    </w:r>
                  </w:p>
                </w:txbxContent>
              </v:textbox>
            </v:rect>
            <v:rect id="_x0000_s1053" style="position:absolute;left:5941;top:180;width:179;height:263" filled="f" stroked="f">
              <v:textbox inset="0,0,0,0">
                <w:txbxContent>
                  <w:p w:rsidR="003C21CD" w:rsidRDefault="008957C9">
                    <w:r>
                      <w:rPr>
                        <w:color w:val="000000"/>
                      </w:rPr>
                      <w:t xml:space="preserve">*   </w:t>
                    </w:r>
                  </w:p>
                </w:txbxContent>
              </v:textbox>
            </v:rect>
            <v:rect id="_x0000_s1054" style="position:absolute;left:6166;top:180;width:274;height:263" filled="f" stroked="f">
              <v:textbox inset="0,0,0,0">
                <w:txbxContent>
                  <w:p w:rsidR="003C21CD" w:rsidRDefault="008957C9">
                    <w:r>
                      <w:t>K</w:t>
                    </w:r>
                    <w:r>
                      <w:rPr>
                        <w:vertAlign w:val="subscript"/>
                      </w:rPr>
                      <w:t>PI</w:t>
                    </w:r>
                  </w:p>
                </w:txbxContent>
              </v:textbox>
            </v:rect>
            <v:rect id="_x0000_s1055" style="position:absolute;left:3420;top:180;width:121;height:294;mso-wrap-style:none" filled="f" stroked="f">
              <v:textbox style="mso-fit-shape-to-text:t" inset="0,0,0,0">
                <w:txbxContent>
                  <w:p w:rsidR="003C21CD" w:rsidRDefault="008957C9">
                    <w:r>
                      <w:rPr>
                        <w:rFonts w:ascii="Symbol" w:hAnsi="Symbol" w:cs="Symbol"/>
                        <w:color w:val="000000"/>
                      </w:rPr>
                      <w:sym w:font="Symbol" w:char="F02A"/>
                    </w:r>
                  </w:p>
                </w:txbxContent>
              </v:textbox>
            </v:rect>
          </v:group>
        </w:pict>
      </w:r>
      <w:r>
        <w:t xml:space="preserve"> Day-Ahead Regulation Capacity Bid price then:</w:t>
      </w:r>
    </w:p>
    <w:p w:rsidR="003C21CD" w:rsidRDefault="008957C9">
      <w:pPr>
        <w:pStyle w:val="equationtext"/>
        <w:ind w:left="720"/>
      </w:pPr>
      <w:r>
        <w:rPr>
          <w:noProof/>
        </w:rPr>
        <w:drawing>
          <wp:inline distT="0" distB="0" distL="0" distR="0">
            <wp:extent cx="5924550" cy="523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t="-99977" b="99977"/>
                    <a:stretch>
                      <a:fillRect/>
                    </a:stretch>
                  </pic:blipFill>
                  <pic:spPr bwMode="auto">
                    <a:xfrm>
                      <a:off x="0" y="0"/>
                      <a:ext cx="5924550" cy="523875"/>
                    </a:xfrm>
                    <a:prstGeom prst="rect">
                      <a:avLst/>
                    </a:prstGeom>
                    <a:noFill/>
                    <a:ln w="9525">
                      <a:noFill/>
                      <a:miter lim="800000"/>
                      <a:headEnd/>
                      <a:tailEnd/>
                    </a:ln>
                  </pic:spPr>
                </pic:pic>
              </a:graphicData>
            </a:graphic>
          </wp:inline>
        </w:drawing>
      </w:r>
    </w:p>
    <w:p w:rsidR="003C21CD" w:rsidRDefault="008957C9">
      <w:pPr>
        <w:pStyle w:val="equationtext"/>
        <w:ind w:left="720"/>
      </w:pPr>
      <w:r>
        <w:tab/>
      </w:r>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w:p>
    <w:p w:rsidR="003C21CD" w:rsidRDefault="008957C9">
      <w:pPr>
        <w:pStyle w:val="Bodypara"/>
      </w:pPr>
      <w:r>
        <w:t xml:space="preserve">If the LESR’s real-time Regulation Service </w:t>
      </w:r>
      <w:r>
        <w:t>schedule is less than its Day-Ahead Regulation Service schedule and the real-time Regulation Capacity Market price is less than or equ</w:t>
      </w:r>
      <w:r w:rsidR="009F1BA7">
        <w:rPr>
          <w:noProof/>
        </w:rPr>
        <w:pict>
          <v:group id="_x0000_s1056" editas="canvas" style="position:absolute;margin-left:-1.5pt;margin-top:34.65pt;width:468pt;height:43.2pt;z-index:251659264;mso-position-horizontal-relative:char;mso-position-vertical-relative:line" coordorigin="-720" coordsize="9360,864">
            <o:lock v:ext="edit" aspectratio="t"/>
            <v:shape id="_x0000_s1057" type="#_x0000_t75" style="position:absolute;left:-720;width:9360;height:864" o:preferrelative="f">
              <v:fill o:detectmouseclick="t"/>
              <o:lock v:ext="edit" text="t"/>
            </v:shape>
            <v:rect id="_x0000_s1058" style="position:absolute;left:1080;top:63;width:107;height:392;mso-wrap-style:none" filled="f" stroked="f">
              <v:textbox style="mso-fit-shape-to-text:t" inset="0,0,0,0">
                <w:txbxContent>
                  <w:p w:rsidR="003C21CD" w:rsidRDefault="008957C9">
                    <w:r>
                      <w:rPr>
                        <w:rFonts w:ascii="Symbol" w:hAnsi="Symbol" w:cs="Symbol"/>
                        <w:color w:val="000000"/>
                        <w:sz w:val="32"/>
                        <w:szCs w:val="32"/>
                      </w:rPr>
                      <w:sym w:font="Symbol" w:char="F028"/>
                    </w:r>
                  </w:p>
                </w:txbxContent>
              </v:textbox>
            </v:rect>
            <v:rect id="_x0000_s1059" style="position:absolute;left:3240;top:63;width:107;height:392;mso-wrap-style:none" filled="f" stroked="f">
              <v:textbox style="mso-fit-shape-to-text:t" inset="0,0,0,0">
                <w:txbxContent>
                  <w:p w:rsidR="003C21CD" w:rsidRDefault="008957C9">
                    <w:r>
                      <w:rPr>
                        <w:rFonts w:ascii="Symbol" w:hAnsi="Symbol" w:cs="Symbol"/>
                        <w:color w:val="000000"/>
                        <w:sz w:val="32"/>
                        <w:szCs w:val="32"/>
                      </w:rPr>
                      <w:sym w:font="Symbol" w:char="F029"/>
                    </w:r>
                  </w:p>
                </w:txbxContent>
              </v:textbox>
            </v:rect>
            <v:rect id="_x0000_s1060" style="position:absolute;left:3673;top:63;width:107;height:392;mso-wrap-style:none" filled="f" stroked="f">
              <v:textbox style="mso-fit-shape-to-text:t" inset="0,0,0,0">
                <w:txbxContent>
                  <w:p w:rsidR="003C21CD" w:rsidRDefault="008957C9">
                    <w:r>
                      <w:rPr>
                        <w:rFonts w:ascii="Symbol" w:hAnsi="Symbol" w:cs="Symbol"/>
                        <w:color w:val="000000"/>
                        <w:sz w:val="32"/>
                        <w:szCs w:val="32"/>
                      </w:rPr>
                      <w:sym w:font="Symbol" w:char="F028"/>
                    </w:r>
                  </w:p>
                </w:txbxContent>
              </v:textbox>
            </v:rect>
            <v:rect id="_x0000_s1061" style="position:absolute;left:5760;top:63;width:107;height:392;mso-wrap-style:none" filled="f" stroked="f">
              <v:textbox style="mso-fit-shape-to-text:t" inset="0,0,0,0">
                <w:txbxContent>
                  <w:p w:rsidR="003C21CD" w:rsidRDefault="008957C9">
                    <w:r>
                      <w:rPr>
                        <w:rFonts w:ascii="Symbol" w:hAnsi="Symbol" w:cs="Symbol"/>
                        <w:color w:val="000000"/>
                        <w:sz w:val="32"/>
                        <w:szCs w:val="32"/>
                      </w:rPr>
                      <w:sym w:font="Symbol" w:char="F029"/>
                    </w:r>
                  </w:p>
                </w:txbxContent>
              </v:textbox>
            </v:rect>
            <v:rect id="_x0000_s1062" style="position:absolute;left:900;top:55;width:107;height:392;mso-wrap-style:none" filled="f" stroked="f">
              <v:textbox style="mso-fit-shape-to-text:t" inset="0,0,0,0">
                <w:txbxContent>
                  <w:p w:rsidR="003C21CD" w:rsidRDefault="008957C9">
                    <w:r>
                      <w:rPr>
                        <w:rFonts w:ascii="Symbol" w:hAnsi="Symbol" w:cs="Symbol"/>
                        <w:color w:val="000000"/>
                        <w:sz w:val="32"/>
                        <w:szCs w:val="32"/>
                      </w:rPr>
                      <w:sym w:font="Symbol" w:char="F05B"/>
                    </w:r>
                  </w:p>
                </w:txbxContent>
              </v:textbox>
            </v:rect>
            <v:rect id="_x0000_s1063" style="position:absolute;left:5833;top:55;width:107;height:392;mso-wrap-style:none" filled="f" stroked="f">
              <v:textbox style="mso-fit-shape-to-text:t" inset="0,0,0,0">
                <w:txbxContent>
                  <w:p w:rsidR="003C21CD" w:rsidRDefault="008957C9">
                    <w:r>
                      <w:rPr>
                        <w:rFonts w:ascii="Symbol" w:hAnsi="Symbol" w:cs="Symbol"/>
                        <w:color w:val="000000"/>
                        <w:sz w:val="32"/>
                        <w:szCs w:val="32"/>
                      </w:rPr>
                      <w:sym w:font="Symbol" w:char="F05D"/>
                    </w:r>
                  </w:p>
                </w:txbxContent>
              </v:textbox>
            </v:rect>
            <v:line id="_x0000_s1064" style="position:absolute" from="7380,322" to="8270,323" strokeweight=".5pt"/>
            <v:rect id="_x0000_s1065" style="position:absolute;left:7619;top:355;width:481;height:276;mso-wrap-style:none" filled="f" stroked="f">
              <v:textbox style="mso-fit-shape-to-text:t" inset="0,0,0,0">
                <w:txbxContent>
                  <w:p w:rsidR="003C21CD" w:rsidRDefault="008957C9">
                    <w:r>
                      <w:rPr>
                        <w:color w:val="000000"/>
                      </w:rPr>
                      <w:t>3600</w:t>
                    </w:r>
                  </w:p>
                </w:txbxContent>
              </v:textbox>
            </v:rect>
            <v:rect id="_x0000_s1066" style="position:absolute;left:7480;top:17;width:800;height:552" filled="f" stroked="f">
              <v:textbox style="mso-fit-shape-to-text:t" inset="0,0,0,0">
                <w:txbxContent>
                  <w:p w:rsidR="003C21CD" w:rsidRDefault="008957C9">
                    <w:r>
                      <w:rPr>
                        <w:color w:val="000000"/>
                      </w:rPr>
                      <w:t>Seconds</w:t>
                    </w:r>
                  </w:p>
                </w:txbxContent>
              </v:textbox>
            </v:rect>
            <v:rect id="_x0000_s1067" style="position:absolute;left:6840;top:180;width:179;height:263" filled="f" stroked="f">
              <v:textbox inset="0,0,0,0">
                <w:txbxContent>
                  <w:p w:rsidR="003C21CD" w:rsidRDefault="008957C9">
                    <w:r>
                      <w:rPr>
                        <w:color w:val="000000"/>
                      </w:rPr>
                      <w:t xml:space="preserve">*   </w:t>
                    </w:r>
                  </w:p>
                </w:txbxContent>
              </v:textbox>
            </v:rect>
            <v:rect id="_x0000_s1068" style="position:absolute;left:4860;top:167;width:814;height:276;mso-wrap-style:none" filled="f" stroked="f">
              <v:textbox style="mso-fit-shape-to-text:t" inset="0,0,0,0">
                <w:txbxContent>
                  <w:p w:rsidR="003C21CD" w:rsidRDefault="008957C9">
                    <w:r>
                      <w:rPr>
                        <w:color w:val="000000"/>
                      </w:rPr>
                      <w:t>DABreg</w:t>
                    </w:r>
                  </w:p>
                </w:txbxContent>
              </v:textbox>
            </v:rect>
            <v:rect id="_x0000_s1069" style="position:absolute;left:3780;top:167;width:747;height:276;mso-wrap-style:none" filled="f" stroked="f">
              <v:textbox style="mso-fit-shape-to-text:t" inset="0,0,0,0">
                <w:txbxContent>
                  <w:p w:rsidR="003C21CD" w:rsidRDefault="008957C9">
                    <w:r>
                      <w:rPr>
                        <w:color w:val="000000"/>
                      </w:rPr>
                      <w:t>RTPreg</w:t>
                    </w:r>
                  </w:p>
                </w:txbxContent>
              </v:textbox>
            </v:rect>
            <v:rect id="_x0000_s1070" style="position:absolute;left:2340;top:167;width:747;height:276;mso-wrap-style:none" filled="f" stroked="f">
              <v:textbox style="mso-fit-shape-to-text:t" inset="0,0,0,0">
                <w:txbxContent>
                  <w:p w:rsidR="003C21CD" w:rsidRDefault="008957C9">
                    <w:r>
                      <w:rPr>
                        <w:color w:val="000000"/>
                      </w:rPr>
                      <w:t>RTSreg</w:t>
                    </w:r>
                  </w:p>
                </w:txbxContent>
              </v:textbox>
            </v:rect>
            <v:rect id="_x0000_s1071" style="position:absolute;left:1260;top:167;width:787;height:276;mso-wrap-style:none" filled="f" stroked="f">
              <v:textbox style="mso-fit-shape-to-text:t" inset="0,0,0,0">
                <w:txbxContent>
                  <w:p w:rsidR="003C21CD" w:rsidRDefault="008957C9">
                    <w:r>
                      <w:rPr>
                        <w:color w:val="000000"/>
                      </w:rPr>
                      <w:t>DASreg</w:t>
                    </w:r>
                  </w:p>
                </w:txbxContent>
              </v:textbox>
            </v:rect>
            <v:rect id="_x0000_s1072" style="position:absolute;left:-540;top:167;width:1161;height:276;mso-wrap-style:none" filled="f" stroked="f">
              <v:textbox style="mso-fit-shape-to-text:t" inset="0,0,0,0">
                <w:txbxContent>
                  <w:p w:rsidR="003C21CD" w:rsidRDefault="008957C9">
                    <w:r>
                      <w:rPr>
                        <w:color w:val="000000"/>
                      </w:rPr>
                      <w:t>CDMAPreg</w:t>
                    </w:r>
                  </w:p>
                </w:txbxContent>
              </v:textbox>
            </v:rect>
            <v:rect id="_x0000_s1073" style="position:absolute;left:8280;top:180;width:45;height:184;mso-wrap-style:none" filled="f" stroked="f">
              <v:textbox style="mso-fit-shape-to-text:t" inset="0,0,0,0">
                <w:txbxContent>
                  <w:p w:rsidR="003C21CD" w:rsidRDefault="008957C9">
                    <w:pPr>
                      <w:rPr>
                        <w:sz w:val="16"/>
                        <w:szCs w:val="16"/>
                      </w:rPr>
                    </w:pPr>
                    <w:r>
                      <w:rPr>
                        <w:color w:val="000000"/>
                        <w:sz w:val="16"/>
                        <w:szCs w:val="16"/>
                      </w:rPr>
                      <w:t>i</w:t>
                    </w:r>
                  </w:p>
                </w:txbxContent>
              </v:textbox>
            </v:rect>
            <v:rect id="_x0000_s1074" style="position:absolute;left:5619;top:317;width:161;height:184;mso-wrap-style:none" filled="f" stroked="f">
              <v:textbox style="mso-fit-shape-to-text:t" inset="0,0,0,0">
                <w:txbxContent>
                  <w:p w:rsidR="003C21CD" w:rsidRDefault="008957C9">
                    <w:pPr>
                      <w:rPr>
                        <w:sz w:val="16"/>
                        <w:szCs w:val="16"/>
                      </w:rPr>
                    </w:pPr>
                    <w:r>
                      <w:rPr>
                        <w:color w:val="000000"/>
                        <w:sz w:val="16"/>
                        <w:szCs w:val="16"/>
                      </w:rPr>
                      <w:t>hu</w:t>
                    </w:r>
                  </w:p>
                </w:txbxContent>
              </v:textbox>
            </v:rect>
            <v:rect id="_x0000_s1075" style="position:absolute;left:4571;top:317;width:125;height:184;mso-wrap-style:none" filled="f" stroked="f">
              <v:textbox style="mso-fit-shape-to-text:t" inset="0,0,0,0">
                <w:txbxContent>
                  <w:p w:rsidR="003C21CD" w:rsidRDefault="008957C9">
                    <w:pPr>
                      <w:rPr>
                        <w:sz w:val="16"/>
                        <w:szCs w:val="16"/>
                      </w:rPr>
                    </w:pPr>
                    <w:r>
                      <w:rPr>
                        <w:color w:val="000000"/>
                        <w:sz w:val="16"/>
                        <w:szCs w:val="16"/>
                      </w:rPr>
                      <w:t>iu</w:t>
                    </w:r>
                  </w:p>
                </w:txbxContent>
              </v:textbox>
            </v:rect>
            <v:rect id="_x0000_s1076" style="position:absolute;left:3131;top:317;width:125;height:184;mso-wrap-style:none" filled="f" stroked="f">
              <v:textbox style="mso-fit-shape-to-text:t" inset="0,0,0,0">
                <w:txbxContent>
                  <w:p w:rsidR="003C21CD" w:rsidRDefault="008957C9">
                    <w:pPr>
                      <w:rPr>
                        <w:sz w:val="16"/>
                        <w:szCs w:val="16"/>
                      </w:rPr>
                    </w:pPr>
                    <w:r>
                      <w:rPr>
                        <w:color w:val="000000"/>
                        <w:sz w:val="16"/>
                        <w:szCs w:val="16"/>
                      </w:rPr>
                      <w:t>iu</w:t>
                    </w:r>
                  </w:p>
                </w:txbxContent>
              </v:textbox>
            </v:rect>
            <v:rect id="_x0000_s1077" style="position:absolute;left:2019;top:317;width:141;height:161;mso-wrap-style:none" filled="f" stroked="f">
              <v:textbox style="mso-fit-shape-to-text:t" inset="0,0,0,0">
                <w:txbxContent>
                  <w:p w:rsidR="003C21CD" w:rsidRDefault="008957C9">
                    <w:r>
                      <w:rPr>
                        <w:color w:val="000000"/>
                        <w:sz w:val="14"/>
                        <w:szCs w:val="14"/>
                      </w:rPr>
                      <w:t>hu</w:t>
                    </w:r>
                  </w:p>
                </w:txbxContent>
              </v:textbox>
            </v:rect>
            <v:rect id="_x0000_s1078" style="position:absolute;left:611;top:317;width:125;height:184;mso-wrap-style:none" filled="f" stroked="f">
              <v:textbox style="mso-fit-shape-to-text:t" inset="0,0,0,0">
                <w:txbxContent>
                  <w:p w:rsidR="003C21CD" w:rsidRDefault="008957C9">
                    <w:pPr>
                      <w:rPr>
                        <w:sz w:val="16"/>
                        <w:szCs w:val="16"/>
                      </w:rPr>
                    </w:pPr>
                    <w:r>
                      <w:rPr>
                        <w:color w:val="000000"/>
                        <w:sz w:val="16"/>
                        <w:szCs w:val="16"/>
                      </w:rPr>
                      <w:t>iu</w:t>
                    </w:r>
                  </w:p>
                </w:txbxContent>
              </v:textbox>
            </v:rect>
            <v:rect id="_x0000_s1079" style="position:absolute;left:4728;top:139;width:132;height:294;mso-wrap-style:none" filled="f" stroked="f">
              <v:textbox style="mso-fit-shape-to-text:t" inset="0,0,0,0">
                <w:txbxContent>
                  <w:p w:rsidR="003C21CD" w:rsidRDefault="008957C9">
                    <w:r>
                      <w:rPr>
                        <w:rFonts w:ascii="Symbol" w:hAnsi="Symbol" w:cs="Symbol"/>
                        <w:color w:val="000000"/>
                      </w:rPr>
                      <w:sym w:font="Symbol" w:char="F02D"/>
                    </w:r>
                  </w:p>
                </w:txbxContent>
              </v:textbox>
            </v:rect>
            <v:rect id="_x0000_s1080" style="position:absolute;left:2160;top:139;width:132;height:294;mso-wrap-style:none" filled="f" stroked="f">
              <v:textbox style="mso-fit-shape-to-text:t" inset="0,0,0,0">
                <w:txbxContent>
                  <w:p w:rsidR="003C21CD" w:rsidRDefault="008957C9">
                    <w:r>
                      <w:rPr>
                        <w:rFonts w:ascii="Symbol" w:hAnsi="Symbol" w:cs="Symbol"/>
                        <w:color w:val="000000"/>
                      </w:rPr>
                      <w:sym w:font="Symbol" w:char="F02D"/>
                    </w:r>
                  </w:p>
                </w:txbxContent>
              </v:textbox>
            </v:rect>
            <v:rect id="_x0000_s1081" style="position:absolute;left:720;top:139;width:132;height:294;mso-wrap-style:none" filled="f" stroked="f">
              <v:textbox style="mso-fit-shape-to-text:t" inset="0,0,0,0">
                <w:txbxContent>
                  <w:p w:rsidR="003C21CD" w:rsidRDefault="008957C9">
                    <w:r>
                      <w:rPr>
                        <w:rFonts w:ascii="Symbol" w:hAnsi="Symbol" w:cs="Symbol"/>
                        <w:color w:val="000000"/>
                      </w:rPr>
                      <w:sym w:font="Symbol" w:char="F03D"/>
                    </w:r>
                  </w:p>
                </w:txbxContent>
              </v:textbox>
            </v:rect>
            <v:rect id="_x0000_s1082" style="position:absolute;left:5941;top:180;width:179;height:263" filled="f" stroked="f">
              <v:textbox inset="0,0,0,0">
                <w:txbxContent>
                  <w:p w:rsidR="003C21CD" w:rsidRDefault="008957C9"/>
                </w:txbxContent>
              </v:textbox>
            </v:rect>
            <v:rect id="_x0000_s1083" style="position:absolute;left:6166;top:180;width:109;height:180;mso-wrap-style:none" filled="f" stroked="f">
              <v:textbox inset="0,0,0,0">
                <w:txbxContent>
                  <w:p w:rsidR="003C21CD" w:rsidRDefault="008957C9"/>
                </w:txbxContent>
              </v:textbox>
            </v:rect>
            <v:rect id="_x0000_s1084" style="position:absolute;left:3420;top:180;width:121;height:294;mso-wrap-style:none" filled="f" stroked="f">
              <v:textbox style="mso-fit-shape-to-text:t" inset="0,0,0,0">
                <w:txbxContent>
                  <w:p w:rsidR="003C21CD" w:rsidRDefault="008957C9">
                    <w:r>
                      <w:rPr>
                        <w:rFonts w:ascii="Symbol" w:hAnsi="Symbol" w:cs="Symbol"/>
                        <w:color w:val="000000"/>
                      </w:rPr>
                      <w:sym w:font="Symbol" w:char="F02A"/>
                    </w:r>
                  </w:p>
                </w:txbxContent>
              </v:textbox>
            </v:rect>
          </v:group>
        </w:pict>
      </w:r>
      <w:r>
        <w:t>al to the Day-Ahead Regulation Capacity Bid price then:</w:t>
      </w:r>
    </w:p>
    <w:p w:rsidR="003C21CD" w:rsidRDefault="008957C9">
      <w:pPr>
        <w:pStyle w:val="Bodypara"/>
      </w:pPr>
    </w:p>
    <w:p w:rsidR="003C21CD" w:rsidRDefault="008957C9">
      <w:pPr>
        <w:pStyle w:val="Bodypara"/>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8957C9">
      <w:pPr>
        <w:pStyle w:val="Bodypara"/>
      </w:pPr>
    </w:p>
    <w:p w:rsidR="003C21CD" w:rsidRDefault="008957C9">
      <w:pPr>
        <w:pStyle w:val="Bodypara"/>
      </w:pPr>
      <w:r>
        <w:t>If the LESR’s real-time Regulation Service schedule is greater than</w:t>
      </w:r>
      <w:r>
        <w:t xml:space="preserve"> or equal to the Day-Ahead Regulation Service schedule then:</w:t>
      </w:r>
    </w:p>
    <w:p w:rsidR="003C21CD" w:rsidRDefault="008957C9">
      <w:pPr>
        <w:pStyle w:val="equationtext"/>
        <w:tabs>
          <w:tab w:val="clear" w:pos="1800"/>
        </w:tabs>
        <w:spacing w:after="240"/>
        <w:ind w:left="90" w:firstLine="720"/>
        <w:rPr>
          <w:noProof/>
        </w:rPr>
      </w:pPr>
      <w:r>
        <w:rPr>
          <w:noProof/>
        </w:rPr>
        <w:drawing>
          <wp:inline distT="0" distB="0" distL="0" distR="0">
            <wp:extent cx="5295900" cy="390525"/>
            <wp:effectExtent l="0" t="0" r="0"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295900" cy="390525"/>
                    </a:xfrm>
                    <a:prstGeom prst="rect">
                      <a:avLst/>
                    </a:prstGeom>
                    <a:noFill/>
                    <a:ln w="9525">
                      <a:noFill/>
                      <a:miter lim="800000"/>
                      <a:headEnd/>
                      <a:tailEnd/>
                    </a:ln>
                  </pic:spPr>
                </pic:pic>
              </a:graphicData>
            </a:graphic>
          </wp:inline>
        </w:drawing>
      </w:r>
    </w:p>
    <w:p w:rsidR="003C21CD" w:rsidRDefault="008957C9">
      <w:pPr>
        <w:pStyle w:val="equationtext"/>
        <w:tabs>
          <w:tab w:val="clear" w:pos="1800"/>
        </w:tabs>
        <w:spacing w:after="240"/>
        <w:ind w:left="90" w:firstLine="720"/>
        <w:rPr>
          <w:noProof/>
        </w:rPr>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8957C9">
      <w:pPr>
        <w:pStyle w:val="Heading3"/>
      </w:pPr>
      <w:r>
        <w:t>25.3. 4</w:t>
      </w:r>
      <w:r>
        <w:tab/>
        <w:t>Terms Used in this Attachment J</w:t>
      </w:r>
      <w:bookmarkEnd w:id="6"/>
    </w:p>
    <w:p w:rsidR="003C21CD" w:rsidRDefault="008957C9">
      <w:pPr>
        <w:pStyle w:val="Bodypara"/>
        <w:rPr>
          <w:iCs/>
        </w:rPr>
      </w:pPr>
      <w:r>
        <w:rPr>
          <w:iCs/>
        </w:rPr>
        <w:t xml:space="preserve"> The terms used in the formulas in this Attachment J shall be defined as fo</w:t>
      </w:r>
      <w:r>
        <w:rPr>
          <w:iCs/>
        </w:rPr>
        <w:t>llows:</w:t>
      </w:r>
    </w:p>
    <w:p w:rsidR="003C21CD" w:rsidRDefault="008957C9">
      <w:pPr>
        <w:pStyle w:val="Bodypara"/>
      </w:pPr>
      <w:r>
        <w:rPr>
          <w:i/>
          <w:iCs/>
        </w:rPr>
        <w:t>h</w:t>
      </w:r>
      <w:r>
        <w:t xml:space="preserve"> is the hour that includes interval </w:t>
      </w:r>
      <w:r>
        <w:rPr>
          <w:i/>
          <w:iCs/>
        </w:rPr>
        <w:t>i</w:t>
      </w:r>
      <w:r>
        <w:t>;</w:t>
      </w:r>
    </w:p>
    <w:p w:rsidR="003C21CD" w:rsidRDefault="008957C9">
      <w:pPr>
        <w:pStyle w:val="equationtext"/>
      </w:pPr>
      <w:r>
        <w:t xml:space="preserve">DMAPhu </w:t>
      </w:r>
      <w:r>
        <w:tab/>
        <w:t>=</w:t>
      </w:r>
      <w:r>
        <w:tab/>
        <w:t>the Day-Ahead Margin Assurance Payment attributable in any hour h to any Supplier u;</w:t>
      </w:r>
    </w:p>
    <w:p w:rsidR="003C21CD" w:rsidRDefault="008957C9">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3C21CD" w:rsidRDefault="008957C9">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Day-Ahead Margin Assurance Payment for Supplier </w:t>
      </w:r>
      <w:r>
        <w:rPr>
          <w:i/>
        </w:rPr>
        <w:t>u</w:t>
      </w:r>
      <w:r>
        <w:t>;</w:t>
      </w:r>
    </w:p>
    <w:p w:rsidR="003C21CD" w:rsidRDefault="008957C9">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3C21CD" w:rsidRDefault="008957C9">
      <w:pPr>
        <w:pStyle w:val="equationtext"/>
      </w:pPr>
      <w:r>
        <w:t>CDMAPres</w:t>
      </w:r>
      <w:r>
        <w:rPr>
          <w:vertAlign w:val="subscript"/>
        </w:rPr>
        <w:t>iup</w:t>
      </w:r>
      <w:r>
        <w:t xml:space="preserve"> </w:t>
      </w:r>
      <w:r>
        <w:tab/>
        <w:t>=</w:t>
      </w:r>
      <w:r>
        <w:tab/>
        <w:t>the Operati</w:t>
      </w:r>
      <w:r>
        <w:t xml:space="preserve">ng Reserve contribution of RTD interval </w:t>
      </w:r>
      <w:r>
        <w:rPr>
          <w:i/>
        </w:rPr>
        <w:t>i</w:t>
      </w:r>
      <w:r>
        <w:t xml:space="preserve"> to the Day-Ahead Margin Assurance Payment for Supplier </w:t>
      </w:r>
      <w:r>
        <w:rPr>
          <w:i/>
        </w:rPr>
        <w:t>u</w:t>
      </w:r>
      <w:r>
        <w:t xml:space="preserve"> determined separately for each Operating Reserve product p;</w:t>
      </w:r>
    </w:p>
    <w:p w:rsidR="003C21CD" w:rsidRDefault="008957C9">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3C21CD" w:rsidRDefault="008957C9">
      <w:pPr>
        <w:pStyle w:val="equationtext"/>
        <w:rPr>
          <w:iCs w:val="0"/>
        </w:rPr>
      </w:pPr>
      <w:r>
        <w:t>DASreg</w:t>
      </w:r>
      <w:r>
        <w:rPr>
          <w:vertAlign w:val="subscript"/>
        </w:rPr>
        <w:t>hu</w:t>
      </w:r>
      <w:r>
        <w:t xml:space="preserve"> </w:t>
      </w:r>
      <w:r>
        <w:tab/>
        <w:t>=</w:t>
      </w:r>
      <w:r>
        <w:tab/>
      </w:r>
      <w:r>
        <w:t xml:space="preserve">Day-Ahead schedule for Regulation Service for Supplier </w:t>
      </w:r>
      <w:r>
        <w:rPr>
          <w:i/>
        </w:rPr>
        <w:t>u</w:t>
      </w:r>
      <w:r>
        <w:t xml:space="preserve"> in hour </w:t>
      </w:r>
      <w:r>
        <w:rPr>
          <w:i/>
        </w:rPr>
        <w:t>h</w:t>
      </w:r>
      <w:r>
        <w:t>;</w:t>
      </w:r>
    </w:p>
    <w:p w:rsidR="003C21CD" w:rsidRDefault="008957C9">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3C21CD" w:rsidRDefault="008957C9">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3C21CD" w:rsidRDefault="008957C9">
      <w:pPr>
        <w:pStyle w:val="equationtext"/>
        <w:rPr>
          <w:iCs w:val="0"/>
        </w:rPr>
      </w:pPr>
      <w:r>
        <w:t>DABreg</w:t>
      </w:r>
      <w:r>
        <w:rPr>
          <w:vertAlign w:val="subscript"/>
        </w:rPr>
        <w:t>hu</w:t>
      </w:r>
      <w:r>
        <w:t xml:space="preserve"> </w:t>
      </w:r>
      <w:r>
        <w:tab/>
        <w:t>=</w:t>
      </w:r>
      <w:r>
        <w:tab/>
        <w:t xml:space="preserve">Day-Ahead Regulation </w:t>
      </w:r>
      <w:r>
        <w:t xml:space="preserve">Capacity Bid price for Supplier </w:t>
      </w:r>
      <w:r>
        <w:rPr>
          <w:i/>
        </w:rPr>
        <w:t>u</w:t>
      </w:r>
      <w:r>
        <w:t xml:space="preserve"> in hour </w:t>
      </w:r>
      <w:r>
        <w:rPr>
          <w:i/>
        </w:rPr>
        <w:t>h</w:t>
      </w:r>
      <w:r>
        <w:t>;</w:t>
      </w:r>
    </w:p>
    <w:p w:rsidR="003C21CD" w:rsidRDefault="008957C9">
      <w:pPr>
        <w:pStyle w:val="equationtext"/>
        <w:rPr>
          <w:iCs w:val="0"/>
        </w:rPr>
      </w:pPr>
      <w:r>
        <w:t>DABres</w:t>
      </w:r>
      <w:r>
        <w:rPr>
          <w:vertAlign w:val="subscript"/>
        </w:rPr>
        <w:t>hup</w:t>
      </w:r>
      <w:r>
        <w:t xml:space="preserve"> </w:t>
      </w:r>
      <w:r>
        <w:tab/>
        <w:t>=</w:t>
      </w:r>
      <w:r>
        <w:tab/>
        <w:t xml:space="preserve">Day-Ahead Availability Bid for Operating Reserve product p for Supplier </w:t>
      </w:r>
      <w:r>
        <w:rPr>
          <w:i/>
        </w:rPr>
        <w:t>u</w:t>
      </w:r>
      <w:r>
        <w:t xml:space="preserve"> in hour </w:t>
      </w:r>
      <w:r>
        <w:rPr>
          <w:i/>
        </w:rPr>
        <w:t>h</w:t>
      </w:r>
      <w:r>
        <w:t>;</w:t>
      </w:r>
    </w:p>
    <w:p w:rsidR="003C21CD" w:rsidRDefault="008957C9">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and calculated as the arithmetic average of t</w:t>
      </w:r>
      <w:r>
        <w:t xml:space="preserve">he 6-second AGC Base Point Signals sent to Supplier </w:t>
      </w:r>
      <w:r>
        <w:rPr>
          <w:i/>
        </w:rPr>
        <w:t>u</w:t>
      </w:r>
      <w:r>
        <w:t xml:space="preserve"> during the course of interval </w:t>
      </w:r>
      <w:r>
        <w:rPr>
          <w:i/>
        </w:rPr>
        <w:t>i</w:t>
      </w:r>
      <w:r>
        <w:t>;</w:t>
      </w:r>
    </w:p>
    <w:p w:rsidR="003C21CD" w:rsidRDefault="008957C9">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3C21CD" w:rsidRDefault="008957C9">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w:t>
      </w:r>
      <w:r>
        <w:t xml:space="preserve">erval </w:t>
      </w:r>
      <w:r>
        <w:rPr>
          <w:i/>
        </w:rPr>
        <w:t>i</w:t>
      </w:r>
      <w:r>
        <w:t>.</w:t>
      </w:r>
    </w:p>
    <w:p w:rsidR="003C21CD" w:rsidRDefault="008957C9">
      <w:pPr>
        <w:pStyle w:val="equationtext"/>
        <w:rPr>
          <w:iCs w:val="0"/>
        </w:rPr>
      </w:pPr>
      <w:r>
        <w:t>RTBreg</w:t>
      </w:r>
      <w:r>
        <w:rPr>
          <w:vertAlign w:val="subscript"/>
        </w:rPr>
        <w:t>iu</w:t>
      </w:r>
      <w:r>
        <w:t xml:space="preserve"> </w:t>
      </w:r>
      <w:r>
        <w:tab/>
        <w:t>=</w:t>
      </w:r>
      <w:r>
        <w:tab/>
      </w:r>
      <w:r>
        <w:rPr>
          <w:u w:val="double"/>
        </w:rPr>
        <w:t>r</w:t>
      </w:r>
      <w:r>
        <w:t xml:space="preserve">eal-time Regulation Capacity Bid price for Supplier </w:t>
      </w:r>
      <w:r>
        <w:rPr>
          <w:i/>
        </w:rPr>
        <w:t>u</w:t>
      </w:r>
      <w:r>
        <w:t xml:space="preserve"> in interval </w:t>
      </w:r>
      <w:r>
        <w:rPr>
          <w:i/>
        </w:rPr>
        <w:t>i</w:t>
      </w:r>
      <w:r>
        <w:t>.</w:t>
      </w:r>
    </w:p>
    <w:p w:rsidR="003C21CD" w:rsidRDefault="008957C9">
      <w:pPr>
        <w:pStyle w:val="equationtext"/>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3C21CD" w:rsidRDefault="008957C9">
      <w:pPr>
        <w:pStyle w:val="equationtext"/>
        <w:rPr>
          <w:i/>
        </w:rPr>
      </w:pPr>
      <w:r>
        <w:t>RTBregm</w:t>
      </w:r>
      <w:r>
        <w:rPr>
          <w:vertAlign w:val="subscript"/>
        </w:rPr>
        <w:t>iu</w:t>
      </w:r>
      <w:r>
        <w:rPr>
          <w:vertAlign w:val="subscript"/>
        </w:rPr>
        <w:tab/>
      </w:r>
      <w:r>
        <w:t xml:space="preserve">= </w:t>
      </w:r>
      <w:r>
        <w:tab/>
        <w:t xml:space="preserve">real-time Regulation Movement Bid price for Supplier </w:t>
      </w:r>
      <w:r>
        <w:rPr>
          <w:i/>
        </w:rPr>
        <w:t xml:space="preserve">u </w:t>
      </w:r>
      <w:r>
        <w:t xml:space="preserve">in interval </w:t>
      </w:r>
      <w:r>
        <w:rPr>
          <w:i/>
        </w:rPr>
        <w:t>i.</w:t>
      </w:r>
    </w:p>
    <w:p w:rsidR="003C21CD" w:rsidRDefault="008957C9">
      <w:pPr>
        <w:pStyle w:val="equationtext"/>
        <w:rPr>
          <w:iCs w:val="0"/>
        </w:rPr>
      </w:pPr>
      <w:r>
        <w:t>RTMreg</w:t>
      </w:r>
      <w:r>
        <w:rPr>
          <w:vertAlign w:val="subscript"/>
        </w:rPr>
        <w:t>iu</w:t>
      </w:r>
      <w:r>
        <w:rPr>
          <w:vertAlign w:val="subscript"/>
        </w:rPr>
        <w:tab/>
        <w:t>=</w:t>
      </w:r>
      <w:r>
        <w:rPr>
          <w:vertAlign w:val="subscript"/>
        </w:rPr>
        <w:tab/>
      </w:r>
      <w:r>
        <w:t xml:space="preserve">real-time Regulation Movement MWs for Supplier </w:t>
      </w:r>
      <w:r>
        <w:rPr>
          <w:i/>
        </w:rPr>
        <w:t xml:space="preserve">u </w:t>
      </w:r>
      <w:r>
        <w:t xml:space="preserve">in interval </w:t>
      </w:r>
      <w:r>
        <w:rPr>
          <w:i/>
        </w:rPr>
        <w:t>i;</w:t>
      </w:r>
    </w:p>
    <w:p w:rsidR="003C21CD" w:rsidRDefault="008957C9">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3C21CD" w:rsidRDefault="008957C9">
      <w:pPr>
        <w:pStyle w:val="equationtext"/>
        <w:rPr>
          <w:iCs w:val="0"/>
        </w:rPr>
      </w:pPr>
      <w:r>
        <w:t>RTPen</w:t>
      </w:r>
      <w:r>
        <w:rPr>
          <w:vertAlign w:val="subscript"/>
        </w:rPr>
        <w:t>iu</w:t>
      </w:r>
      <w:r>
        <w:t xml:space="preserve"> </w:t>
      </w:r>
      <w:r>
        <w:tab/>
        <w:t>=</w:t>
      </w:r>
      <w:r>
        <w:tab/>
        <w:t>real-time price of Energy at the location of Supplier</w:t>
      </w:r>
      <w:r>
        <w:t xml:space="preserve"> </w:t>
      </w:r>
      <w:r>
        <w:rPr>
          <w:i/>
        </w:rPr>
        <w:t>u</w:t>
      </w:r>
      <w:r>
        <w:t xml:space="preserve"> in interval </w:t>
      </w:r>
      <w:r>
        <w:rPr>
          <w:i/>
        </w:rPr>
        <w:t>i</w:t>
      </w:r>
      <w:r>
        <w:t>;</w:t>
      </w:r>
    </w:p>
    <w:p w:rsidR="003C21CD" w:rsidRDefault="008957C9">
      <w:pPr>
        <w:pStyle w:val="equationtext"/>
        <w:rPr>
          <w:iCs w:val="0"/>
        </w:rPr>
      </w:pPr>
      <w:r>
        <w:t>RTPreg</w:t>
      </w:r>
      <w:r>
        <w:rPr>
          <w:vertAlign w:val="subscript"/>
        </w:rPr>
        <w:t>iu</w:t>
      </w:r>
      <w:r>
        <w:t xml:space="preserve"> </w:t>
      </w:r>
      <w:r>
        <w:tab/>
        <w:t>=</w:t>
      </w:r>
      <w:r>
        <w:tab/>
        <w:t xml:space="preserve">real-time price of Regulation Capacity at the location of Supplier </w:t>
      </w:r>
      <w:r>
        <w:rPr>
          <w:i/>
        </w:rPr>
        <w:t>u</w:t>
      </w:r>
      <w:r>
        <w:t xml:space="preserve"> in interval </w:t>
      </w:r>
      <w:r>
        <w:rPr>
          <w:i/>
        </w:rPr>
        <w:t>i</w:t>
      </w:r>
      <w:r>
        <w:t>;</w:t>
      </w:r>
    </w:p>
    <w:p w:rsidR="003C21CD" w:rsidRDefault="008957C9">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in interval </w:t>
      </w:r>
      <w:r>
        <w:rPr>
          <w:i/>
        </w:rPr>
        <w:t>i</w:t>
      </w:r>
      <w:r>
        <w:rPr>
          <w:iCs w:val="0"/>
        </w:rPr>
        <w:t>;</w:t>
      </w:r>
    </w:p>
    <w:p w:rsidR="003C21CD" w:rsidRDefault="008957C9">
      <w:pPr>
        <w:pStyle w:val="equationtext"/>
        <w:rPr>
          <w:i/>
          <w:iCs w:val="0"/>
        </w:rPr>
      </w:pPr>
      <w:r>
        <w:rPr>
          <w:iCs w:val="0"/>
        </w:rPr>
        <w:t>RTPregm</w:t>
      </w:r>
      <w:r>
        <w:rPr>
          <w:iCs w:val="0"/>
          <w:vertAlign w:val="subscript"/>
        </w:rPr>
        <w:t>iu</w:t>
      </w:r>
      <w:r>
        <w:rPr>
          <w:iCs w:val="0"/>
          <w:vertAlign w:val="subscript"/>
        </w:rPr>
        <w:tab/>
      </w:r>
      <w:r>
        <w:rPr>
          <w:iCs w:val="0"/>
        </w:rPr>
        <w:t>= real-time Regulation Move</w:t>
      </w:r>
      <w:r>
        <w:rPr>
          <w:iCs w:val="0"/>
        </w:rPr>
        <w:t xml:space="preserve">ment Market Price at the location of Supplier </w:t>
      </w:r>
      <w:r>
        <w:rPr>
          <w:i/>
          <w:iCs w:val="0"/>
        </w:rPr>
        <w:t>u</w:t>
      </w:r>
      <w:r>
        <w:rPr>
          <w:iCs w:val="0"/>
        </w:rPr>
        <w:t xml:space="preserve"> in interval </w:t>
      </w:r>
      <w:r>
        <w:rPr>
          <w:i/>
          <w:iCs w:val="0"/>
        </w:rPr>
        <w:t>i;</w:t>
      </w:r>
    </w:p>
    <w:p w:rsidR="003C21CD" w:rsidRDefault="008957C9">
      <w:pPr>
        <w:pStyle w:val="equationtext"/>
      </w:pPr>
      <w:r>
        <w:t>LL</w:t>
      </w:r>
      <w:r>
        <w:rPr>
          <w:vertAlign w:val="subscript"/>
        </w:rPr>
        <w:t>iu</w:t>
      </w:r>
      <w:r>
        <w:t xml:space="preserve"> </w:t>
      </w:r>
      <w:r>
        <w:tab/>
        <w:t>=</w:t>
      </w:r>
      <w:r>
        <w:tab/>
        <w:t xml:space="preserve"> either, as the case may be:</w:t>
      </w:r>
    </w:p>
    <w:p w:rsidR="003C21CD" w:rsidRDefault="008957C9">
      <w:pPr>
        <w:ind w:left="630" w:hanging="630"/>
      </w:pPr>
    </w:p>
    <w:p w:rsidR="003C21CD" w:rsidRDefault="008957C9">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3C21CD" w:rsidRDefault="008957C9">
      <w:pPr>
        <w:ind w:left="630" w:hanging="630"/>
      </w:pPr>
    </w:p>
    <w:p w:rsidR="003C21CD" w:rsidRDefault="008957C9">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3C21CD" w:rsidRDefault="008957C9">
      <w:pPr>
        <w:pStyle w:val="equationtext"/>
      </w:pPr>
      <w:r>
        <w:t>UL</w:t>
      </w:r>
      <w:r>
        <w:rPr>
          <w:vertAlign w:val="subscript"/>
        </w:rPr>
        <w:t>iu</w:t>
      </w:r>
      <w:r>
        <w:t xml:space="preserve"> </w:t>
      </w:r>
      <w:r>
        <w:tab/>
        <w:t>=</w:t>
      </w:r>
      <w:r>
        <w:tab/>
        <w:t xml:space="preserve"> either, as the case may be:</w:t>
      </w:r>
    </w:p>
    <w:p w:rsidR="003C21CD" w:rsidRDefault="008957C9"/>
    <w:p w:rsidR="003C21CD" w:rsidRDefault="008957C9">
      <w:pPr>
        <w:ind w:left="1440" w:hanging="1440"/>
      </w:pPr>
      <w:r>
        <w:tab/>
        <w:t>(a) if RTSen</w:t>
      </w:r>
      <w:r>
        <w:rPr>
          <w:vertAlign w:val="subscript"/>
        </w:rPr>
        <w:t>iu</w:t>
      </w:r>
      <w:r>
        <w:t xml:space="preserve"> </w:t>
      </w:r>
      <w:r>
        <w:t> EOP</w:t>
      </w:r>
      <w:r>
        <w:rPr>
          <w:vertAlign w:val="subscript"/>
        </w:rPr>
        <w:t xml:space="preserve">iu </w:t>
      </w:r>
      <w:r>
        <w:t>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3C21CD" w:rsidRDefault="008957C9"/>
    <w:p w:rsidR="003C21CD" w:rsidRDefault="008957C9">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3C21CD" w:rsidRDefault="008957C9">
      <w:pPr>
        <w:ind w:left="1440" w:hanging="1440"/>
      </w:pPr>
    </w:p>
    <w:p w:rsidR="003C21CD" w:rsidRDefault="008957C9">
      <w:pPr>
        <w:pStyle w:val="equationtext"/>
      </w:pPr>
      <w:r>
        <w:t>EOP</w:t>
      </w:r>
      <w:r>
        <w:rPr>
          <w:vertAlign w:val="subscript"/>
        </w:rPr>
        <w:t>iu</w:t>
      </w:r>
      <w:r>
        <w:tab/>
        <w:t>=</w:t>
      </w:r>
      <w:r>
        <w:tab/>
        <w:t>the Economic Operating P</w:t>
      </w:r>
      <w:r>
        <w:t xml:space="preserve">oint of Supplier </w:t>
      </w:r>
      <w:r>
        <w:rPr>
          <w:i/>
        </w:rPr>
        <w:t>u</w:t>
      </w:r>
      <w:r>
        <w:t xml:space="preserve"> in interval </w:t>
      </w:r>
      <w:r>
        <w:rPr>
          <w:i/>
        </w:rPr>
        <w:t xml:space="preserve">i </w:t>
      </w:r>
      <w:r>
        <w:t>calculated without regard to ramp rates;</w:t>
      </w:r>
    </w:p>
    <w:p w:rsidR="003C21CD" w:rsidRDefault="008957C9">
      <w:pPr>
        <w:pStyle w:val="equationtext"/>
        <w:rPr>
          <w:i/>
        </w:rPr>
      </w:pPr>
      <w:r>
        <w:t>Seconds</w:t>
      </w:r>
      <w:r>
        <w:rPr>
          <w:i/>
          <w:vertAlign w:val="subscript"/>
        </w:rPr>
        <w:t>i</w:t>
      </w:r>
      <w:r>
        <w:t xml:space="preserve"> </w:t>
      </w:r>
      <w:r>
        <w:tab/>
        <w:t>=</w:t>
      </w:r>
      <w:r>
        <w:tab/>
        <w:t xml:space="preserve">number of seconds in interval </w:t>
      </w:r>
      <w:r>
        <w:rPr>
          <w:i/>
        </w:rPr>
        <w:t>i</w:t>
      </w:r>
    </w:p>
    <w:p w:rsidR="003C21CD" w:rsidRDefault="008957C9">
      <w:pPr>
        <w:pStyle w:val="equationtext"/>
        <w:rPr>
          <w:iCs w:val="0"/>
        </w:rPr>
      </w:pPr>
    </w:p>
    <w:p w:rsidR="003C21CD" w:rsidRDefault="008957C9">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w:t>
      </w:r>
      <w:r>
        <w:t>is Services Tariff.</w:t>
      </w:r>
    </w:p>
    <w:p w:rsidR="003C21CD" w:rsidRDefault="008957C9">
      <w:pPr>
        <w:pStyle w:val="Heading2"/>
      </w:pPr>
      <w:bookmarkStart w:id="7" w:name="_Toc261252304"/>
      <w:bookmarkStart w:id="8" w:name="_Toc261252305"/>
      <w:bookmarkEnd w:id="7"/>
      <w:r>
        <w:t>25.4</w:t>
      </w:r>
      <w:r>
        <w:tab/>
        <w:t>Exception for Generators Lagging Behind RTD Base Point Signals</w:t>
      </w:r>
      <w:bookmarkEnd w:id="8"/>
    </w:p>
    <w:p w:rsidR="003C21CD" w:rsidRDefault="008957C9">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w:t>
      </w:r>
      <w:r>
        <w:t>n or equal to its penalty limit for under-generation value for that interval, as computed below, it shall not be eligible for Day-Ahead Margin Assurance Payments for that interval.</w:t>
      </w:r>
    </w:p>
    <w:p w:rsidR="003C21CD" w:rsidRDefault="008957C9">
      <w:pPr>
        <w:pStyle w:val="Bodypara"/>
      </w:pPr>
      <w:r>
        <w:t xml:space="preserve">The penalty limit for under-generation value is the tolerance described in </w:t>
      </w:r>
      <w:r>
        <w:t>Section 15.3A.1 of Rate Schedule 3-A of this ISO Services</w:t>
      </w:r>
      <w:r>
        <w:rPr>
          <w:i/>
          <w:iCs/>
        </w:rPr>
        <w:t xml:space="preserve"> </w:t>
      </w:r>
      <w:r>
        <w:t>Tariff, which is used in the calculation of the persistent under-generation charge applicable to Generators that are not providing Regulation Service.</w:t>
      </w:r>
    </w:p>
    <w:p w:rsidR="003C21CD" w:rsidRDefault="008957C9">
      <w:pPr>
        <w:pStyle w:val="Heading2"/>
      </w:pPr>
      <w:bookmarkStart w:id="9" w:name="_Toc261252306"/>
      <w:r>
        <w:t>25.5</w:t>
      </w:r>
      <w:r>
        <w:tab/>
        <w:t>Rules Applicable to Supplier Derates</w:t>
      </w:r>
      <w:bookmarkEnd w:id="9"/>
    </w:p>
    <w:p w:rsidR="003C21CD" w:rsidRDefault="008957C9">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w:t>
      </w:r>
      <w:r>
        <w:t xml:space="preserve"> Operating Limit or Normal Upper Operating Limit, whichever is applicable.  The foregoing rule shall also apply to a Generator otherwise eligible for a Day-Ahead Margin Assurance Payment in hours in which the ISO has derated the Generator’s Operating Capac</w:t>
      </w:r>
      <w:r>
        <w:t xml:space="preserve">ity </w:t>
      </w:r>
      <w:r>
        <w:rPr>
          <w:color w:val="000000"/>
        </w:rPr>
        <w:t xml:space="preserve">in order to reconcile the ISO’s dispatch with the Generator’s actual output, or to address reliability concerns that arise because the Generator is not following Base Point Signals.  </w:t>
      </w:r>
      <w:r>
        <w:t xml:space="preserve">If a Supplier’s derated real-time Operating Capacity is lower than </w:t>
      </w:r>
      <w:r>
        <w:t>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w:t>
      </w:r>
      <w:r>
        <w:t>y.  REDen, REDreg and REDres</w:t>
      </w:r>
      <w:r>
        <w:rPr>
          <w:vertAlign w:val="subscript"/>
        </w:rPr>
        <w:t>p</w:t>
      </w:r>
      <w:r>
        <w:t xml:space="preserve"> shall be calculated using the formulas below:</w:t>
      </w:r>
    </w:p>
    <w:p w:rsidR="003C21CD" w:rsidRDefault="008957C9">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t></w:t>
      </w:r>
      <w:r>
        <w:rPr>
          <w:vertAlign w:val="subscript"/>
        </w:rPr>
        <w:t>p</w:t>
      </w:r>
      <w:r>
        <w:t>DASres</w:t>
      </w:r>
      <w:r>
        <w:rPr>
          <w:vertAlign w:val="subscript"/>
        </w:rPr>
        <w:t>hup</w:t>
      </w:r>
      <w:r>
        <w:t xml:space="preserve"> -RTUOL</w:t>
      </w:r>
      <w:r>
        <w:rPr>
          <w:vertAlign w:val="subscript"/>
        </w:rPr>
        <w:t>iu</w:t>
      </w:r>
      <w:r>
        <w:t>,0)</w:t>
      </w:r>
    </w:p>
    <w:p w:rsidR="003C21CD" w:rsidRDefault="008957C9">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3C21CD" w:rsidRDefault="008957C9">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3C21CD" w:rsidRDefault="008957C9">
      <w:pPr>
        <w:pStyle w:val="equationtext"/>
      </w:pPr>
      <w:r>
        <w:t>POTREDres</w:t>
      </w:r>
      <w:r>
        <w:rPr>
          <w:vertAlign w:val="subscript"/>
        </w:rPr>
        <w:t>iup</w:t>
      </w:r>
      <w:r>
        <w:t xml:space="preserve"> =</w:t>
      </w:r>
      <w:r>
        <w:tab/>
        <w:t>max(DASres</w:t>
      </w:r>
      <w:r>
        <w:rPr>
          <w:vertAlign w:val="subscript"/>
        </w:rPr>
        <w:t>hup</w:t>
      </w:r>
      <w:r>
        <w:t xml:space="preserve"> – RTSr</w:t>
      </w:r>
      <w:r>
        <w:t>es</w:t>
      </w:r>
      <w:r>
        <w:rPr>
          <w:vertAlign w:val="subscript"/>
        </w:rPr>
        <w:t>iup</w:t>
      </w:r>
      <w:r>
        <w:t>, 0)</w:t>
      </w:r>
    </w:p>
    <w:p w:rsidR="003C21CD" w:rsidRDefault="008957C9">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t></w:t>
      </w:r>
      <w:r>
        <w:rPr>
          <w:vertAlign w:val="subscript"/>
        </w:rPr>
        <w:t>p</w:t>
      </w:r>
      <w:r>
        <w:t>POTREDres</w:t>
      </w:r>
      <w:r>
        <w:rPr>
          <w:vertAlign w:val="subscript"/>
        </w:rPr>
        <w:t>iup</w:t>
      </w:r>
      <w:r>
        <w:t>))*REDtot</w:t>
      </w:r>
      <w:r>
        <w:rPr>
          <w:vertAlign w:val="subscript"/>
        </w:rPr>
        <w:t>iu</w:t>
      </w:r>
    </w:p>
    <w:p w:rsidR="003C21CD" w:rsidRDefault="008957C9">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t></w:t>
      </w:r>
      <w:r>
        <w:rPr>
          <w:vertAlign w:val="subscript"/>
        </w:rPr>
        <w:t>p</w:t>
      </w:r>
      <w:r>
        <w:t xml:space="preserve"> POTREDres</w:t>
      </w:r>
      <w:r>
        <w:rPr>
          <w:vertAlign w:val="subscript"/>
        </w:rPr>
        <w:t>iup</w:t>
      </w:r>
      <w:r>
        <w:t>))*REDtot</w:t>
      </w:r>
      <w:r>
        <w:rPr>
          <w:vertAlign w:val="subscript"/>
        </w:rPr>
        <w:t>iu</w:t>
      </w:r>
    </w:p>
    <w:p w:rsidR="003C21CD" w:rsidRDefault="008957C9">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t></w:t>
      </w:r>
      <w:r>
        <w:rPr>
          <w:vertAlign w:val="subscript"/>
        </w:rPr>
        <w:t>p</w:t>
      </w:r>
      <w:r>
        <w:t xml:space="preserve"> POTREDres</w:t>
      </w:r>
      <w:r>
        <w:rPr>
          <w:vertAlign w:val="subscript"/>
        </w:rPr>
        <w:t>iup</w:t>
      </w:r>
      <w:r>
        <w:t>))*REDtot</w:t>
      </w:r>
      <w:r>
        <w:rPr>
          <w:vertAlign w:val="subscript"/>
        </w:rPr>
        <w:t>iu</w:t>
      </w:r>
    </w:p>
    <w:p w:rsidR="003C21CD" w:rsidRDefault="008957C9">
      <w:pPr>
        <w:pStyle w:val="Bodypara"/>
      </w:pPr>
      <w:r>
        <w:t>where:</w:t>
      </w:r>
    </w:p>
    <w:p w:rsidR="003C21CD" w:rsidRDefault="008957C9">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City">
        <w:r>
          <w:t>Normal</w:t>
        </w:r>
      </w:smartTag>
      <w:r>
        <w:t xml:space="preserve"> Upper Operating Limit whichever is applicable of Supplier u in interval i </w:t>
      </w:r>
    </w:p>
    <w:p w:rsidR="003C21CD" w:rsidRDefault="008957C9">
      <w:pPr>
        <w:pStyle w:val="equationtext"/>
      </w:pPr>
      <w:r>
        <w:t>REDtot</w:t>
      </w:r>
      <w:r>
        <w:rPr>
          <w:vertAlign w:val="subscript"/>
        </w:rPr>
        <w:t>iu</w:t>
      </w:r>
      <w:r>
        <w:t xml:space="preserve"> </w:t>
      </w:r>
      <w:r>
        <w:tab/>
        <w:t>=</w:t>
      </w:r>
      <w:r>
        <w:tab/>
        <w:t>The total amount in MW that Day-Ahead schedules need to be reduced to account for the derate of Suppli</w:t>
      </w:r>
      <w:r>
        <w:t>er u in interval i;</w:t>
      </w:r>
    </w:p>
    <w:p w:rsidR="003C21CD" w:rsidRDefault="008957C9">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3C21CD" w:rsidRDefault="008957C9">
      <w:pPr>
        <w:pStyle w:val="equationtext"/>
      </w:pPr>
      <w:r>
        <w:t>REDreg</w:t>
      </w:r>
      <w:r>
        <w:rPr>
          <w:vertAlign w:val="subscript"/>
        </w:rPr>
        <w:t>iu</w:t>
      </w:r>
      <w:r>
        <w:t xml:space="preserve"> </w:t>
      </w:r>
      <w:r>
        <w:tab/>
        <w:t>=</w:t>
      </w:r>
      <w:r>
        <w:tab/>
        <w:t>The amount in MW that Supplier u’s Day-Ahead Regu</w:t>
      </w:r>
      <w:r>
        <w:t>lation Service schedule is reduced for the purposes of calculating the Day-Ahead Margin Assurance Payment in interval i;</w:t>
      </w:r>
    </w:p>
    <w:p w:rsidR="003C21CD" w:rsidRDefault="008957C9">
      <w:pPr>
        <w:pStyle w:val="equationtext"/>
      </w:pPr>
      <w:r>
        <w:t>REDres</w:t>
      </w:r>
      <w:r>
        <w:rPr>
          <w:vertAlign w:val="subscript"/>
        </w:rPr>
        <w:t>iup</w:t>
      </w:r>
      <w:r>
        <w:t xml:space="preserve"> </w:t>
      </w:r>
      <w:r>
        <w:tab/>
        <w:t>=</w:t>
      </w:r>
      <w:r>
        <w:tab/>
        <w:t>The amount in MW that Supplier u’s Day-Ahead Operating Reserve schedule for Operating Reserves product p is reduced for th</w:t>
      </w:r>
      <w:r>
        <w:t>e purposes of calculating the Day-Ahead Margin Assurance Payment in interval i;</w:t>
      </w:r>
    </w:p>
    <w:p w:rsidR="003C21CD" w:rsidRDefault="008957C9">
      <w:pPr>
        <w:pStyle w:val="equationtext"/>
      </w:pPr>
      <w:r>
        <w:t>POTREDen</w:t>
      </w:r>
      <w:r>
        <w:rPr>
          <w:vertAlign w:val="subscript"/>
        </w:rPr>
        <w:t>iu</w:t>
      </w:r>
      <w:r>
        <w:t xml:space="preserve"> </w:t>
      </w:r>
      <w:r>
        <w:tab/>
        <w:t>=</w:t>
      </w:r>
      <w:r>
        <w:tab/>
        <w:t>The potential amount in MW that Supplier u’s Day-Ahead Energy schedule could be reduced for the purposes of calculating the Day-Ahead Margin Assurance Payment for</w:t>
      </w:r>
      <w:r>
        <w:t xml:space="preserve"> Supplier u in interval i;</w:t>
      </w:r>
    </w:p>
    <w:p w:rsidR="003C21CD" w:rsidRDefault="008957C9">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calculating the Day-Ah</w:t>
      </w:r>
      <w:r>
        <w:rPr>
          <w:iCs w:val="0"/>
        </w:rPr>
        <w:t>e</w:t>
      </w:r>
      <w:r>
        <w:t>ad Margin Assurance Payment for Supplier u in interval i;</w:t>
      </w:r>
    </w:p>
    <w:p w:rsidR="003C21CD" w:rsidRDefault="008957C9">
      <w:pPr>
        <w:pStyle w:val="equationtext"/>
      </w:pPr>
      <w:r>
        <w:t>POTREDres</w:t>
      </w:r>
      <w:r>
        <w:rPr>
          <w:vertAlign w:val="subscript"/>
        </w:rPr>
        <w:t>iup</w:t>
      </w:r>
      <w:r>
        <w:t xml:space="preserve"> </w:t>
      </w:r>
      <w:r>
        <w:t>=</w:t>
      </w:r>
      <w:r>
        <w:tab/>
        <w:t>The potential amount in MW that Supplier u’s Day-Ahead Operating Reserve Schedule for Operating Reserve product p could be reduced for the</w:t>
      </w:r>
      <w:r>
        <w:rPr>
          <w:iCs w:val="0"/>
        </w:rPr>
        <w:t xml:space="preserve"> </w:t>
      </w:r>
      <w:r>
        <w:t>purposes of calculating the Day-Ahead Margin Assurance Payment for Supplier in interval;</w:t>
      </w:r>
    </w:p>
    <w:p w:rsidR="003C21CD" w:rsidRDefault="008957C9">
      <w:pPr>
        <w:pStyle w:val="Bodypara"/>
      </w:pPr>
      <w:r>
        <w:t>All other variables are as</w:t>
      </w:r>
      <w:r>
        <w:t xml:space="preserve"> defined above.</w:t>
      </w:r>
    </w:p>
    <w:p w:rsidR="003C21CD" w:rsidRDefault="008957C9">
      <w:pPr>
        <w:pStyle w:val="Heading2"/>
      </w:pPr>
      <w:bookmarkStart w:id="10" w:name="_Toc261252307"/>
      <w:r>
        <w:t xml:space="preserve"> 25.6</w:t>
      </w:r>
      <w:r>
        <w:tab/>
        <w:t>Import Curtailment Guarantee Payments</w:t>
      </w:r>
    </w:p>
    <w:p w:rsidR="003C21CD" w:rsidRDefault="008957C9">
      <w:pPr>
        <w:pStyle w:val="Heading3"/>
        <w:rPr>
          <w:u w:val="double"/>
        </w:rPr>
      </w:pPr>
      <w:r>
        <w:t xml:space="preserve">25.6.1 </w:t>
      </w:r>
      <w:r>
        <w:tab/>
        <w:t>Eligibility for an Import Curtailment Guarantee Payment for an Import Curtailed by the ISO</w:t>
      </w:r>
    </w:p>
    <w:p w:rsidR="003C21CD" w:rsidRDefault="008957C9">
      <w:pPr>
        <w:pStyle w:val="Bodypara"/>
      </w:pPr>
      <w:r>
        <w:t xml:space="preserve">In the event that the Energy injections for an Import scheduled by </w:t>
      </w:r>
      <w:r>
        <w:rPr>
          <w:iCs/>
        </w:rPr>
        <w:t xml:space="preserve">RTC or RTD </w:t>
      </w:r>
      <w:r>
        <w:t>at a Proxy Generato</w:t>
      </w:r>
      <w:r>
        <w:t xml:space="preserve">r Bus, other than a CTS Enabled Proxy Generator Bus, are </w:t>
      </w:r>
      <w:r>
        <w:rPr>
          <w:iCs/>
        </w:rPr>
        <w:t>C</w:t>
      </w:r>
      <w:r>
        <w:t>urtailed at the request of the ISO, and (i) the real-time Energy Profile MW is equal to or greater than the Day-Ahead Energy Schedule for that interval, and (ii) the real-time Decremental Bid is les</w:t>
      </w:r>
      <w:r>
        <w:t>s than or equal to the default real-time Decremental Bid amount as established by ISO procedures, then the Supplier or Transmission Customer that is subjected to the Curtailment, in addition to the charge for Energy Imbalance, shall be eligible for an Impo</w:t>
      </w:r>
      <w:r>
        <w:t>rt Curtailment Guarantee Payment as determined in Section 25.6.2 of this Attachment J.  Suppliers scheduling Imports at CTS Enabled Proxy Generator Buses shall not be eligible for Import Curtailment Guarantee payments for those Transactions.</w:t>
      </w:r>
    </w:p>
    <w:p w:rsidR="003C21CD" w:rsidRDefault="008957C9">
      <w:pPr>
        <w:pStyle w:val="Heading3"/>
      </w:pPr>
      <w:r>
        <w:t xml:space="preserve">25.6.2 </w:t>
      </w:r>
      <w:r>
        <w:tab/>
        <w:t>Formul</w:t>
      </w:r>
      <w:r>
        <w:t>a for an Import Curtailment Guarantee Payment for a Supplier Whose Import Was Curtailed by the ISO</w:t>
      </w:r>
    </w:p>
    <w:p w:rsidR="003C21CD" w:rsidRDefault="008957C9">
      <w:pPr>
        <w:pStyle w:val="Bodypara"/>
      </w:pPr>
      <w:r>
        <w:t xml:space="preserve">A Supplier eligible under Section 25.6.1 of this Attachment J shall receive an Import Curtailment Guarantee Payment for its curtailed Energy injections that </w:t>
      </w:r>
      <w:r>
        <w:t>is equal to the daily sum of the hourly payments which, for each hour of Import t, is calculated as the greater of the interval payments determined for the hour or zero as seen in the formula below.</w:t>
      </w:r>
    </w:p>
    <w:p w:rsidR="003C21CD" w:rsidRDefault="008957C9">
      <w:pPr>
        <w:widowControl w:val="0"/>
      </w:pPr>
      <w:r>
        <w:t>Import Curtailment Guarantee Payment to Supplier u in ass</w:t>
      </w:r>
      <w:r>
        <w:t xml:space="preserve">ociation with Import t = </w:t>
      </w:r>
    </w:p>
    <w:p w:rsidR="003C21CD" w:rsidRDefault="008957C9">
      <w:pPr>
        <w:widowControl w:val="0"/>
      </w:pPr>
    </w:p>
    <w:p w:rsidR="003C21CD" w:rsidRDefault="008957C9">
      <w:pPr>
        <w:widowControl w:val="0"/>
      </w:pPr>
    </w:p>
    <w:p w:rsidR="003C21CD" w:rsidRDefault="008957C9">
      <w:pPr>
        <w:widowControl w:val="0"/>
      </w:pPr>
      <w:r>
        <w:rPr>
          <w:noProof/>
        </w:rPr>
        <w:drawing>
          <wp:inline distT="0" distB="0" distL="0" distR="0">
            <wp:extent cx="5181600" cy="514350"/>
            <wp:effectExtent l="1905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181600" cy="514350"/>
                    </a:xfrm>
                    <a:prstGeom prst="rect">
                      <a:avLst/>
                    </a:prstGeom>
                    <a:noFill/>
                    <a:ln w="9525">
                      <a:noFill/>
                      <a:miter lim="800000"/>
                      <a:headEnd/>
                      <a:tailEnd/>
                    </a:ln>
                  </pic:spPr>
                </pic:pic>
              </a:graphicData>
            </a:graphic>
          </wp:inline>
        </w:drawing>
      </w:r>
    </w:p>
    <w:p w:rsidR="003C21CD" w:rsidRDefault="008957C9">
      <w:pPr>
        <w:widowControl w:val="0"/>
      </w:pPr>
    </w:p>
    <w:p w:rsidR="003C21CD" w:rsidRDefault="008957C9">
      <w:pPr>
        <w:widowControl w:val="0"/>
      </w:pPr>
    </w:p>
    <w:p w:rsidR="003C21CD" w:rsidRDefault="008957C9">
      <w:pPr>
        <w:widowControl w:val="0"/>
      </w:pPr>
    </w:p>
    <w:p w:rsidR="003C21CD" w:rsidRDefault="008957C9">
      <w:pPr>
        <w:widowControl w:val="0"/>
      </w:pPr>
    </w:p>
    <w:p w:rsidR="003C21CD" w:rsidRDefault="008957C9">
      <w:pPr>
        <w:widowControl w:val="0"/>
      </w:pPr>
      <w:r>
        <w:t>Where</w:t>
      </w:r>
    </w:p>
    <w:p w:rsidR="003C21CD" w:rsidRDefault="008957C9">
      <w:pPr>
        <w:widowControl w:val="0"/>
      </w:pPr>
    </w:p>
    <w:p w:rsidR="003C21CD" w:rsidRDefault="008957C9">
      <w:pPr>
        <w:widowControl w:val="0"/>
        <w:tabs>
          <w:tab w:val="left" w:pos="1260"/>
          <w:tab w:val="left" w:pos="1620"/>
        </w:tabs>
        <w:ind w:left="1627" w:hanging="1627"/>
      </w:pPr>
      <w:r>
        <w:t>N</w:t>
      </w:r>
      <w:r>
        <w:tab/>
        <w:t xml:space="preserve">=   the number of hours in the Dispatch Day </w:t>
      </w:r>
    </w:p>
    <w:p w:rsidR="003C21CD" w:rsidRDefault="008957C9">
      <w:pPr>
        <w:widowControl w:val="0"/>
      </w:pPr>
    </w:p>
    <w:p w:rsidR="003C21CD" w:rsidRDefault="008957C9">
      <w:pPr>
        <w:widowControl w:val="0"/>
        <w:tabs>
          <w:tab w:val="left" w:pos="1260"/>
          <w:tab w:val="left" w:pos="1620"/>
        </w:tabs>
        <w:ind w:left="1627" w:hanging="1627"/>
      </w:pPr>
      <w:r>
        <w:t>H</w:t>
      </w:r>
      <w:r>
        <w:tab/>
        <w:t>=    the number of intervals in hour h</w:t>
      </w:r>
    </w:p>
    <w:p w:rsidR="003C21CD" w:rsidRDefault="008957C9">
      <w:pPr>
        <w:widowControl w:val="0"/>
        <w:tabs>
          <w:tab w:val="left" w:pos="1260"/>
          <w:tab w:val="left" w:pos="1620"/>
        </w:tabs>
        <w:ind w:left="1627" w:hanging="1627"/>
      </w:pPr>
    </w:p>
    <w:p w:rsidR="003C21CD" w:rsidRDefault="008957C9">
      <w:pPr>
        <w:widowControl w:val="0"/>
        <w:tabs>
          <w:tab w:val="left" w:pos="1260"/>
          <w:tab w:val="left" w:pos="1620"/>
        </w:tabs>
        <w:ind w:left="1627" w:hanging="1627"/>
      </w:pPr>
      <w:r>
        <w:t>i</w:t>
      </w:r>
      <w:r>
        <w:tab/>
        <w:t>=</w:t>
      </w:r>
      <w:r>
        <w:tab/>
        <w:t>the relevant interval in hour h;</w:t>
      </w:r>
    </w:p>
    <w:p w:rsidR="003C21CD" w:rsidRDefault="008957C9">
      <w:pPr>
        <w:widowControl w:val="0"/>
        <w:tabs>
          <w:tab w:val="left" w:pos="1260"/>
          <w:tab w:val="left" w:pos="1620"/>
        </w:tabs>
        <w:ind w:left="1627" w:hanging="1627"/>
      </w:pPr>
    </w:p>
    <w:p w:rsidR="003C21CD" w:rsidRDefault="008957C9">
      <w:pPr>
        <w:widowControl w:val="0"/>
        <w:tabs>
          <w:tab w:val="left" w:pos="1260"/>
          <w:tab w:val="left" w:pos="1620"/>
        </w:tabs>
        <w:ind w:left="1627" w:hanging="1627"/>
      </w:pPr>
      <w:r>
        <w:t>S</w:t>
      </w:r>
      <w:r>
        <w:rPr>
          <w:vertAlign w:val="subscript"/>
        </w:rPr>
        <w:t>i</w:t>
      </w:r>
      <w:r>
        <w:tab/>
        <w:t>=</w:t>
      </w:r>
      <w:r>
        <w:tab/>
        <w:t>number of seconds in interval i;</w:t>
      </w:r>
    </w:p>
    <w:p w:rsidR="003C21CD" w:rsidRDefault="008957C9">
      <w:pPr>
        <w:widowControl w:val="0"/>
      </w:pPr>
    </w:p>
    <w:p w:rsidR="003C21CD" w:rsidRDefault="008957C9">
      <w:pPr>
        <w:keepNext/>
        <w:widowControl w:val="0"/>
        <w:tabs>
          <w:tab w:val="left" w:pos="1260"/>
          <w:tab w:val="left" w:pos="1620"/>
        </w:tabs>
        <w:ind w:left="1620" w:hanging="1620"/>
      </w:pPr>
      <w:r>
        <w:t>RTLBMP</w:t>
      </w:r>
      <w:r>
        <w:rPr>
          <w:vertAlign w:val="subscript"/>
        </w:rPr>
        <w:t>t,i</w:t>
      </w:r>
      <w:r>
        <w:rPr>
          <w:vertAlign w:val="subscript"/>
        </w:rPr>
        <w:tab/>
      </w:r>
      <w:r>
        <w:t>=</w:t>
      </w:r>
      <w:r>
        <w:tab/>
        <w:t xml:space="preserve">the real-time LBMP, in $/MWh, for </w:t>
      </w:r>
      <w:r>
        <w:t>interval i at the Proxy Generator Bus which is the source of the Import t.</w:t>
      </w:r>
    </w:p>
    <w:p w:rsidR="003C21CD" w:rsidRDefault="008957C9">
      <w:pPr>
        <w:keepNext/>
        <w:widowControl w:val="0"/>
      </w:pPr>
    </w:p>
    <w:p w:rsidR="003C21CD" w:rsidRDefault="008957C9">
      <w:pPr>
        <w:keepNext/>
        <w:widowControl w:val="0"/>
        <w:tabs>
          <w:tab w:val="left" w:pos="1260"/>
          <w:tab w:val="left" w:pos="1620"/>
        </w:tabs>
        <w:ind w:left="1620" w:hanging="1620"/>
      </w:pPr>
      <w:r>
        <w:t>DADecBid</w:t>
      </w:r>
      <w:r>
        <w:rPr>
          <w:vertAlign w:val="subscript"/>
        </w:rPr>
        <w:t>t i</w:t>
      </w:r>
      <w:r>
        <w:rPr>
          <w:vertAlign w:val="subscript"/>
        </w:rPr>
        <w:tab/>
      </w:r>
      <w:r>
        <w:t>=</w:t>
      </w:r>
      <w:r>
        <w:tab/>
        <w:t>the Day Ahead Decremental Bid price associated with the Day-Ahead energy schedule, in $/MWh, for Import t in hour h containing interval i;</w:t>
      </w:r>
    </w:p>
    <w:p w:rsidR="003C21CD" w:rsidRDefault="008957C9">
      <w:pPr>
        <w:keepNext/>
        <w:widowControl w:val="0"/>
      </w:pPr>
    </w:p>
    <w:p w:rsidR="003C21CD" w:rsidRDefault="008957C9">
      <w:pPr>
        <w:keepNext/>
        <w:widowControl w:val="0"/>
        <w:tabs>
          <w:tab w:val="left" w:pos="1260"/>
          <w:tab w:val="left" w:pos="1620"/>
        </w:tabs>
        <w:ind w:left="1620" w:hanging="1620"/>
      </w:pPr>
      <w:r>
        <w:t>DAen</w:t>
      </w:r>
      <w:r>
        <w:rPr>
          <w:vertAlign w:val="subscript"/>
        </w:rPr>
        <w:t>t,i</w:t>
      </w:r>
      <w:r>
        <w:rPr>
          <w:vertAlign w:val="subscript"/>
        </w:rPr>
        <w:tab/>
      </w:r>
      <w:r>
        <w:t>=</w:t>
      </w:r>
      <w:r>
        <w:tab/>
        <w:t>the Day Ahead sc</w:t>
      </w:r>
      <w:r>
        <w:t>heduled Energy injections, in MWh, for Import t in hour h containing interval i as determined by Security Constrained Unit Commitment (SCUC); and</w:t>
      </w:r>
    </w:p>
    <w:p w:rsidR="003C21CD" w:rsidRDefault="008957C9">
      <w:pPr>
        <w:keepNext/>
        <w:widowControl w:val="0"/>
      </w:pPr>
    </w:p>
    <w:p w:rsidR="003C21CD" w:rsidRDefault="008957C9">
      <w:pPr>
        <w:widowControl w:val="0"/>
        <w:tabs>
          <w:tab w:val="left" w:pos="1260"/>
          <w:tab w:val="left" w:pos="1620"/>
        </w:tabs>
        <w:ind w:left="1620" w:hanging="1620"/>
      </w:pPr>
      <w:r>
        <w:t>RTDen</w:t>
      </w:r>
      <w:r>
        <w:rPr>
          <w:vertAlign w:val="subscript"/>
        </w:rPr>
        <w:t>t,i</w:t>
      </w:r>
      <w:r>
        <w:tab/>
        <w:t>=</w:t>
      </w:r>
      <w:r>
        <w:tab/>
        <w:t>the scheduled Energy injections, in MWh, for Import t in interval i as determined by Real-Time Dis</w:t>
      </w:r>
      <w:r>
        <w:t>patch (RTD).</w:t>
      </w:r>
      <w:bookmarkEnd w:id="10"/>
    </w:p>
    <w:sectPr w:rsidR="003C21CD" w:rsidSect="003C21CD">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A7" w:rsidRDefault="009F1BA7" w:rsidP="009F1BA7">
      <w:r>
        <w:separator/>
      </w:r>
    </w:p>
  </w:endnote>
  <w:endnote w:type="continuationSeparator" w:id="0">
    <w:p w:rsidR="009F1BA7" w:rsidRDefault="009F1BA7" w:rsidP="009F1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7" w:rsidRDefault="008957C9">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9F1BA7">
      <w:rPr>
        <w:rFonts w:ascii="Arial" w:eastAsia="Arial" w:hAnsi="Arial" w:cs="Arial"/>
        <w:color w:val="000000"/>
        <w:sz w:val="16"/>
      </w:rPr>
      <w:fldChar w:fldCharType="begin"/>
    </w:r>
    <w:r>
      <w:rPr>
        <w:rFonts w:ascii="Arial" w:eastAsia="Arial" w:hAnsi="Arial" w:cs="Arial"/>
        <w:color w:val="000000"/>
        <w:sz w:val="16"/>
      </w:rPr>
      <w:instrText>PAGE</w:instrText>
    </w:r>
    <w:r w:rsidR="009F1B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7" w:rsidRDefault="008957C9">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9F1B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1B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7" w:rsidRDefault="008957C9">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9F1BA7">
      <w:rPr>
        <w:rFonts w:ascii="Arial" w:eastAsia="Arial" w:hAnsi="Arial" w:cs="Arial"/>
        <w:color w:val="000000"/>
        <w:sz w:val="16"/>
      </w:rPr>
      <w:fldChar w:fldCharType="begin"/>
    </w:r>
    <w:r>
      <w:rPr>
        <w:rFonts w:ascii="Arial" w:eastAsia="Arial" w:hAnsi="Arial" w:cs="Arial"/>
        <w:color w:val="000000"/>
        <w:sz w:val="16"/>
      </w:rPr>
      <w:instrText>PAGE</w:instrText>
    </w:r>
    <w:r w:rsidR="009F1B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A7" w:rsidRDefault="009F1BA7" w:rsidP="009F1BA7">
      <w:r>
        <w:separator/>
      </w:r>
    </w:p>
  </w:footnote>
  <w:footnote w:type="continuationSeparator" w:id="0">
    <w:p w:rsidR="009F1BA7" w:rsidRDefault="009F1BA7" w:rsidP="009F1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7" w:rsidRDefault="008957C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7" w:rsidRDefault="008957C9">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7" w:rsidRDefault="008957C9">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D9661CC">
      <w:start w:val="1"/>
      <w:numFmt w:val="bullet"/>
      <w:pStyle w:val="Bulletpara"/>
      <w:lvlText w:val=""/>
      <w:lvlJc w:val="left"/>
      <w:pPr>
        <w:tabs>
          <w:tab w:val="num" w:pos="720"/>
        </w:tabs>
        <w:ind w:left="720" w:hanging="360"/>
      </w:pPr>
      <w:rPr>
        <w:rFonts w:ascii="Symbol" w:hAnsi="Symbol" w:hint="default"/>
      </w:rPr>
    </w:lvl>
    <w:lvl w:ilvl="1" w:tplc="37CE54F0" w:tentative="1">
      <w:start w:val="1"/>
      <w:numFmt w:val="bullet"/>
      <w:lvlText w:val="o"/>
      <w:lvlJc w:val="left"/>
      <w:pPr>
        <w:tabs>
          <w:tab w:val="num" w:pos="1440"/>
        </w:tabs>
        <w:ind w:left="1440" w:hanging="360"/>
      </w:pPr>
      <w:rPr>
        <w:rFonts w:ascii="Courier New" w:hAnsi="Courier New" w:hint="default"/>
      </w:rPr>
    </w:lvl>
    <w:lvl w:ilvl="2" w:tplc="EBF81980" w:tentative="1">
      <w:start w:val="1"/>
      <w:numFmt w:val="bullet"/>
      <w:lvlText w:val=""/>
      <w:lvlJc w:val="left"/>
      <w:pPr>
        <w:tabs>
          <w:tab w:val="num" w:pos="2160"/>
        </w:tabs>
        <w:ind w:left="2160" w:hanging="360"/>
      </w:pPr>
      <w:rPr>
        <w:rFonts w:ascii="Wingdings" w:hAnsi="Wingdings" w:hint="default"/>
      </w:rPr>
    </w:lvl>
    <w:lvl w:ilvl="3" w:tplc="A9F82E54" w:tentative="1">
      <w:start w:val="1"/>
      <w:numFmt w:val="bullet"/>
      <w:lvlText w:val=""/>
      <w:lvlJc w:val="left"/>
      <w:pPr>
        <w:tabs>
          <w:tab w:val="num" w:pos="2880"/>
        </w:tabs>
        <w:ind w:left="2880" w:hanging="360"/>
      </w:pPr>
      <w:rPr>
        <w:rFonts w:ascii="Symbol" w:hAnsi="Symbol" w:hint="default"/>
      </w:rPr>
    </w:lvl>
    <w:lvl w:ilvl="4" w:tplc="D7D46AA8" w:tentative="1">
      <w:start w:val="1"/>
      <w:numFmt w:val="bullet"/>
      <w:lvlText w:val="o"/>
      <w:lvlJc w:val="left"/>
      <w:pPr>
        <w:tabs>
          <w:tab w:val="num" w:pos="3600"/>
        </w:tabs>
        <w:ind w:left="3600" w:hanging="360"/>
      </w:pPr>
      <w:rPr>
        <w:rFonts w:ascii="Courier New" w:hAnsi="Courier New" w:hint="default"/>
      </w:rPr>
    </w:lvl>
    <w:lvl w:ilvl="5" w:tplc="0DCEFA3E" w:tentative="1">
      <w:start w:val="1"/>
      <w:numFmt w:val="bullet"/>
      <w:lvlText w:val=""/>
      <w:lvlJc w:val="left"/>
      <w:pPr>
        <w:tabs>
          <w:tab w:val="num" w:pos="4320"/>
        </w:tabs>
        <w:ind w:left="4320" w:hanging="360"/>
      </w:pPr>
      <w:rPr>
        <w:rFonts w:ascii="Wingdings" w:hAnsi="Wingdings" w:hint="default"/>
      </w:rPr>
    </w:lvl>
    <w:lvl w:ilvl="6" w:tplc="A5D2FF0A" w:tentative="1">
      <w:start w:val="1"/>
      <w:numFmt w:val="bullet"/>
      <w:lvlText w:val=""/>
      <w:lvlJc w:val="left"/>
      <w:pPr>
        <w:tabs>
          <w:tab w:val="num" w:pos="5040"/>
        </w:tabs>
        <w:ind w:left="5040" w:hanging="360"/>
      </w:pPr>
      <w:rPr>
        <w:rFonts w:ascii="Symbol" w:hAnsi="Symbol" w:hint="default"/>
      </w:rPr>
    </w:lvl>
    <w:lvl w:ilvl="7" w:tplc="AC2493E8" w:tentative="1">
      <w:start w:val="1"/>
      <w:numFmt w:val="bullet"/>
      <w:lvlText w:val="o"/>
      <w:lvlJc w:val="left"/>
      <w:pPr>
        <w:tabs>
          <w:tab w:val="num" w:pos="5760"/>
        </w:tabs>
        <w:ind w:left="5760" w:hanging="360"/>
      </w:pPr>
      <w:rPr>
        <w:rFonts w:ascii="Courier New" w:hAnsi="Courier New" w:hint="default"/>
      </w:rPr>
    </w:lvl>
    <w:lvl w:ilvl="8" w:tplc="AAB8FA0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D26CD66">
      <w:start w:val="1"/>
      <w:numFmt w:val="lowerRoman"/>
      <w:lvlText w:val="(%1)"/>
      <w:lvlJc w:val="left"/>
      <w:pPr>
        <w:tabs>
          <w:tab w:val="num" w:pos="2448"/>
        </w:tabs>
        <w:ind w:left="2448" w:hanging="648"/>
      </w:pPr>
      <w:rPr>
        <w:rFonts w:cs="Times New Roman" w:hint="default"/>
        <w:b w:val="0"/>
        <w:i w:val="0"/>
        <w:u w:val="none"/>
      </w:rPr>
    </w:lvl>
    <w:lvl w:ilvl="1" w:tplc="7F7E64CA" w:tentative="1">
      <w:start w:val="1"/>
      <w:numFmt w:val="lowerLetter"/>
      <w:lvlText w:val="%2."/>
      <w:lvlJc w:val="left"/>
      <w:pPr>
        <w:tabs>
          <w:tab w:val="num" w:pos="1440"/>
        </w:tabs>
        <w:ind w:left="1440" w:hanging="360"/>
      </w:pPr>
      <w:rPr>
        <w:rFonts w:cs="Times New Roman"/>
      </w:rPr>
    </w:lvl>
    <w:lvl w:ilvl="2" w:tplc="2F9CFEF6" w:tentative="1">
      <w:start w:val="1"/>
      <w:numFmt w:val="lowerRoman"/>
      <w:lvlText w:val="%3."/>
      <w:lvlJc w:val="right"/>
      <w:pPr>
        <w:tabs>
          <w:tab w:val="num" w:pos="2160"/>
        </w:tabs>
        <w:ind w:left="2160" w:hanging="180"/>
      </w:pPr>
      <w:rPr>
        <w:rFonts w:cs="Times New Roman"/>
      </w:rPr>
    </w:lvl>
    <w:lvl w:ilvl="3" w:tplc="E38E719E" w:tentative="1">
      <w:start w:val="1"/>
      <w:numFmt w:val="decimal"/>
      <w:lvlText w:val="%4."/>
      <w:lvlJc w:val="left"/>
      <w:pPr>
        <w:tabs>
          <w:tab w:val="num" w:pos="2880"/>
        </w:tabs>
        <w:ind w:left="2880" w:hanging="360"/>
      </w:pPr>
      <w:rPr>
        <w:rFonts w:cs="Times New Roman"/>
      </w:rPr>
    </w:lvl>
    <w:lvl w:ilvl="4" w:tplc="56F44B1C" w:tentative="1">
      <w:start w:val="1"/>
      <w:numFmt w:val="lowerLetter"/>
      <w:lvlText w:val="%5."/>
      <w:lvlJc w:val="left"/>
      <w:pPr>
        <w:tabs>
          <w:tab w:val="num" w:pos="3600"/>
        </w:tabs>
        <w:ind w:left="3600" w:hanging="360"/>
      </w:pPr>
      <w:rPr>
        <w:rFonts w:cs="Times New Roman"/>
      </w:rPr>
    </w:lvl>
    <w:lvl w:ilvl="5" w:tplc="E6BC51DC" w:tentative="1">
      <w:start w:val="1"/>
      <w:numFmt w:val="lowerRoman"/>
      <w:lvlText w:val="%6."/>
      <w:lvlJc w:val="right"/>
      <w:pPr>
        <w:tabs>
          <w:tab w:val="num" w:pos="4320"/>
        </w:tabs>
        <w:ind w:left="4320" w:hanging="180"/>
      </w:pPr>
      <w:rPr>
        <w:rFonts w:cs="Times New Roman"/>
      </w:rPr>
    </w:lvl>
    <w:lvl w:ilvl="6" w:tplc="BA828F1E" w:tentative="1">
      <w:start w:val="1"/>
      <w:numFmt w:val="decimal"/>
      <w:lvlText w:val="%7."/>
      <w:lvlJc w:val="left"/>
      <w:pPr>
        <w:tabs>
          <w:tab w:val="num" w:pos="5040"/>
        </w:tabs>
        <w:ind w:left="5040" w:hanging="360"/>
      </w:pPr>
      <w:rPr>
        <w:rFonts w:cs="Times New Roman"/>
      </w:rPr>
    </w:lvl>
    <w:lvl w:ilvl="7" w:tplc="FFF86CEE" w:tentative="1">
      <w:start w:val="1"/>
      <w:numFmt w:val="lowerLetter"/>
      <w:lvlText w:val="%8."/>
      <w:lvlJc w:val="left"/>
      <w:pPr>
        <w:tabs>
          <w:tab w:val="num" w:pos="5760"/>
        </w:tabs>
        <w:ind w:left="5760" w:hanging="360"/>
      </w:pPr>
      <w:rPr>
        <w:rFonts w:cs="Times New Roman"/>
      </w:rPr>
    </w:lvl>
    <w:lvl w:ilvl="8" w:tplc="7E866A0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672716A">
      <w:start w:val="1"/>
      <w:numFmt w:val="decimal"/>
      <w:lvlText w:val="%1."/>
      <w:lvlJc w:val="left"/>
      <w:pPr>
        <w:tabs>
          <w:tab w:val="num" w:pos="720"/>
        </w:tabs>
        <w:ind w:left="720" w:hanging="360"/>
      </w:pPr>
      <w:rPr>
        <w:rFonts w:cs="Times New Roman"/>
      </w:rPr>
    </w:lvl>
    <w:lvl w:ilvl="1" w:tplc="5F2CB29E" w:tentative="1">
      <w:start w:val="1"/>
      <w:numFmt w:val="lowerLetter"/>
      <w:lvlText w:val="%2."/>
      <w:lvlJc w:val="left"/>
      <w:pPr>
        <w:tabs>
          <w:tab w:val="num" w:pos="1440"/>
        </w:tabs>
        <w:ind w:left="1440" w:hanging="360"/>
      </w:pPr>
      <w:rPr>
        <w:rFonts w:cs="Times New Roman"/>
      </w:rPr>
    </w:lvl>
    <w:lvl w:ilvl="2" w:tplc="C9BE0538" w:tentative="1">
      <w:start w:val="1"/>
      <w:numFmt w:val="lowerRoman"/>
      <w:lvlText w:val="%3."/>
      <w:lvlJc w:val="right"/>
      <w:pPr>
        <w:tabs>
          <w:tab w:val="num" w:pos="2160"/>
        </w:tabs>
        <w:ind w:left="2160" w:hanging="180"/>
      </w:pPr>
      <w:rPr>
        <w:rFonts w:cs="Times New Roman"/>
      </w:rPr>
    </w:lvl>
    <w:lvl w:ilvl="3" w:tplc="AF9ECCA2" w:tentative="1">
      <w:start w:val="1"/>
      <w:numFmt w:val="decimal"/>
      <w:lvlText w:val="%4."/>
      <w:lvlJc w:val="left"/>
      <w:pPr>
        <w:tabs>
          <w:tab w:val="num" w:pos="2880"/>
        </w:tabs>
        <w:ind w:left="2880" w:hanging="360"/>
      </w:pPr>
      <w:rPr>
        <w:rFonts w:cs="Times New Roman"/>
      </w:rPr>
    </w:lvl>
    <w:lvl w:ilvl="4" w:tplc="16C6FEA2" w:tentative="1">
      <w:start w:val="1"/>
      <w:numFmt w:val="lowerLetter"/>
      <w:lvlText w:val="%5."/>
      <w:lvlJc w:val="left"/>
      <w:pPr>
        <w:tabs>
          <w:tab w:val="num" w:pos="3600"/>
        </w:tabs>
        <w:ind w:left="3600" w:hanging="360"/>
      </w:pPr>
      <w:rPr>
        <w:rFonts w:cs="Times New Roman"/>
      </w:rPr>
    </w:lvl>
    <w:lvl w:ilvl="5" w:tplc="1AC8C078" w:tentative="1">
      <w:start w:val="1"/>
      <w:numFmt w:val="lowerRoman"/>
      <w:lvlText w:val="%6."/>
      <w:lvlJc w:val="right"/>
      <w:pPr>
        <w:tabs>
          <w:tab w:val="num" w:pos="4320"/>
        </w:tabs>
        <w:ind w:left="4320" w:hanging="180"/>
      </w:pPr>
      <w:rPr>
        <w:rFonts w:cs="Times New Roman"/>
      </w:rPr>
    </w:lvl>
    <w:lvl w:ilvl="6" w:tplc="5C00C148" w:tentative="1">
      <w:start w:val="1"/>
      <w:numFmt w:val="decimal"/>
      <w:lvlText w:val="%7."/>
      <w:lvlJc w:val="left"/>
      <w:pPr>
        <w:tabs>
          <w:tab w:val="num" w:pos="5040"/>
        </w:tabs>
        <w:ind w:left="5040" w:hanging="360"/>
      </w:pPr>
      <w:rPr>
        <w:rFonts w:cs="Times New Roman"/>
      </w:rPr>
    </w:lvl>
    <w:lvl w:ilvl="7" w:tplc="63B0F326" w:tentative="1">
      <w:start w:val="1"/>
      <w:numFmt w:val="lowerLetter"/>
      <w:lvlText w:val="%8."/>
      <w:lvlJc w:val="left"/>
      <w:pPr>
        <w:tabs>
          <w:tab w:val="num" w:pos="5760"/>
        </w:tabs>
        <w:ind w:left="5760" w:hanging="360"/>
      </w:pPr>
      <w:rPr>
        <w:rFonts w:cs="Times New Roman"/>
      </w:rPr>
    </w:lvl>
    <w:lvl w:ilvl="8" w:tplc="BC4AF30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4560A24">
      <w:start w:val="1"/>
      <w:numFmt w:val="bullet"/>
      <w:lvlText w:val=""/>
      <w:lvlJc w:val="left"/>
      <w:pPr>
        <w:tabs>
          <w:tab w:val="num" w:pos="5760"/>
        </w:tabs>
        <w:ind w:left="5760" w:hanging="360"/>
      </w:pPr>
      <w:rPr>
        <w:rFonts w:ascii="Symbol" w:hAnsi="Symbol" w:hint="default"/>
        <w:color w:val="auto"/>
        <w:u w:val="none"/>
      </w:rPr>
    </w:lvl>
    <w:lvl w:ilvl="1" w:tplc="60E6B8C2" w:tentative="1">
      <w:start w:val="1"/>
      <w:numFmt w:val="bullet"/>
      <w:lvlText w:val="o"/>
      <w:lvlJc w:val="left"/>
      <w:pPr>
        <w:tabs>
          <w:tab w:val="num" w:pos="3600"/>
        </w:tabs>
        <w:ind w:left="3600" w:hanging="360"/>
      </w:pPr>
      <w:rPr>
        <w:rFonts w:ascii="Courier New" w:hAnsi="Courier New" w:hint="default"/>
      </w:rPr>
    </w:lvl>
    <w:lvl w:ilvl="2" w:tplc="9E967D2A" w:tentative="1">
      <w:start w:val="1"/>
      <w:numFmt w:val="bullet"/>
      <w:lvlText w:val=""/>
      <w:lvlJc w:val="left"/>
      <w:pPr>
        <w:tabs>
          <w:tab w:val="num" w:pos="4320"/>
        </w:tabs>
        <w:ind w:left="4320" w:hanging="360"/>
      </w:pPr>
      <w:rPr>
        <w:rFonts w:ascii="Wingdings" w:hAnsi="Wingdings" w:hint="default"/>
      </w:rPr>
    </w:lvl>
    <w:lvl w:ilvl="3" w:tplc="2222C66C">
      <w:start w:val="1"/>
      <w:numFmt w:val="bullet"/>
      <w:lvlText w:val=""/>
      <w:lvlJc w:val="left"/>
      <w:pPr>
        <w:tabs>
          <w:tab w:val="num" w:pos="5040"/>
        </w:tabs>
        <w:ind w:left="5040" w:hanging="360"/>
      </w:pPr>
      <w:rPr>
        <w:rFonts w:ascii="Symbol" w:hAnsi="Symbol" w:hint="default"/>
      </w:rPr>
    </w:lvl>
    <w:lvl w:ilvl="4" w:tplc="9154AD6A" w:tentative="1">
      <w:start w:val="1"/>
      <w:numFmt w:val="bullet"/>
      <w:lvlText w:val="o"/>
      <w:lvlJc w:val="left"/>
      <w:pPr>
        <w:tabs>
          <w:tab w:val="num" w:pos="5760"/>
        </w:tabs>
        <w:ind w:left="5760" w:hanging="360"/>
      </w:pPr>
      <w:rPr>
        <w:rFonts w:ascii="Courier New" w:hAnsi="Courier New" w:hint="default"/>
      </w:rPr>
    </w:lvl>
    <w:lvl w:ilvl="5" w:tplc="4BBCBD20" w:tentative="1">
      <w:start w:val="1"/>
      <w:numFmt w:val="bullet"/>
      <w:lvlText w:val=""/>
      <w:lvlJc w:val="left"/>
      <w:pPr>
        <w:tabs>
          <w:tab w:val="num" w:pos="6480"/>
        </w:tabs>
        <w:ind w:left="6480" w:hanging="360"/>
      </w:pPr>
      <w:rPr>
        <w:rFonts w:ascii="Wingdings" w:hAnsi="Wingdings" w:hint="default"/>
      </w:rPr>
    </w:lvl>
    <w:lvl w:ilvl="6" w:tplc="037E767E" w:tentative="1">
      <w:start w:val="1"/>
      <w:numFmt w:val="bullet"/>
      <w:lvlText w:val=""/>
      <w:lvlJc w:val="left"/>
      <w:pPr>
        <w:tabs>
          <w:tab w:val="num" w:pos="7200"/>
        </w:tabs>
        <w:ind w:left="7200" w:hanging="360"/>
      </w:pPr>
      <w:rPr>
        <w:rFonts w:ascii="Symbol" w:hAnsi="Symbol" w:hint="default"/>
      </w:rPr>
    </w:lvl>
    <w:lvl w:ilvl="7" w:tplc="553A0CBE" w:tentative="1">
      <w:start w:val="1"/>
      <w:numFmt w:val="bullet"/>
      <w:lvlText w:val="o"/>
      <w:lvlJc w:val="left"/>
      <w:pPr>
        <w:tabs>
          <w:tab w:val="num" w:pos="7920"/>
        </w:tabs>
        <w:ind w:left="7920" w:hanging="360"/>
      </w:pPr>
      <w:rPr>
        <w:rFonts w:ascii="Courier New" w:hAnsi="Courier New" w:hint="default"/>
      </w:rPr>
    </w:lvl>
    <w:lvl w:ilvl="8" w:tplc="15AA690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2FC8F2A">
      <w:start w:val="1"/>
      <w:numFmt w:val="decimal"/>
      <w:lvlText w:val="(%1)"/>
      <w:lvlJc w:val="left"/>
      <w:pPr>
        <w:tabs>
          <w:tab w:val="num" w:pos="2520"/>
        </w:tabs>
        <w:ind w:left="2520" w:hanging="720"/>
      </w:pPr>
      <w:rPr>
        <w:rFonts w:cs="Times New Roman" w:hint="default"/>
      </w:rPr>
    </w:lvl>
    <w:lvl w:ilvl="1" w:tplc="CC685AF0">
      <w:start w:val="1"/>
      <w:numFmt w:val="lowerRoman"/>
      <w:lvlText w:val="(%2)"/>
      <w:lvlJc w:val="left"/>
      <w:pPr>
        <w:tabs>
          <w:tab w:val="num" w:pos="1800"/>
        </w:tabs>
        <w:ind w:left="1800" w:hanging="720"/>
      </w:pPr>
      <w:rPr>
        <w:rFonts w:cs="Times New Roman" w:hint="default"/>
        <w:b w:val="0"/>
      </w:rPr>
    </w:lvl>
    <w:lvl w:ilvl="2" w:tplc="39FE4EF2">
      <w:start w:val="1"/>
      <w:numFmt w:val="decimal"/>
      <w:lvlText w:val="(%3)"/>
      <w:lvlJc w:val="right"/>
      <w:pPr>
        <w:tabs>
          <w:tab w:val="num" w:pos="2160"/>
        </w:tabs>
        <w:ind w:left="2160" w:hanging="180"/>
      </w:pPr>
      <w:rPr>
        <w:rFonts w:ascii="Times New Roman" w:eastAsia="Times New Roman" w:hAnsi="Times New Roman" w:cs="Times New Roman"/>
        <w:b w:val="0"/>
      </w:rPr>
    </w:lvl>
    <w:lvl w:ilvl="3" w:tplc="0D909714">
      <w:start w:val="1"/>
      <w:numFmt w:val="lowerRoman"/>
      <w:lvlText w:val="(%4)"/>
      <w:lvlJc w:val="left"/>
      <w:pPr>
        <w:tabs>
          <w:tab w:val="num" w:pos="2520"/>
        </w:tabs>
        <w:ind w:left="2880" w:hanging="360"/>
      </w:pPr>
      <w:rPr>
        <w:rFonts w:cs="Times New Roman" w:hint="default"/>
        <w:b w:val="0"/>
      </w:rPr>
    </w:lvl>
    <w:lvl w:ilvl="4" w:tplc="7C1A5646" w:tentative="1">
      <w:start w:val="1"/>
      <w:numFmt w:val="lowerLetter"/>
      <w:lvlText w:val="%5."/>
      <w:lvlJc w:val="left"/>
      <w:pPr>
        <w:tabs>
          <w:tab w:val="num" w:pos="3600"/>
        </w:tabs>
        <w:ind w:left="3600" w:hanging="360"/>
      </w:pPr>
      <w:rPr>
        <w:rFonts w:cs="Times New Roman"/>
      </w:rPr>
    </w:lvl>
    <w:lvl w:ilvl="5" w:tplc="14ECE278" w:tentative="1">
      <w:start w:val="1"/>
      <w:numFmt w:val="lowerRoman"/>
      <w:lvlText w:val="%6."/>
      <w:lvlJc w:val="right"/>
      <w:pPr>
        <w:tabs>
          <w:tab w:val="num" w:pos="4320"/>
        </w:tabs>
        <w:ind w:left="4320" w:hanging="180"/>
      </w:pPr>
      <w:rPr>
        <w:rFonts w:cs="Times New Roman"/>
      </w:rPr>
    </w:lvl>
    <w:lvl w:ilvl="6" w:tplc="D128AA40" w:tentative="1">
      <w:start w:val="1"/>
      <w:numFmt w:val="decimal"/>
      <w:lvlText w:val="%7."/>
      <w:lvlJc w:val="left"/>
      <w:pPr>
        <w:tabs>
          <w:tab w:val="num" w:pos="5040"/>
        </w:tabs>
        <w:ind w:left="5040" w:hanging="360"/>
      </w:pPr>
      <w:rPr>
        <w:rFonts w:cs="Times New Roman"/>
      </w:rPr>
    </w:lvl>
    <w:lvl w:ilvl="7" w:tplc="EE361058" w:tentative="1">
      <w:start w:val="1"/>
      <w:numFmt w:val="lowerLetter"/>
      <w:lvlText w:val="%8."/>
      <w:lvlJc w:val="left"/>
      <w:pPr>
        <w:tabs>
          <w:tab w:val="num" w:pos="5760"/>
        </w:tabs>
        <w:ind w:left="5760" w:hanging="360"/>
      </w:pPr>
      <w:rPr>
        <w:rFonts w:cs="Times New Roman"/>
      </w:rPr>
    </w:lvl>
    <w:lvl w:ilvl="8" w:tplc="5AD05E6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E68C1986">
      <w:start w:val="1"/>
      <w:numFmt w:val="bullet"/>
      <w:lvlText w:val=""/>
      <w:lvlJc w:val="left"/>
      <w:pPr>
        <w:tabs>
          <w:tab w:val="num" w:pos="720"/>
        </w:tabs>
        <w:ind w:left="720" w:hanging="360"/>
      </w:pPr>
      <w:rPr>
        <w:rFonts w:ascii="Symbol" w:hAnsi="Symbol" w:hint="default"/>
      </w:rPr>
    </w:lvl>
    <w:lvl w:ilvl="1" w:tplc="9C64526A" w:tentative="1">
      <w:start w:val="1"/>
      <w:numFmt w:val="bullet"/>
      <w:lvlText w:val="o"/>
      <w:lvlJc w:val="left"/>
      <w:pPr>
        <w:tabs>
          <w:tab w:val="num" w:pos="1440"/>
        </w:tabs>
        <w:ind w:left="1440" w:hanging="360"/>
      </w:pPr>
      <w:rPr>
        <w:rFonts w:ascii="Courier New" w:hAnsi="Courier New" w:hint="default"/>
      </w:rPr>
    </w:lvl>
    <w:lvl w:ilvl="2" w:tplc="4120C3F2" w:tentative="1">
      <w:start w:val="1"/>
      <w:numFmt w:val="bullet"/>
      <w:lvlText w:val=""/>
      <w:lvlJc w:val="left"/>
      <w:pPr>
        <w:tabs>
          <w:tab w:val="num" w:pos="2160"/>
        </w:tabs>
        <w:ind w:left="2160" w:hanging="360"/>
      </w:pPr>
      <w:rPr>
        <w:rFonts w:ascii="Wingdings" w:hAnsi="Wingdings" w:hint="default"/>
      </w:rPr>
    </w:lvl>
    <w:lvl w:ilvl="3" w:tplc="98AEDFFA" w:tentative="1">
      <w:start w:val="1"/>
      <w:numFmt w:val="bullet"/>
      <w:lvlText w:val=""/>
      <w:lvlJc w:val="left"/>
      <w:pPr>
        <w:tabs>
          <w:tab w:val="num" w:pos="2880"/>
        </w:tabs>
        <w:ind w:left="2880" w:hanging="360"/>
      </w:pPr>
      <w:rPr>
        <w:rFonts w:ascii="Symbol" w:hAnsi="Symbol" w:hint="default"/>
      </w:rPr>
    </w:lvl>
    <w:lvl w:ilvl="4" w:tplc="F720430A" w:tentative="1">
      <w:start w:val="1"/>
      <w:numFmt w:val="bullet"/>
      <w:lvlText w:val="o"/>
      <w:lvlJc w:val="left"/>
      <w:pPr>
        <w:tabs>
          <w:tab w:val="num" w:pos="3600"/>
        </w:tabs>
        <w:ind w:left="3600" w:hanging="360"/>
      </w:pPr>
      <w:rPr>
        <w:rFonts w:ascii="Courier New" w:hAnsi="Courier New" w:hint="default"/>
      </w:rPr>
    </w:lvl>
    <w:lvl w:ilvl="5" w:tplc="3C54BD84" w:tentative="1">
      <w:start w:val="1"/>
      <w:numFmt w:val="bullet"/>
      <w:lvlText w:val=""/>
      <w:lvlJc w:val="left"/>
      <w:pPr>
        <w:tabs>
          <w:tab w:val="num" w:pos="4320"/>
        </w:tabs>
        <w:ind w:left="4320" w:hanging="360"/>
      </w:pPr>
      <w:rPr>
        <w:rFonts w:ascii="Wingdings" w:hAnsi="Wingdings" w:hint="default"/>
      </w:rPr>
    </w:lvl>
    <w:lvl w:ilvl="6" w:tplc="E2103ED0" w:tentative="1">
      <w:start w:val="1"/>
      <w:numFmt w:val="bullet"/>
      <w:lvlText w:val=""/>
      <w:lvlJc w:val="left"/>
      <w:pPr>
        <w:tabs>
          <w:tab w:val="num" w:pos="5040"/>
        </w:tabs>
        <w:ind w:left="5040" w:hanging="360"/>
      </w:pPr>
      <w:rPr>
        <w:rFonts w:ascii="Symbol" w:hAnsi="Symbol" w:hint="default"/>
      </w:rPr>
    </w:lvl>
    <w:lvl w:ilvl="7" w:tplc="14FAF8D4" w:tentative="1">
      <w:start w:val="1"/>
      <w:numFmt w:val="bullet"/>
      <w:lvlText w:val="o"/>
      <w:lvlJc w:val="left"/>
      <w:pPr>
        <w:tabs>
          <w:tab w:val="num" w:pos="5760"/>
        </w:tabs>
        <w:ind w:left="5760" w:hanging="360"/>
      </w:pPr>
      <w:rPr>
        <w:rFonts w:ascii="Courier New" w:hAnsi="Courier New" w:hint="default"/>
      </w:rPr>
    </w:lvl>
    <w:lvl w:ilvl="8" w:tplc="92A06D06"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hideGrammaticalError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9F1BA7"/>
    <w:rsid w:val="008957C9"/>
    <w:rsid w:val="009F1BA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rsid w:val="009F1BA7"/>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rsid w:val="009F1BA7"/>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A1568E-CE0E-417C-AA49-7061350F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2784</Words>
  <Characters>15872</Characters>
  <Application>Microsoft Office Word</Application>
  <DocSecurity>4</DocSecurity>
  <Lines>132</Lines>
  <Paragraphs>37</Paragraphs>
  <ScaleCrop>false</ScaleCrop>
  <Company>NYISO</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2010-10-08T21:32:00Z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