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96" w:rsidRDefault="008C0134">
      <w:pPr>
        <w:pStyle w:val="Heading2"/>
        <w:rPr>
          <w:u w:val="double"/>
        </w:rPr>
      </w:pPr>
      <w:bookmarkStart w:id="0" w:name="_Toc261446175"/>
      <w:r>
        <w:t>5.14</w:t>
      </w:r>
      <w:r>
        <w:tab/>
        <w:t>Installed Capacity Spot Market Auction and Installed Capacity Supplier Deficiencies</w:t>
      </w:r>
      <w:bookmarkEnd w:id="0"/>
    </w:p>
    <w:p w:rsidR="009A6196" w:rsidRDefault="008C0134">
      <w:pPr>
        <w:pStyle w:val="Heading3"/>
      </w:pPr>
      <w:bookmarkStart w:id="1" w:name="_Toc261446176"/>
      <w:r>
        <w:t>5.14.1</w:t>
      </w:r>
      <w:r>
        <w:tab/>
        <w:t>LSE Participation in the ICAP Spot Market Auction</w:t>
      </w:r>
      <w:bookmarkEnd w:id="1"/>
    </w:p>
    <w:p w:rsidR="009A6196" w:rsidRDefault="008C0134">
      <w:pPr>
        <w:pStyle w:val="Heading4"/>
      </w:pPr>
      <w:bookmarkStart w:id="2" w:name="_Toc261446177"/>
      <w:r>
        <w:t>5.14.1.1</w:t>
      </w:r>
      <w:r>
        <w:tab/>
      </w:r>
      <w:r>
        <w:rPr>
          <w:rFonts w:ascii="Times New Roman Bold" w:hAnsi="Times New Roman Bold"/>
        </w:rPr>
        <w:t xml:space="preserve">ICAP Spot Market </w:t>
      </w:r>
      <w:r>
        <w:t>Auction</w:t>
      </w:r>
      <w:bookmarkEnd w:id="2"/>
    </w:p>
    <w:p w:rsidR="009A6196" w:rsidRDefault="008C0134">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LSE has in excess of its NYCA Minimum Unforced Capacity Requirement or Locational Minimum Unfor</w:t>
      </w:r>
      <w:r>
        <w:rPr>
          <w:color w:val="000000"/>
        </w:rPr>
        <w:t xml:space="preserve">ced Capacity Requirement, as applicable.  Unforced </w:t>
      </w:r>
      <w:r>
        <w:t>Capacity that will be exported from the New York Control Area during the month for which Unforced capacity is sold in an ICAP Sport Market Auction shall be certified to the NYISO by the certification deadl</w:t>
      </w:r>
      <w:r>
        <w:t>ine for that auction.</w:t>
      </w:r>
    </w:p>
    <w:p w:rsidR="009A6196" w:rsidRDefault="008C0134">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w:t>
      </w:r>
      <w:r>
        <w:rPr>
          <w:color w:val="000000"/>
        </w:rPr>
        <w:t>he start of each Obligation Procurement Period. The exact date of the ICAP Spot Market Auction shall be established in the ISO Procedures. All LSEs shall participate in the ICAP Spot Market Auction.  In the ICAP Spot Market Auction, the ISO shall submit mo</w:t>
      </w:r>
      <w:r>
        <w:rPr>
          <w:color w:val="000000"/>
        </w:rPr>
        <w:t xml:space="preserve">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accor</w:t>
      </w:r>
      <w:r>
        <w:rPr>
          <w:color w:val="000000"/>
        </w:rPr>
        <w:t>dance with the ISO Procedures.</w:t>
      </w:r>
    </w:p>
    <w:p w:rsidR="009A6196" w:rsidRDefault="008C0134">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w:t>
      </w:r>
      <w:r>
        <w:rPr>
          <w:color w:val="000000"/>
        </w:rPr>
        <w:t>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 ICA</w:t>
      </w:r>
      <w:r>
        <w:rPr>
          <w:color w:val="000000"/>
        </w:rPr>
        <w:t>P Spot Market Auction using the applicable ICAP Demand Curve.  The ISO shall pay Installed Capacity Suppliers that are selected to provide Unforced Capacity the Market</w:t>
      </w:r>
      <w:r>
        <w:rPr>
          <w:color w:val="000000"/>
        </w:rPr>
        <w:noBreakHyphen/>
        <w:t>Clearing Price determined in the ICAP Spot Market Auction using the applicable ICAP Dema</w:t>
      </w:r>
      <w:r>
        <w:rPr>
          <w:color w:val="000000"/>
        </w:rPr>
        <w:t>nd Curve.</w:t>
      </w:r>
    </w:p>
    <w:p w:rsidR="009A6196" w:rsidRDefault="008C0134">
      <w:pPr>
        <w:pStyle w:val="Heading4"/>
      </w:pPr>
      <w:bookmarkStart w:id="3" w:name="_Toc261446178"/>
      <w:r>
        <w:t>5.14.1.2</w:t>
      </w:r>
      <w:r>
        <w:tab/>
        <w:t>Demand Curve and Adjustments</w:t>
      </w:r>
      <w:bookmarkEnd w:id="3"/>
    </w:p>
    <w:p w:rsidR="009A6196" w:rsidRDefault="008C0134">
      <w:pPr>
        <w:pStyle w:val="Bodypara"/>
        <w:rPr>
          <w:u w:val="double"/>
        </w:rPr>
      </w:pPr>
      <w:r>
        <w:t xml:space="preserve">Three ICAP Demand Curves will be established:  one to determine the locational component of LSE Unforced Capacity Obligations for each of the two Localities, and one to </w:t>
      </w:r>
      <w:r>
        <w:rPr>
          <w:color w:val="000000"/>
        </w:rPr>
        <w:t>determine</w:t>
      </w:r>
      <w:r>
        <w:t xml:space="preserve"> the total LSE Unforced Capaci</w:t>
      </w:r>
      <w:r>
        <w:t>ty Obligations for all LSEs.  The ICAP Demand Curves for the 20</w:t>
      </w:r>
      <w:ins w:id="4" w:author="Unknown" w:date="2010-11-22T11:54:00Z">
        <w:r>
          <w:t>1</w:t>
        </w:r>
      </w:ins>
      <w:r>
        <w:t>0</w:t>
      </w:r>
      <w:del w:id="5" w:author="Unknown">
        <w:r>
          <w:delText>7</w:delText>
        </w:r>
      </w:del>
      <w:r>
        <w:t>/20</w:t>
      </w:r>
      <w:ins w:id="6" w:author="Unknown" w:date="2010-11-22T11:54:00Z">
        <w:r>
          <w:t>11</w:t>
        </w:r>
      </w:ins>
      <w:del w:id="7" w:author="Unknown">
        <w:r>
          <w:delText>08</w:delText>
        </w:r>
      </w:del>
      <w:r>
        <w:t>, 20</w:t>
      </w:r>
      <w:ins w:id="8" w:author="Unknown" w:date="2010-11-22T11:54:00Z">
        <w:r>
          <w:t>11</w:t>
        </w:r>
      </w:ins>
      <w:del w:id="9" w:author="Unknown">
        <w:r>
          <w:delText>08</w:delText>
        </w:r>
      </w:del>
      <w:r>
        <w:t>/20</w:t>
      </w:r>
      <w:ins w:id="10" w:author="Unknown" w:date="2010-11-22T11:55:00Z">
        <w:r>
          <w:t>12</w:t>
        </w:r>
      </w:ins>
      <w:del w:id="11" w:author="Unknown">
        <w:r>
          <w:delText>09</w:delText>
        </w:r>
      </w:del>
      <w:r>
        <w:t>, 20</w:t>
      </w:r>
      <w:ins w:id="12" w:author="Unknown" w:date="2010-11-22T11:55:00Z">
        <w:r>
          <w:t>12</w:t>
        </w:r>
      </w:ins>
      <w:del w:id="13" w:author="Unknown">
        <w:r>
          <w:delText>09</w:delText>
        </w:r>
      </w:del>
      <w:r>
        <w:t>/201</w:t>
      </w:r>
      <w:ins w:id="14" w:author="Unknown" w:date="2010-11-22T11:55:00Z">
        <w:r>
          <w:t>3</w:t>
        </w:r>
      </w:ins>
      <w:del w:id="15" w:author="Unknown">
        <w:r>
          <w:delText>0</w:delText>
        </w:r>
      </w:del>
      <w:r>
        <w:t>, and 201</w:t>
      </w:r>
      <w:ins w:id="16" w:author="Unknown" w:date="2010-11-22T11:55:00Z">
        <w:r>
          <w:t>3</w:t>
        </w:r>
      </w:ins>
      <w:del w:id="17" w:author="Unknown">
        <w:r>
          <w:delText>0</w:delText>
        </w:r>
      </w:del>
      <w:r>
        <w:t>/201</w:t>
      </w:r>
      <w:ins w:id="18" w:author="Unknown" w:date="2010-11-22T11:55:00Z">
        <w:r>
          <w:t>4</w:t>
        </w:r>
      </w:ins>
      <w:del w:id="19" w:author="Unknown">
        <w:r>
          <w:delText>1</w:delText>
        </w:r>
      </w:del>
      <w:r>
        <w:t xml:space="preserve"> Capability Years shall be established at the following points: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908"/>
        <w:gridCol w:w="1908"/>
        <w:gridCol w:w="1908"/>
        <w:gridCol w:w="1908"/>
      </w:tblGrid>
      <w:tr w:rsidR="009A6196">
        <w:tc>
          <w:tcPr>
            <w:tcW w:w="1908" w:type="dxa"/>
            <w:vAlign w:val="center"/>
          </w:tcPr>
          <w:p w:rsidR="009A6196" w:rsidRDefault="008C0134">
            <w:pPr>
              <w:tabs>
                <w:tab w:val="left" w:pos="1440"/>
                <w:tab w:val="left" w:pos="2160"/>
              </w:tabs>
            </w:pPr>
            <w:r>
              <w:t>Capability Year</w:t>
            </w:r>
          </w:p>
        </w:tc>
        <w:tc>
          <w:tcPr>
            <w:tcW w:w="1908" w:type="dxa"/>
          </w:tcPr>
          <w:p w:rsidR="009A6196" w:rsidRDefault="008C0134">
            <w:pPr>
              <w:tabs>
                <w:tab w:val="left" w:pos="1440"/>
                <w:tab w:val="left" w:pos="2160"/>
              </w:tabs>
              <w:jc w:val="center"/>
            </w:pPr>
            <w:r>
              <w:t>5/1/20</w:t>
            </w:r>
            <w:ins w:id="20" w:author="Unknown" w:date="2010-11-22T11:44:00Z">
              <w:r>
                <w:t>1</w:t>
              </w:r>
            </w:ins>
            <w:r>
              <w:t>0</w:t>
            </w:r>
            <w:del w:id="21" w:author="Unknown">
              <w:r>
                <w:delText>7</w:delText>
              </w:r>
            </w:del>
          </w:p>
          <w:p w:rsidR="009A6196" w:rsidRDefault="008C0134">
            <w:pPr>
              <w:tabs>
                <w:tab w:val="left" w:pos="1440"/>
                <w:tab w:val="left" w:pos="2160"/>
              </w:tabs>
              <w:jc w:val="center"/>
            </w:pPr>
            <w:r>
              <w:t>to</w:t>
            </w:r>
          </w:p>
          <w:p w:rsidR="009A6196" w:rsidRDefault="008C0134">
            <w:pPr>
              <w:tabs>
                <w:tab w:val="left" w:pos="1440"/>
                <w:tab w:val="left" w:pos="2160"/>
              </w:tabs>
              <w:jc w:val="center"/>
            </w:pPr>
            <w:r>
              <w:t>4/30/20</w:t>
            </w:r>
            <w:ins w:id="22" w:author="Unknown" w:date="2010-11-22T11:44:00Z">
              <w:r>
                <w:t>11</w:t>
              </w:r>
            </w:ins>
            <w:del w:id="23" w:author="Unknown">
              <w:r>
                <w:delText>08</w:delText>
              </w:r>
            </w:del>
          </w:p>
        </w:tc>
        <w:tc>
          <w:tcPr>
            <w:tcW w:w="1908" w:type="dxa"/>
          </w:tcPr>
          <w:p w:rsidR="009A6196" w:rsidRDefault="008C0134">
            <w:pPr>
              <w:tabs>
                <w:tab w:val="left" w:pos="1440"/>
                <w:tab w:val="left" w:pos="2160"/>
              </w:tabs>
              <w:jc w:val="center"/>
            </w:pPr>
            <w:r>
              <w:t>5/1/20</w:t>
            </w:r>
            <w:ins w:id="24" w:author="Unknown" w:date="2010-11-22T11:45:00Z">
              <w:r>
                <w:t>11</w:t>
              </w:r>
            </w:ins>
            <w:del w:id="25" w:author="Unknown">
              <w:r>
                <w:delText>08</w:delText>
              </w:r>
            </w:del>
          </w:p>
          <w:p w:rsidR="009A6196" w:rsidRDefault="008C0134">
            <w:pPr>
              <w:tabs>
                <w:tab w:val="left" w:pos="1440"/>
                <w:tab w:val="left" w:pos="2160"/>
              </w:tabs>
              <w:jc w:val="center"/>
            </w:pPr>
            <w:r>
              <w:t>to</w:t>
            </w:r>
          </w:p>
          <w:p w:rsidR="009A6196" w:rsidRDefault="008C0134">
            <w:pPr>
              <w:tabs>
                <w:tab w:val="left" w:pos="1440"/>
                <w:tab w:val="left" w:pos="2160"/>
              </w:tabs>
              <w:jc w:val="center"/>
            </w:pPr>
            <w:r>
              <w:t>4/30/20</w:t>
            </w:r>
            <w:ins w:id="26" w:author="Unknown" w:date="2010-11-22T11:45:00Z">
              <w:r>
                <w:t>12</w:t>
              </w:r>
            </w:ins>
            <w:del w:id="27" w:author="Unknown">
              <w:r>
                <w:delText>09</w:delText>
              </w:r>
            </w:del>
          </w:p>
        </w:tc>
        <w:tc>
          <w:tcPr>
            <w:tcW w:w="1908" w:type="dxa"/>
          </w:tcPr>
          <w:p w:rsidR="009A6196" w:rsidRDefault="008C0134">
            <w:pPr>
              <w:tabs>
                <w:tab w:val="left" w:pos="1440"/>
                <w:tab w:val="left" w:pos="2160"/>
              </w:tabs>
              <w:jc w:val="center"/>
            </w:pPr>
            <w:r>
              <w:t>5/1/2</w:t>
            </w:r>
            <w:r>
              <w:t>0</w:t>
            </w:r>
            <w:ins w:id="28" w:author="Unknown" w:date="2010-11-22T11:45:00Z">
              <w:r>
                <w:t>12</w:t>
              </w:r>
            </w:ins>
            <w:del w:id="29" w:author="Unknown">
              <w:r>
                <w:delText>09</w:delText>
              </w:r>
            </w:del>
          </w:p>
          <w:p w:rsidR="009A6196" w:rsidRDefault="008C0134">
            <w:pPr>
              <w:tabs>
                <w:tab w:val="left" w:pos="1440"/>
                <w:tab w:val="left" w:pos="2160"/>
              </w:tabs>
              <w:jc w:val="center"/>
            </w:pPr>
            <w:r>
              <w:t>to</w:t>
            </w:r>
          </w:p>
          <w:p w:rsidR="009A6196" w:rsidRDefault="008C0134">
            <w:pPr>
              <w:tabs>
                <w:tab w:val="left" w:pos="1440"/>
                <w:tab w:val="left" w:pos="2160"/>
              </w:tabs>
              <w:jc w:val="center"/>
            </w:pPr>
            <w:r>
              <w:t>4/30/201</w:t>
            </w:r>
            <w:ins w:id="30" w:author="Unknown" w:date="2010-11-22T11:45:00Z">
              <w:r>
                <w:t>3</w:t>
              </w:r>
            </w:ins>
            <w:del w:id="31" w:author="Unknown">
              <w:r>
                <w:delText>0</w:delText>
              </w:r>
            </w:del>
          </w:p>
        </w:tc>
        <w:tc>
          <w:tcPr>
            <w:tcW w:w="1908" w:type="dxa"/>
          </w:tcPr>
          <w:p w:rsidR="009A6196" w:rsidRDefault="008C0134">
            <w:pPr>
              <w:tabs>
                <w:tab w:val="left" w:pos="1440"/>
                <w:tab w:val="left" w:pos="2160"/>
              </w:tabs>
              <w:jc w:val="center"/>
            </w:pPr>
            <w:r>
              <w:t>5/1/201</w:t>
            </w:r>
            <w:ins w:id="32" w:author="Unknown" w:date="2010-11-22T11:45:00Z">
              <w:r>
                <w:t>3</w:t>
              </w:r>
            </w:ins>
            <w:del w:id="33" w:author="Unknown">
              <w:r>
                <w:delText>0</w:delText>
              </w:r>
            </w:del>
          </w:p>
          <w:p w:rsidR="009A6196" w:rsidRDefault="008C0134">
            <w:pPr>
              <w:tabs>
                <w:tab w:val="left" w:pos="1440"/>
                <w:tab w:val="left" w:pos="2160"/>
              </w:tabs>
              <w:jc w:val="center"/>
            </w:pPr>
            <w:r>
              <w:t>to</w:t>
            </w:r>
          </w:p>
          <w:p w:rsidR="009A6196" w:rsidRDefault="008C0134">
            <w:pPr>
              <w:tabs>
                <w:tab w:val="left" w:pos="1440"/>
                <w:tab w:val="left" w:pos="2160"/>
              </w:tabs>
              <w:jc w:val="center"/>
            </w:pPr>
            <w:r>
              <w:t>4/30/201</w:t>
            </w:r>
            <w:ins w:id="34" w:author="Unknown" w:date="2010-11-22T11:45:00Z">
              <w:r>
                <w:t>4</w:t>
              </w:r>
            </w:ins>
            <w:del w:id="35" w:author="Unknown">
              <w:r>
                <w:delText>1</w:delText>
              </w:r>
            </w:del>
          </w:p>
        </w:tc>
      </w:tr>
      <w:tr w:rsidR="009A6196">
        <w:tc>
          <w:tcPr>
            <w:tcW w:w="1908" w:type="dxa"/>
            <w:vAlign w:val="center"/>
          </w:tcPr>
          <w:p w:rsidR="009A6196" w:rsidRDefault="008C0134">
            <w:pPr>
              <w:tabs>
                <w:tab w:val="left" w:pos="1440"/>
                <w:tab w:val="left" w:pos="2160"/>
              </w:tabs>
              <w:spacing w:line="380" w:lineRule="exact"/>
            </w:pPr>
            <w:r>
              <w:t>NYCA</w:t>
            </w:r>
          </w:p>
        </w:tc>
        <w:tc>
          <w:tcPr>
            <w:tcW w:w="1908" w:type="dxa"/>
          </w:tcPr>
          <w:p w:rsidR="009A6196" w:rsidRDefault="008C0134">
            <w:pPr>
              <w:spacing w:line="380" w:lineRule="exact"/>
            </w:pPr>
            <w:r>
              <w:t>Max  @  $1</w:t>
            </w:r>
            <w:ins w:id="36" w:author="Unknown" w:date="2010-11-22T11:50:00Z">
              <w:r>
                <w:t>3.42</w:t>
              </w:r>
            </w:ins>
            <w:del w:id="37" w:author="Unknown">
              <w:r>
                <w:delText>1.54</w:delText>
              </w:r>
            </w:del>
          </w:p>
          <w:p w:rsidR="009A6196" w:rsidRDefault="008C0134">
            <w:pPr>
              <w:spacing w:line="380" w:lineRule="exact"/>
            </w:pPr>
            <w:r>
              <w:t>$</w:t>
            </w:r>
            <w:ins w:id="38" w:author="Unknown" w:date="2010-11-22T11:44:00Z">
              <w:r>
                <w:t>9.90</w:t>
              </w:r>
            </w:ins>
            <w:del w:id="39" w:author="Unknown">
              <w:r>
                <w:delText>7.30</w:delText>
              </w:r>
            </w:del>
            <w:r>
              <w:t xml:space="preserve"> @ 100%</w:t>
            </w:r>
          </w:p>
          <w:p w:rsidR="009A6196" w:rsidRDefault="008C0134">
            <w:pPr>
              <w:spacing w:line="380" w:lineRule="exact"/>
            </w:pPr>
            <w:r>
              <w:t>$0.00 @ 112%</w:t>
            </w:r>
          </w:p>
        </w:tc>
        <w:tc>
          <w:tcPr>
            <w:tcW w:w="1908" w:type="dxa"/>
          </w:tcPr>
          <w:p w:rsidR="009A6196" w:rsidRDefault="008C0134">
            <w:pPr>
              <w:spacing w:line="380" w:lineRule="exact"/>
            </w:pPr>
            <w:r>
              <w:t>Max  @  $1</w:t>
            </w:r>
            <w:ins w:id="40" w:author="Unknown" w:date="2010-11-22T11:52:00Z">
              <w:r>
                <w:t>4.65</w:t>
              </w:r>
            </w:ins>
            <w:del w:id="41" w:author="Unknown">
              <w:r>
                <w:delText>1.55</w:delText>
              </w:r>
            </w:del>
          </w:p>
          <w:p w:rsidR="009A6196" w:rsidRDefault="008C0134">
            <w:pPr>
              <w:spacing w:line="380" w:lineRule="exact"/>
            </w:pPr>
            <w:r>
              <w:t>$8.</w:t>
            </w:r>
            <w:ins w:id="42" w:author="Unknown" w:date="2010-11-22T11:52:00Z">
              <w:r>
                <w:t>86</w:t>
              </w:r>
            </w:ins>
            <w:del w:id="43" w:author="Unknown">
              <w:r>
                <w:delText>19</w:delText>
              </w:r>
            </w:del>
            <w:r>
              <w:t xml:space="preserve"> @ 100%</w:t>
            </w:r>
          </w:p>
          <w:p w:rsidR="009A6196" w:rsidRDefault="008C0134">
            <w:pPr>
              <w:spacing w:line="380" w:lineRule="exact"/>
            </w:pPr>
            <w:r>
              <w:t>$0.00 @ 112%</w:t>
            </w:r>
          </w:p>
        </w:tc>
        <w:tc>
          <w:tcPr>
            <w:tcW w:w="1908" w:type="dxa"/>
          </w:tcPr>
          <w:p w:rsidR="009A6196" w:rsidRDefault="008C0134">
            <w:pPr>
              <w:spacing w:line="380" w:lineRule="exact"/>
            </w:pPr>
            <w:r>
              <w:t>Max  @  $1</w:t>
            </w:r>
            <w:ins w:id="44" w:author="Unknown" w:date="2010-11-22T11:52:00Z">
              <w:r>
                <w:t>4.9</w:t>
              </w:r>
            </w:ins>
            <w:ins w:id="45" w:author="Unknown" w:date="2010-11-22T11:53:00Z">
              <w:r>
                <w:t>0</w:t>
              </w:r>
            </w:ins>
            <w:del w:id="46" w:author="Unknown">
              <w:r>
                <w:delText>2.45</w:delText>
              </w:r>
            </w:del>
          </w:p>
          <w:p w:rsidR="009A6196" w:rsidRDefault="008C0134">
            <w:pPr>
              <w:spacing w:line="380" w:lineRule="exact"/>
            </w:pPr>
            <w:r>
              <w:t>$9.</w:t>
            </w:r>
            <w:ins w:id="47" w:author="Unknown" w:date="2010-11-22T11:47:00Z">
              <w:r>
                <w:t>01</w:t>
              </w:r>
            </w:ins>
            <w:del w:id="48" w:author="Unknown">
              <w:r>
                <w:delText>13</w:delText>
              </w:r>
            </w:del>
            <w:r>
              <w:t xml:space="preserve"> @ 100%</w:t>
            </w:r>
          </w:p>
          <w:p w:rsidR="009A6196" w:rsidRDefault="008C0134">
            <w:pPr>
              <w:spacing w:line="380" w:lineRule="exact"/>
            </w:pPr>
            <w:r>
              <w:t>$0.00 @ 112%</w:t>
            </w:r>
          </w:p>
        </w:tc>
        <w:tc>
          <w:tcPr>
            <w:tcW w:w="1908" w:type="dxa"/>
          </w:tcPr>
          <w:p w:rsidR="009A6196" w:rsidRDefault="008C0134">
            <w:pPr>
              <w:spacing w:line="380" w:lineRule="exact"/>
            </w:pPr>
            <w:r>
              <w:t>Max  @  $1</w:t>
            </w:r>
            <w:ins w:id="49" w:author="Unknown" w:date="2010-11-22T11:52:00Z">
              <w:r>
                <w:t>5.16</w:t>
              </w:r>
            </w:ins>
            <w:del w:id="50" w:author="Unknown">
              <w:r>
                <w:delText>3.42</w:delText>
              </w:r>
            </w:del>
          </w:p>
          <w:p w:rsidR="009A6196" w:rsidRDefault="008C0134">
            <w:pPr>
              <w:spacing w:line="380" w:lineRule="exact"/>
            </w:pPr>
            <w:r>
              <w:t>$9.</w:t>
            </w:r>
            <w:ins w:id="51" w:author="Unknown" w:date="2010-11-22T11:48:00Z">
              <w:r>
                <w:t>17</w:t>
              </w:r>
            </w:ins>
            <w:del w:id="52" w:author="Unknown">
              <w:r>
                <w:delText>90</w:delText>
              </w:r>
            </w:del>
            <w:r>
              <w:t xml:space="preserve"> @ 100%</w:t>
            </w:r>
          </w:p>
          <w:p w:rsidR="009A6196" w:rsidRDefault="008C0134">
            <w:pPr>
              <w:spacing w:line="380" w:lineRule="exact"/>
            </w:pPr>
            <w:r>
              <w:t>$0.00 @ 112%</w:t>
            </w:r>
          </w:p>
        </w:tc>
      </w:tr>
      <w:tr w:rsidR="009A6196">
        <w:tc>
          <w:tcPr>
            <w:tcW w:w="1908" w:type="dxa"/>
            <w:vAlign w:val="center"/>
          </w:tcPr>
          <w:p w:rsidR="009A6196" w:rsidRDefault="008C0134">
            <w:pPr>
              <w:tabs>
                <w:tab w:val="left" w:pos="1440"/>
                <w:tab w:val="left" w:pos="2160"/>
              </w:tabs>
              <w:spacing w:line="380" w:lineRule="exact"/>
            </w:pPr>
            <w:r>
              <w:t>NYC</w:t>
            </w:r>
          </w:p>
        </w:tc>
        <w:tc>
          <w:tcPr>
            <w:tcW w:w="1908" w:type="dxa"/>
          </w:tcPr>
          <w:p w:rsidR="009A6196" w:rsidRDefault="008C0134">
            <w:pPr>
              <w:pStyle w:val="Header"/>
              <w:spacing w:line="380" w:lineRule="exact"/>
            </w:pPr>
            <w:r>
              <w:t xml:space="preserve">Max  @  </w:t>
            </w:r>
            <w:r>
              <w:lastRenderedPageBreak/>
              <w:t>$2</w:t>
            </w:r>
            <w:ins w:id="53" w:author="Unknown" w:date="2010-11-22T11:44:00Z">
              <w:r>
                <w:t>7.32</w:t>
              </w:r>
            </w:ins>
            <w:del w:id="54" w:author="Unknown">
              <w:r>
                <w:delText>3.34</w:delText>
              </w:r>
            </w:del>
          </w:p>
          <w:p w:rsidR="009A6196" w:rsidRDefault="008C0134">
            <w:pPr>
              <w:pStyle w:val="Header"/>
              <w:spacing w:line="380" w:lineRule="exact"/>
            </w:pPr>
            <w:r>
              <w:t>$1</w:t>
            </w:r>
            <w:ins w:id="55" w:author="Unknown" w:date="2010-11-22T11:51:00Z">
              <w:r>
                <w:t>5.99</w:t>
              </w:r>
            </w:ins>
            <w:del w:id="56" w:author="Unknown">
              <w:r>
                <w:delText>4.77</w:delText>
              </w:r>
            </w:del>
            <w:r>
              <w:t xml:space="preserve"> @ 100%</w:t>
            </w:r>
          </w:p>
          <w:p w:rsidR="009A6196" w:rsidRDefault="008C0134">
            <w:pPr>
              <w:spacing w:line="380" w:lineRule="exact"/>
            </w:pPr>
            <w:r>
              <w:t>$0.00 @ 118%</w:t>
            </w:r>
          </w:p>
        </w:tc>
        <w:tc>
          <w:tcPr>
            <w:tcW w:w="1908" w:type="dxa"/>
          </w:tcPr>
          <w:p w:rsidR="009A6196" w:rsidRDefault="008C0134">
            <w:pPr>
              <w:spacing w:line="380" w:lineRule="exact"/>
            </w:pPr>
            <w:r>
              <w:lastRenderedPageBreak/>
              <w:t xml:space="preserve">Max  @  </w:t>
            </w:r>
            <w:r>
              <w:lastRenderedPageBreak/>
              <w:t>$</w:t>
            </w:r>
            <w:ins w:id="57" w:author="Unknown" w:date="2010-11-22T11:46:00Z">
              <w:r>
                <w:t>32.36</w:t>
              </w:r>
            </w:ins>
            <w:del w:id="58" w:author="Unknown">
              <w:r>
                <w:delText>23.51</w:delText>
              </w:r>
            </w:del>
          </w:p>
          <w:p w:rsidR="009A6196" w:rsidRDefault="008C0134">
            <w:pPr>
              <w:spacing w:line="380" w:lineRule="exact"/>
            </w:pPr>
            <w:r>
              <w:t>$1</w:t>
            </w:r>
            <w:ins w:id="59" w:author="Unknown" w:date="2010-11-22T11:51:00Z">
              <w:r>
                <w:t>6.91</w:t>
              </w:r>
            </w:ins>
            <w:del w:id="60" w:author="Unknown">
              <w:r>
                <w:delText>3.36</w:delText>
              </w:r>
            </w:del>
            <w:r>
              <w:t xml:space="preserve"> @ 100%</w:t>
            </w:r>
          </w:p>
          <w:p w:rsidR="009A6196" w:rsidRDefault="008C0134">
            <w:pPr>
              <w:spacing w:line="380" w:lineRule="exact"/>
            </w:pPr>
            <w:r>
              <w:t>$0.00 @ 118%</w:t>
            </w:r>
          </w:p>
        </w:tc>
        <w:tc>
          <w:tcPr>
            <w:tcW w:w="1908" w:type="dxa"/>
          </w:tcPr>
          <w:p w:rsidR="009A6196" w:rsidRDefault="008C0134">
            <w:pPr>
              <w:spacing w:line="380" w:lineRule="exact"/>
            </w:pPr>
            <w:r>
              <w:lastRenderedPageBreak/>
              <w:t xml:space="preserve">Max  @  </w:t>
            </w:r>
            <w:r>
              <w:lastRenderedPageBreak/>
              <w:t>$</w:t>
            </w:r>
            <w:ins w:id="61" w:author="Unknown" w:date="2010-11-22T11:47:00Z">
              <w:r>
                <w:t>32.91</w:t>
              </w:r>
            </w:ins>
            <w:del w:id="62" w:author="Unknown">
              <w:r>
                <w:delText>25.34</w:delText>
              </w:r>
            </w:del>
          </w:p>
          <w:p w:rsidR="009A6196" w:rsidRDefault="008C0134">
            <w:pPr>
              <w:spacing w:line="380" w:lineRule="exact"/>
            </w:pPr>
            <w:r>
              <w:t>$1</w:t>
            </w:r>
            <w:ins w:id="63" w:author="Unknown" w:date="2010-11-22T11:54:00Z">
              <w:r>
                <w:t>7.20</w:t>
              </w:r>
            </w:ins>
            <w:del w:id="64" w:author="Unknown">
              <w:r>
                <w:delText>4.40</w:delText>
              </w:r>
            </w:del>
            <w:r>
              <w:t xml:space="preserve"> @ 100%</w:t>
            </w:r>
          </w:p>
          <w:p w:rsidR="009A6196" w:rsidRDefault="008C0134">
            <w:pPr>
              <w:spacing w:line="380" w:lineRule="exact"/>
            </w:pPr>
            <w:r>
              <w:t>$0.00 @ 118%</w:t>
            </w:r>
          </w:p>
        </w:tc>
        <w:tc>
          <w:tcPr>
            <w:tcW w:w="1908" w:type="dxa"/>
          </w:tcPr>
          <w:p w:rsidR="009A6196" w:rsidRDefault="008C0134">
            <w:pPr>
              <w:pStyle w:val="Header"/>
              <w:spacing w:line="380" w:lineRule="exact"/>
            </w:pPr>
            <w:r>
              <w:lastRenderedPageBreak/>
              <w:t xml:space="preserve">Max  @  </w:t>
            </w:r>
            <w:r>
              <w:lastRenderedPageBreak/>
              <w:t>$</w:t>
            </w:r>
            <w:ins w:id="65" w:author="Unknown" w:date="2010-11-22T11:49:00Z">
              <w:r>
                <w:t>33.47</w:t>
              </w:r>
            </w:ins>
            <w:del w:id="66" w:author="Unknown">
              <w:r>
                <w:delText>27.32</w:delText>
              </w:r>
            </w:del>
          </w:p>
          <w:p w:rsidR="009A6196" w:rsidRDefault="008C0134">
            <w:pPr>
              <w:pStyle w:val="Header"/>
              <w:spacing w:line="380" w:lineRule="exact"/>
            </w:pPr>
            <w:r>
              <w:t>$1</w:t>
            </w:r>
            <w:ins w:id="67" w:author="Unknown" w:date="2010-11-22T11:52:00Z">
              <w:r>
                <w:t>7.49</w:t>
              </w:r>
            </w:ins>
            <w:del w:id="68" w:author="Unknown">
              <w:r>
                <w:delText>5.99</w:delText>
              </w:r>
            </w:del>
            <w:r>
              <w:t xml:space="preserve"> @ 100%</w:t>
            </w:r>
          </w:p>
          <w:p w:rsidR="009A6196" w:rsidRDefault="008C0134">
            <w:pPr>
              <w:spacing w:line="380" w:lineRule="exact"/>
            </w:pPr>
            <w:r>
              <w:t>$0.00 @ 118%</w:t>
            </w:r>
          </w:p>
        </w:tc>
      </w:tr>
      <w:tr w:rsidR="009A6196">
        <w:tc>
          <w:tcPr>
            <w:tcW w:w="1908" w:type="dxa"/>
            <w:vAlign w:val="center"/>
          </w:tcPr>
          <w:p w:rsidR="009A6196" w:rsidRDefault="008C0134">
            <w:pPr>
              <w:tabs>
                <w:tab w:val="left" w:pos="1440"/>
                <w:tab w:val="left" w:pos="2160"/>
              </w:tabs>
              <w:spacing w:line="380" w:lineRule="exact"/>
            </w:pPr>
            <w:r>
              <w:lastRenderedPageBreak/>
              <w:t>LI</w:t>
            </w:r>
          </w:p>
        </w:tc>
        <w:tc>
          <w:tcPr>
            <w:tcW w:w="1908" w:type="dxa"/>
          </w:tcPr>
          <w:p w:rsidR="009A6196" w:rsidRDefault="008C0134">
            <w:pPr>
              <w:spacing w:line="380" w:lineRule="exact"/>
            </w:pPr>
            <w:r>
              <w:t>Max  @  $2</w:t>
            </w:r>
            <w:ins w:id="69" w:author="Unknown" w:date="2010-11-22T11:44:00Z">
              <w:r>
                <w:t>4.25</w:t>
              </w:r>
            </w:ins>
            <w:del w:id="70" w:author="Unknown">
              <w:r>
                <w:delText>0.55</w:delText>
              </w:r>
            </w:del>
          </w:p>
          <w:p w:rsidR="009A6196" w:rsidRDefault="008C0134">
            <w:pPr>
              <w:spacing w:line="380" w:lineRule="exact"/>
            </w:pPr>
            <w:r>
              <w:t>$</w:t>
            </w:r>
            <w:ins w:id="71" w:author="Unknown" w:date="2010-11-22T11:45:00Z">
              <w:r>
                <w:t>8.69</w:t>
              </w:r>
            </w:ins>
            <w:del w:id="72" w:author="Unknown">
              <w:r>
                <w:delText>13.52</w:delText>
              </w:r>
            </w:del>
            <w:r>
              <w:t xml:space="preserve"> @ 100%</w:t>
            </w:r>
          </w:p>
          <w:p w:rsidR="009A6196" w:rsidRDefault="008C0134">
            <w:pPr>
              <w:spacing w:line="380" w:lineRule="exact"/>
            </w:pPr>
            <w:r>
              <w:t>$0.00 @ 118%</w:t>
            </w:r>
          </w:p>
        </w:tc>
        <w:tc>
          <w:tcPr>
            <w:tcW w:w="1908" w:type="dxa"/>
          </w:tcPr>
          <w:p w:rsidR="009A6196" w:rsidRDefault="008C0134">
            <w:pPr>
              <w:spacing w:line="380" w:lineRule="exact"/>
            </w:pPr>
            <w:r>
              <w:t xml:space="preserve">Max  @  </w:t>
            </w:r>
            <w:r>
              <w:t>$2</w:t>
            </w:r>
            <w:ins w:id="73" w:author="Unknown" w:date="2010-11-22T11:51:00Z">
              <w:r>
                <w:t>9.43</w:t>
              </w:r>
            </w:ins>
            <w:del w:id="74" w:author="Unknown">
              <w:r>
                <w:delText>0.87</w:delText>
              </w:r>
            </w:del>
          </w:p>
          <w:p w:rsidR="009A6196" w:rsidRDefault="008C0134">
            <w:pPr>
              <w:spacing w:line="380" w:lineRule="exact"/>
            </w:pPr>
            <w:r>
              <w:t>$</w:t>
            </w:r>
            <w:ins w:id="75" w:author="Unknown" w:date="2010-11-22T11:47:00Z">
              <w:r>
                <w:t>6.31</w:t>
              </w:r>
            </w:ins>
            <w:del w:id="76" w:author="Unknown">
              <w:r>
                <w:delText>7.48</w:delText>
              </w:r>
            </w:del>
            <w:r>
              <w:t xml:space="preserve"> @ 100%</w:t>
            </w:r>
          </w:p>
          <w:p w:rsidR="009A6196" w:rsidRDefault="008C0134">
            <w:pPr>
              <w:spacing w:line="380" w:lineRule="exact"/>
            </w:pPr>
            <w:r>
              <w:t>$0.00 @ 118%</w:t>
            </w:r>
          </w:p>
        </w:tc>
        <w:tc>
          <w:tcPr>
            <w:tcW w:w="1908" w:type="dxa"/>
          </w:tcPr>
          <w:p w:rsidR="009A6196" w:rsidRDefault="008C0134">
            <w:pPr>
              <w:spacing w:line="380" w:lineRule="exact"/>
            </w:pPr>
            <w:r>
              <w:t>Max  @  $2</w:t>
            </w:r>
            <w:ins w:id="77" w:author="Unknown" w:date="2010-11-22T11:48:00Z">
              <w:r>
                <w:t>9.93</w:t>
              </w:r>
            </w:ins>
            <w:del w:id="78" w:author="Unknown">
              <w:r>
                <w:delText>2.50</w:delText>
              </w:r>
            </w:del>
          </w:p>
          <w:p w:rsidR="009A6196" w:rsidRDefault="008C0134">
            <w:pPr>
              <w:spacing w:line="380" w:lineRule="exact"/>
            </w:pPr>
            <w:r>
              <w:t>$</w:t>
            </w:r>
            <w:ins w:id="79" w:author="Unknown" w:date="2010-11-22T11:48:00Z">
              <w:r>
                <w:t>6.42</w:t>
              </w:r>
            </w:ins>
            <w:del w:id="80" w:author="Unknown">
              <w:r>
                <w:delText>8.06</w:delText>
              </w:r>
            </w:del>
            <w:r>
              <w:t xml:space="preserve"> @ 100%</w:t>
            </w:r>
          </w:p>
          <w:p w:rsidR="009A6196" w:rsidRDefault="008C0134">
            <w:pPr>
              <w:spacing w:line="380" w:lineRule="exact"/>
            </w:pPr>
            <w:r>
              <w:t>$0.00 @ 118%</w:t>
            </w:r>
          </w:p>
        </w:tc>
        <w:tc>
          <w:tcPr>
            <w:tcW w:w="1908" w:type="dxa"/>
          </w:tcPr>
          <w:p w:rsidR="009A6196" w:rsidRDefault="008C0134">
            <w:pPr>
              <w:spacing w:line="380" w:lineRule="exact"/>
            </w:pPr>
            <w:r>
              <w:t>Max  @  $</w:t>
            </w:r>
            <w:ins w:id="81" w:author="Unknown" w:date="2010-11-22T11:49:00Z">
              <w:r>
                <w:t>30.43</w:t>
              </w:r>
            </w:ins>
            <w:del w:id="82" w:author="Unknown">
              <w:r>
                <w:delText>24.25</w:delText>
              </w:r>
            </w:del>
          </w:p>
          <w:p w:rsidR="009A6196" w:rsidRDefault="008C0134">
            <w:pPr>
              <w:spacing w:line="380" w:lineRule="exact"/>
            </w:pPr>
            <w:r>
              <w:t>$</w:t>
            </w:r>
            <w:ins w:id="83" w:author="Unknown" w:date="2010-11-22T11:49:00Z">
              <w:r>
                <w:t>6.52</w:t>
              </w:r>
            </w:ins>
            <w:del w:id="84" w:author="Unknown">
              <w:r>
                <w:delText>8.69</w:delText>
              </w:r>
            </w:del>
            <w:r>
              <w:t xml:space="preserve"> @ 100%</w:t>
            </w:r>
          </w:p>
          <w:p w:rsidR="009A6196" w:rsidRDefault="008C0134">
            <w:pPr>
              <w:spacing w:line="380" w:lineRule="exact"/>
            </w:pPr>
            <w:r>
              <w:t>$0.00 @ 118%</w:t>
            </w:r>
          </w:p>
        </w:tc>
      </w:tr>
      <w:tr w:rsidR="009A6196">
        <w:trPr>
          <w:cantSplit/>
        </w:trPr>
        <w:tc>
          <w:tcPr>
            <w:tcW w:w="9540" w:type="dxa"/>
            <w:gridSpan w:val="5"/>
          </w:tcPr>
          <w:p w:rsidR="009A6196" w:rsidRDefault="008C0134">
            <w:pPr>
              <w:tabs>
                <w:tab w:val="left" w:pos="1440"/>
                <w:tab w:val="left" w:pos="2160"/>
              </w:tabs>
              <w:spacing w:before="100" w:beforeAutospacing="1" w:after="100" w:afterAutospacing="1"/>
            </w:pPr>
            <w:r>
              <w:t xml:space="preserve">NOTE:  All dollar figures are in terms of $/kW-month of ICAP and all percentages are in terms of the applicable </w:t>
            </w:r>
            <w:r>
              <w:t>NYCA Minimum Installed Capacity Requirement and Locational Minimum Installed Capacity Requirement.  The defined points describe a line segment with a negative slope that will result in higher values for percentages less than 100% of the NYCA Minimum Instal</w:t>
            </w:r>
            <w:r>
              <w:t xml:space="preserve">led Capacity Requirement or the Locational Installed Capacity Requirement with the maximum value for each ICAP Demand Curve established at </w:t>
            </w:r>
            <w:r w:rsidR="009A6196">
              <w:t>1.5</w:t>
            </w:r>
            <w:r>
              <w:t xml:space="preserve"> times the estimated localized levelized cost per kW-month to develop a new peaking unit in each Locality or in Re</w:t>
            </w:r>
            <w:r>
              <w:t>st of State, as applicable.</w:t>
            </w:r>
          </w:p>
        </w:tc>
      </w:tr>
    </w:tbl>
    <w:p w:rsidR="009A6196" w:rsidRDefault="009A6196">
      <w:pPr>
        <w:pStyle w:val="Bodypara"/>
      </w:pPr>
    </w:p>
    <w:p w:rsidR="009A6196" w:rsidRDefault="008C0134">
      <w:pPr>
        <w:pStyle w:val="Bodypara"/>
      </w:pPr>
      <w:r>
        <w:t>In subsequent years, the costs assigned to the NYCA</w:t>
      </w:r>
      <w:r>
        <w:t xml:space="preserve"> Minimum Installed Capacity Requirement and the Locational Minimum Installed Capacity Requirement by the ICAP Demand Curves will be defined by the results of the independent review conducted pursuant to this section.  The ICAP Demand Curves will be transla</w:t>
      </w:r>
      <w:r>
        <w:t>ted into Unforced Capacity terms in accordance with the ISO Procedures.</w:t>
      </w:r>
    </w:p>
    <w:p w:rsidR="009A6196" w:rsidRDefault="008C0134">
      <w:pPr>
        <w:pStyle w:val="Bodypara"/>
      </w:pPr>
      <w:r>
        <w:t>A periodic review of the ICAP Demand Curves shall be performed every three (3) years in accordance with the ISO Procedures to determine the parameters of the ICAP Demand Curves for the</w:t>
      </w:r>
      <w:r>
        <w:t xml:space="preserve"> next three Capability Years.  The periodic review shall assess:  (i) the current localized levelized embedded cost of a peaking unit in each NYCA Locality and the Rest of State to meet minimum capacity requirements; (ii) the likely projected annual Energy</w:t>
      </w:r>
      <w:r>
        <w:t xml:space="preserve"> and Ancillary Services revenues of the peaking unit over the period covered by the adjusted ICAP Demand Curves, net of the costs of producing such Energy and Ancillary Services, under conditions in which the available capacity would equal or slightly exce</w:t>
      </w:r>
      <w:r>
        <w:t>ed the minimum Installed Capacity requirement; (iii) the appropriate shape and slope of the ICAP Demand Curves, and the associated point at which the dollar value of the ICAP Demand Curves should decline to zero; and (iv) the appropriate translation of the</w:t>
      </w:r>
      <w:r>
        <w:t xml:space="preserve"> annual net revenue requirement of the peaking unit determined from the factors specified above, into monthly values that take into account seasonal differences in the amount of capacity available in the ICAP Spot Market Auctions.  For purposes of this rev</w:t>
      </w:r>
      <w:r>
        <w:t>iew, a peaking unit is defined as the unit with technology that results in the lowest fixed costs and highest variable costs among all other units’ technology that are economically viable.</w:t>
      </w:r>
    </w:p>
    <w:p w:rsidR="009A6196" w:rsidRDefault="008C0134">
      <w:pPr>
        <w:pStyle w:val="Bodypara"/>
      </w:pPr>
      <w:r>
        <w:t>The periodic review shall be conducted in accordance with the sched</w:t>
      </w:r>
      <w:r>
        <w:t>ule and procedures specified in the ISO Procedures.  A proposed schedule will be reviewed with the stakeholders not later than May 30 of the year prior to the year of the filing specified in (xi) below.  The schedule and procedures shall provide for:</w:t>
      </w:r>
    </w:p>
    <w:p w:rsidR="009A6196" w:rsidRDefault="008C0134">
      <w:pPr>
        <w:pStyle w:val="romannumeralpara"/>
      </w:pPr>
      <w:r>
        <w:t>5.14.</w:t>
      </w:r>
      <w:r>
        <w:t>1.2.1</w:t>
      </w:r>
      <w:r>
        <w:tab/>
        <w:t>ISO development, with stakeholder review and comment, of a request for proposals to provide independent consulting services to determine recommended values for the factors specified above, and appropriate methodologies for such determination;</w:t>
      </w:r>
    </w:p>
    <w:p w:rsidR="009A6196" w:rsidRDefault="008C0134">
      <w:pPr>
        <w:pStyle w:val="romannumeralpara"/>
      </w:pPr>
      <w:r>
        <w:t>5.14.1.</w:t>
      </w:r>
      <w:r>
        <w:t>2.2</w:t>
      </w:r>
      <w:r>
        <w:tab/>
        <w:t>Selection of an independent consultant in accordance with the request for proposals;</w:t>
      </w:r>
    </w:p>
    <w:p w:rsidR="009A6196" w:rsidRDefault="008C0134">
      <w:pPr>
        <w:pStyle w:val="romannumeralpara"/>
      </w:pPr>
      <w:r>
        <w:t>5.14.1.2.3</w:t>
      </w:r>
      <w:r>
        <w:tab/>
        <w:t>Submission to the ISO and the stakeholders of a draft report from the independent consultant on the independent consultant’s determination of recommended va</w:t>
      </w:r>
      <w:r>
        <w:t>lues for the factors specified above;</w:t>
      </w:r>
    </w:p>
    <w:p w:rsidR="009A6196" w:rsidRDefault="008C0134">
      <w:pPr>
        <w:pStyle w:val="romannumeralpara"/>
      </w:pPr>
      <w:r>
        <w:t>5.14.1.2.4</w:t>
      </w:r>
      <w:r>
        <w:tab/>
        <w:t>Stakeholder review of and comment on the data, assumptions and conclusions in the independent consultant’s draft report, with participation by the responsible person or persons providing the consulting servi</w:t>
      </w:r>
      <w:r>
        <w:t>ces;</w:t>
      </w:r>
    </w:p>
    <w:p w:rsidR="009A6196" w:rsidRDefault="008C0134">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 xml:space="preserve">the responsibilities of the Market Monitoring Unit that </w:t>
      </w:r>
      <w:r>
        <w:rPr>
          <w:color w:val="000000"/>
        </w:rPr>
        <w:t>are addressed in this section of the Services Tariff are also addressed in Section 30.4.6.3.1 of Attachment O</w:t>
      </w:r>
      <w:r>
        <w:t>;</w:t>
      </w:r>
    </w:p>
    <w:p w:rsidR="009A6196" w:rsidRDefault="008C0134">
      <w:pPr>
        <w:pStyle w:val="romannumeralpara"/>
      </w:pPr>
      <w:r>
        <w:t>5.14.1.2.6</w:t>
      </w:r>
      <w:r>
        <w:tab/>
        <w:t>Issuance by the independent consultant of a final report;</w:t>
      </w:r>
    </w:p>
    <w:p w:rsidR="009A6196" w:rsidRDefault="008C0134">
      <w:pPr>
        <w:pStyle w:val="romannumeralpara"/>
      </w:pPr>
      <w:r>
        <w:t>5.14.1.2.7</w:t>
      </w:r>
      <w:r>
        <w:tab/>
        <w:t>Issuance of a draft of the ISO’s recommended adjustments to the I</w:t>
      </w:r>
      <w:r>
        <w:t>CAP Demand Curves for stakeholder review and comment;</w:t>
      </w:r>
    </w:p>
    <w:p w:rsidR="009A6196" w:rsidRDefault="008C0134">
      <w:pPr>
        <w:pStyle w:val="romannumeralpara"/>
      </w:pPr>
      <w:r>
        <w:t>5.14.1.2.8</w:t>
      </w:r>
      <w:r>
        <w:tab/>
        <w:t>Issuance of the ISO’s proposed ICAP Demand Curves, taking into account the report of the independent consultant, the recommendations of the Market Monitoring Unit, and the views of the stakeh</w:t>
      </w:r>
      <w:r>
        <w:t xml:space="preserve">olders </w:t>
      </w:r>
      <w:r>
        <w:rPr>
          <w:color w:val="000000"/>
        </w:rPr>
        <w:t>together with the rationale for accepting or rejecting any such inputs</w:t>
      </w:r>
      <w:r>
        <w:t>;</w:t>
      </w:r>
    </w:p>
    <w:p w:rsidR="009A6196" w:rsidRDefault="008C0134">
      <w:pPr>
        <w:pStyle w:val="romannumeralpara"/>
      </w:pPr>
      <w:r>
        <w:t>5.14.1.2.9</w:t>
      </w:r>
      <w:r>
        <w:tab/>
        <w:t>Submission of stakeholder requests for the ISO Board of Directors to review and adjust the ISO’s proposed ICAP Demand Curves;</w:t>
      </w:r>
    </w:p>
    <w:p w:rsidR="009A6196" w:rsidRDefault="008C0134">
      <w:pPr>
        <w:pStyle w:val="romannumeralpara"/>
      </w:pPr>
      <w:r>
        <w:t>5.14.1.2.10</w:t>
      </w:r>
      <w:r>
        <w:tab/>
        <w:t>Presentations to the ISO Boa</w:t>
      </w:r>
      <w:r>
        <w:t>rd of Directors of stakeholder views on the ISO’s proposed ICAP Demand Curves; and</w:t>
      </w:r>
    </w:p>
    <w:p w:rsidR="009A6196" w:rsidRDefault="008C0134">
      <w:pPr>
        <w:pStyle w:val="romannumeralpara"/>
      </w:pPr>
      <w:r>
        <w:t>5.14.1.2.11</w:t>
      </w:r>
      <w:r>
        <w:tab/>
        <w:t>Filing with the Commission of ICAP Demand Curves as approved by the ISO Board of Directors incorporating the results of the periodic review, such filing to be ma</w:t>
      </w:r>
      <w:r>
        <w:t>de not later than November 30 of the year prior to the year that includes the beginning of the first Capability Year to which such ICAP Demand Curves would be applied.  The filing shall specify ICAP Demand Curves for a period of three Capability Years.</w:t>
      </w:r>
    </w:p>
    <w:p w:rsidR="009A6196" w:rsidRDefault="008C0134">
      <w:pPr>
        <w:pStyle w:val="Bodypara"/>
        <w:rPr>
          <w:bCs/>
        </w:rPr>
      </w:pPr>
      <w:r>
        <w:rPr>
          <w:bCs/>
        </w:rPr>
        <w:t>Upo</w:t>
      </w:r>
      <w:r>
        <w:rPr>
          <w:bCs/>
        </w:rPr>
        <w:t xml:space="preserve">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w:t>
      </w:r>
      <w:r>
        <w:rPr>
          <w:bCs/>
        </w:rPr>
        <w:t xml:space="preserve"> adopt alternative provisions to this Tariff through established governance procedures.</w:t>
      </w:r>
    </w:p>
    <w:p w:rsidR="009A6196" w:rsidRDefault="008C0134">
      <w:pPr>
        <w:pStyle w:val="Heading4"/>
      </w:pPr>
      <w:bookmarkStart w:id="85" w:name="_Toc261446179"/>
      <w:r>
        <w:t>5.14.1.3</w:t>
      </w:r>
      <w:r>
        <w:tab/>
        <w:t>Supplemental Supply Fee</w:t>
      </w:r>
      <w:bookmarkEnd w:id="85"/>
    </w:p>
    <w:p w:rsidR="009A6196" w:rsidRDefault="008C0134">
      <w:pPr>
        <w:pStyle w:val="Bodypara"/>
      </w:pPr>
      <w:r>
        <w:t xml:space="preserve">Any LSE that has not met its share of the NYCA Minimum Installed Capacity Requirement or its share of the Locational Minimum Installed </w:t>
      </w:r>
      <w:r>
        <w:t xml:space="preserve">Capacity Requirement after the completion of an ICAP Spot Market Auction, shall be assessed a supplemental supply fee equal to the applicable Market-Clearing Price of Unforced Capacity determined in the ICAP Spot Market Auction multiplied by the number of </w:t>
      </w:r>
      <w:r>
        <w:t>MWs the LSE needs to meet its share of the NYCA Minimum Installed Capacity Requirement or its share of the Locational Minimum Installed Capacity Requirement.</w:t>
      </w:r>
    </w:p>
    <w:p w:rsidR="009A6196" w:rsidRDefault="008C0134">
      <w:pPr>
        <w:pStyle w:val="Bodypara"/>
      </w:pPr>
      <w:r>
        <w:t>The ISO will attempt to use these supplemental supply fees to procure Unforced Capacity at a price</w:t>
      </w:r>
      <w:r>
        <w:t xml:space="preserve"> less than or equal to the applicable Market-Clearing Price of Unforced Capacity determined in the ICAP Spot Market Auction from Installed Capacity Suppliers that are capable of supplying Unforced Capacity including:  (1) Installed Capacity Suppliers that </w:t>
      </w:r>
      <w:r>
        <w:t>were not qualified to supply Capacity prior to the ICAP Spot Market Auction; (2) Installed Capacity Suppliers that offered Unforced Capacity at levels above the ICAP Spot Market Auction Market-Clearing Price; and (3) Installed Capacity suppliers that did n</w:t>
      </w:r>
      <w:r>
        <w:t>ot offer Unforced Capacity in the ICAP Spot Market Auction.  In the event that different Installed Capacity Suppliers offer the same price, the ISO will give preference to Installed Capacity Suppliers that were not qualified to supply capacity prior to the</w:t>
      </w:r>
      <w:r>
        <w:t xml:space="preserve"> ICAP Spot Market Auction.</w:t>
      </w:r>
    </w:p>
    <w:p w:rsidR="009A6196" w:rsidRDefault="008C0134">
      <w:pPr>
        <w:pStyle w:val="Bodypara"/>
      </w:pPr>
      <w:r>
        <w:t>Offers from Installed Capacity Suppliers are subject to review pursuant to the Market Monitoring Plan that is set forth in Attachment O to the Services Tariff, and the Market Mitigation Measures that are set forth in Attachment H</w:t>
      </w:r>
      <w:r>
        <w:t xml:space="preserve"> to the Services Tariff.  Installed Capacity Suppliers selected by the ISO to provide capacity after the ICAP Spot Market Auction will be paid a negotiated price, subject to the standards, procedures and remedies in the Market Mitigation Measures.  </w:t>
      </w:r>
    </w:p>
    <w:p w:rsidR="009A6196" w:rsidRDefault="008C0134">
      <w:pPr>
        <w:pStyle w:val="Bodypara"/>
        <w:rPr>
          <w:color w:val="000000"/>
        </w:rPr>
      </w:pPr>
      <w:r>
        <w:rPr>
          <w:color w:val="000000"/>
        </w:rPr>
        <w:t>The IS</w:t>
      </w:r>
      <w:r>
        <w:rPr>
          <w:color w:val="000000"/>
        </w:rPr>
        <w:t>O will not pay an Installed Capacity Supplier more than the applicable Market-Clearing Price of Unforced Capacity determined in the ICAP Spot Market Auction per MW of Unforced Capacity, or, in the case of In-City generation that is subject to capacity mark</w:t>
      </w:r>
      <w:r>
        <w:rPr>
          <w:color w:val="000000"/>
        </w:rPr>
        <w:t>et mitigation measures, the annual mitigated price cap per MW of Unforced Capacity, whichever is less, pro-rated to reflect the portion of the Obligation Procurement Period for which the Installed Capacity Supplier provides Unforced Capacity.  Any remainin</w:t>
      </w:r>
      <w:r>
        <w:rPr>
          <w:color w:val="000000"/>
        </w:rPr>
        <w:t>g monies collected by the ISO pursuant to this section will be applied in accordance with Section 5.14.3 of the Services Tariff.</w:t>
      </w:r>
    </w:p>
    <w:p w:rsidR="009A6196" w:rsidRDefault="008C0134">
      <w:pPr>
        <w:pStyle w:val="Heading3"/>
      </w:pPr>
      <w:bookmarkStart w:id="86" w:name="_Toc261446180"/>
      <w:r>
        <w:t>5.14.2</w:t>
      </w:r>
      <w:r>
        <w:tab/>
        <w:t xml:space="preserve">Installed Capacity Supplier </w:t>
      </w:r>
      <w:r>
        <w:rPr>
          <w:rFonts w:ascii="Times New Roman Bold" w:hAnsi="Times New Roman Bold"/>
        </w:rPr>
        <w:t>Shortfalls and Deficiency Payments</w:t>
      </w:r>
      <w:bookmarkEnd w:id="86"/>
    </w:p>
    <w:p w:rsidR="009A6196" w:rsidRDefault="008C0134">
      <w:pPr>
        <w:pStyle w:val="Bodypara"/>
      </w:pPr>
      <w:r>
        <w:t>In the event that an Installed Capacity Supplier sells in</w:t>
      </w:r>
      <w:r>
        <w:t xml:space="preserve"> the Capability Period </w:t>
      </w:r>
      <w:r>
        <w:rPr>
          <w:strike/>
        </w:rPr>
        <w:t xml:space="preserve"> </w:t>
      </w:r>
      <w:r>
        <w:t>Auctions, in the Monthly Auctions, or through Bilateral Transactions more Unforced Capacity than it is qualified to sell in any specific month due to a de-rating or other cause, the Installed Capacity Supplier shall be deemed to hav</w:t>
      </w:r>
      <w:r>
        <w:t>e a shortfall for that month.  To cover this shortfall, the Installed Capacity Supplier shall purchase sufficient Unforced Capacity in the relevant Monthly Auction or through Bilateral Transactions, and certify to the ISO consistent with the ISO Procedures</w:t>
      </w:r>
      <w:r>
        <w:t xml:space="preserve"> that it has covered such shortfall.  If the Installed Capacity Supplier does not cover such shortfall or if it does not certify to the ISO in a timely manner, the ISO shall prospectively purchase Unforced Capacity on behalf of that Installed Capacity Supp</w:t>
      </w:r>
      <w:r>
        <w:t>lier in the appropriate ICAP Spot Market Auction or through post ICAP Spot Market Auction Unforced Capacity purchases to cover the shortfall.</w:t>
      </w:r>
    </w:p>
    <w:p w:rsidR="009A6196" w:rsidRDefault="008C0134">
      <w:pPr>
        <w:pStyle w:val="Bodypara"/>
      </w:pPr>
      <w:r>
        <w:t xml:space="preserve">In the event that an External Installed Capacity Supplier fails to deliver to the NYCA the Energy associated with </w:t>
      </w:r>
      <w:r>
        <w:t>the Unforced Capacity it committed to the NYCA due to a failure to obtain appropriate transmission service or rights, the External Installed Capacity Supplier shall be deemed to have a shortfall from the last time the External Installed Capacity Supplier “</w:t>
      </w:r>
      <w:r>
        <w:t>demonstrated” delivery of its Installed Capacity Equivalent (“ICE”), or any part thereof, until it next delivers its ICE or the end of the term for which it certified the applicable block of Unforced Capacity, whichever occurs first, subject to the limitat</w:t>
      </w:r>
      <w:r>
        <w:t>ion that any prior lack of demonstrated delivery will not precede the beginning of the period for which the Unforced Capacity was certified.  An External Installed Capacity Supplier deemed to have a shortfall shall be required to pay to the ISO a deficienc</w:t>
      </w:r>
      <w:r>
        <w:t xml:space="preserve">y charge equal to one and one-half times the applicable Market-Clearing Price of Unforced Capacity determined in the ICAP Spot Market Auction for the applicable month, prorated for the number of hours in the month that External Installed Capacity Supplier </w:t>
      </w:r>
      <w:r>
        <w:t xml:space="preserve">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9A6196" w:rsidRDefault="008C0134">
      <w:pPr>
        <w:pStyle w:val="Bodypara"/>
      </w:pPr>
      <w:r>
        <w:t>The ISO shall submit a Bid, calculated pursuant to Secti</w:t>
      </w:r>
      <w:r>
        <w:t>on 5.14.1 of this Tariff, in the appropriate ICAP Spot Market Auction on behalf of an Installed Capacity Supplier deemed to have a shortfall as if it were an LSE.  Such Installed Capacity Supplier shall be required to pay to the ISO the applicable Market</w:t>
      </w:r>
      <w:r>
        <w:noBreakHyphen/>
        <w:t>C</w:t>
      </w:r>
      <w:r>
        <w:t>learing Price of Unforced Capacity established in that ICAP Spot Market Auction.  Immediately following the ICAP Spot Market Auction, the ISO may suspend the Installed Capacity Supplier’s privileges to sell or purchase Unforced Capacity in ISO-administered</w:t>
      </w:r>
      <w:r>
        <w:t xml:space="preserve"> Installed Capacity auctions or to submit Bilateral Transactions to the NYISO.  Once the Installed Capacity Supplier pays for or secures the payment obligation that it incurred in the ICAP Spot Market Auction, the ISO shall reinstate the Installed Capacity</w:t>
      </w:r>
      <w:r>
        <w:t xml:space="preserve"> Supplier’s privileges to participate in the ICAP markets.</w:t>
      </w:r>
    </w:p>
    <w:p w:rsidR="009A6196" w:rsidRDefault="008C0134">
      <w:pPr>
        <w:pStyle w:val="Bodypara"/>
        <w:rPr>
          <w:strike/>
        </w:rPr>
      </w:pPr>
      <w:r>
        <w:t xml:space="preserve">In the event that the ICAP Spot Market Auction clears below the NYCA Minimum Installed Capacity Requirement or the Locational Minimum Installed Capacity Requirement, whichever is applicable to the </w:t>
      </w:r>
      <w:r>
        <w:t>Installed Capacity Supplier, the Installed Capacity Supplier shall be assessed the applicable deficiency charge equal to the applicable Market-Clearing Price of Unforced Capacity determined in the ICAP Spot Market Auction, times the amount of its shortfall</w:t>
      </w:r>
      <w:r>
        <w:t>.</w:t>
      </w:r>
    </w:p>
    <w:p w:rsidR="009A6196" w:rsidRDefault="008C0134">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w:t>
      </w:r>
      <w:r>
        <w:t>upply, the Installed Capacity Supplier shall be retrospectively liable to pay the ISO the monthly deficiency charge equal to one and one-half times the applicable Market-Clearing Price of Unforced Capacity determined in the ICAP Spot Market Auction for eac</w:t>
      </w:r>
      <w:r>
        <w:t>h month the Installed Capacity Supplier is deemed to have a shortfall.</w:t>
      </w:r>
    </w:p>
    <w:p w:rsidR="009A6196" w:rsidRDefault="008C0134">
      <w:pPr>
        <w:pStyle w:val="Bodypara"/>
      </w:pPr>
      <w:r>
        <w:t>Any remaining monies collected by the ISO pursuant to Section 5.14.1 and 5.14.2 will be applied as specified in Section 5.14.3.</w:t>
      </w:r>
    </w:p>
    <w:p w:rsidR="009A6196" w:rsidRDefault="008C0134">
      <w:pPr>
        <w:pStyle w:val="Heading3"/>
      </w:pPr>
      <w:r>
        <w:t>5.14.3</w:t>
      </w:r>
      <w:r>
        <w:tab/>
        <w:t xml:space="preserve">Application of </w:t>
      </w:r>
      <w:r>
        <w:rPr>
          <w:rFonts w:ascii="Times New Roman Bold" w:hAnsi="Times New Roman Bold"/>
        </w:rPr>
        <w:t xml:space="preserve">Installed Capacity Supplier </w:t>
      </w:r>
      <w:r>
        <w:t>Deficie</w:t>
      </w:r>
      <w:r>
        <w:t>ncy Charges</w:t>
      </w:r>
    </w:p>
    <w:p w:rsidR="009A6196" w:rsidRDefault="008C0134">
      <w:pPr>
        <w:pStyle w:val="Bodypara"/>
      </w:pPr>
      <w:r>
        <w:t>Any remaining monies collected by the ISO through supplemental supply fees or</w:t>
      </w:r>
      <w:r>
        <w:rPr>
          <w:strike/>
          <w:u w:val="double"/>
        </w:rPr>
        <w:t xml:space="preserve"> </w:t>
      </w:r>
      <w:r>
        <w:t xml:space="preserve">Installed Capacity Supplier deficiency charges pursuant to Section 5.14.1 but not used to procure Unforced Capacity on behalf of LSEs or Installed Capacity suppliers </w:t>
      </w:r>
      <w:r>
        <w:t>deemed to have a shortfall shall be applied as provided in this Section 5.14.3.</w:t>
      </w:r>
    </w:p>
    <w:p w:rsidR="009A6196" w:rsidRDefault="008C0134">
      <w:pPr>
        <w:pStyle w:val="Heading4"/>
      </w:pPr>
      <w:bookmarkStart w:id="87" w:name="_Toc261446181"/>
      <w:r>
        <w:t>5.14.3.1</w:t>
      </w:r>
      <w:r>
        <w:tab/>
        <w:t>General Application of Deficiency Charges</w:t>
      </w:r>
      <w:bookmarkEnd w:id="87"/>
    </w:p>
    <w:p w:rsidR="009A6196" w:rsidRDefault="008C0134">
      <w:pPr>
        <w:pStyle w:val="Bodypara"/>
      </w:pPr>
      <w:r>
        <w:t>Except as provided in Section 5.14.3.2, remaining monies will be applied to reduce the Rate Schedule 1 charge in the followin</w:t>
      </w:r>
      <w:r>
        <w:t>g month.</w:t>
      </w:r>
    </w:p>
    <w:p w:rsidR="009A6196" w:rsidRDefault="008C0134">
      <w:pPr>
        <w:pStyle w:val="Heading4"/>
      </w:pPr>
      <w:bookmarkStart w:id="88" w:name="_Toc261446182"/>
      <w:r>
        <w:t>5.14.3.2</w:t>
      </w:r>
      <w:r>
        <w:tab/>
        <w:t>Installed Capacity Rebates</w:t>
      </w:r>
      <w:bookmarkEnd w:id="88"/>
    </w:p>
    <w:p w:rsidR="009A6196" w:rsidRDefault="008C0134">
      <w:pPr>
        <w:pStyle w:val="romannumeralpara"/>
        <w:keepNext/>
        <w:keepLines/>
        <w:rPr>
          <w:b/>
        </w:rPr>
      </w:pPr>
      <w:r>
        <w:rPr>
          <w:b/>
        </w:rPr>
        <w:t>(i)</w:t>
      </w:r>
      <w:r>
        <w:rPr>
          <w:b/>
        </w:rPr>
        <w:tab/>
      </w:r>
      <w:smartTag w:uri="urn:schemas-microsoft-com:office:smarttags" w:element="place">
        <w:smartTag w:uri="urn:schemas-microsoft-com:office:smarttags" w:element="City">
          <w:r>
            <w:rPr>
              <w:b/>
            </w:rPr>
            <w:t>New York City</w:t>
          </w:r>
        </w:smartTag>
      </w:smartTag>
    </w:p>
    <w:p w:rsidR="009A6196" w:rsidRDefault="008C0134">
      <w:pPr>
        <w:pStyle w:val="Bodypara"/>
      </w:pPr>
      <w:r>
        <w:t>If an Unforced Capacity shortfall exists during any month, the ISO shall rebate any remaining unspent deficiency charges or supplemental supply fees collected for that month for the New York Ci</w:t>
      </w:r>
      <w:r>
        <w:t>ty Locality allocated among all LSEs in that Locality in proportion to their share of the applicable Locational Minimum Installed Capacity Requirement.  Rebates shall include interest accrued between the time payments were collected and the time that rebat</w:t>
      </w:r>
      <w:r>
        <w:t>es are paid.</w:t>
      </w:r>
    </w:p>
    <w:p w:rsidR="009A6196" w:rsidRDefault="008C0134">
      <w:pPr>
        <w:pStyle w:val="romannumeralpara"/>
        <w:rPr>
          <w:b/>
        </w:rPr>
      </w:pPr>
      <w:r>
        <w:rPr>
          <w:b/>
        </w:rPr>
        <w:t>(iii)</w:t>
      </w:r>
      <w:r>
        <w:tab/>
      </w:r>
      <w:smartTag w:uri="urn:schemas-microsoft-com:office:smarttags" w:element="place">
        <w:r>
          <w:rPr>
            <w:b/>
          </w:rPr>
          <w:t>Long Island</w:t>
        </w:r>
      </w:smartTag>
    </w:p>
    <w:p w:rsidR="009A6196" w:rsidRDefault="008C0134">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w:t>
      </w:r>
      <w:r>
        <w:t>SEs in that Locality in proportion to their share of the applicable Locational Minimum Installed Capacity Requirement.  Rebates shall include interest accrued between the time payments were collected and the time that rebates are paid.</w:t>
      </w:r>
    </w:p>
    <w:p w:rsidR="009A6196" w:rsidRDefault="008C0134">
      <w:pPr>
        <w:pStyle w:val="romannumeralpara"/>
        <w:keepNext/>
        <w:rPr>
          <w:b/>
        </w:rPr>
      </w:pPr>
      <w:r>
        <w:rPr>
          <w:b/>
        </w:rPr>
        <w:t>(iii)</w:t>
      </w:r>
      <w:r>
        <w:tab/>
      </w:r>
      <w:r>
        <w:rPr>
          <w:b/>
        </w:rPr>
        <w:t>Rest of State</w:t>
      </w:r>
    </w:p>
    <w:p w:rsidR="009A6196" w:rsidRDefault="008C0134">
      <w:pPr>
        <w:pStyle w:val="Bodypara"/>
      </w:pPr>
      <w:r>
        <w:t>If an Unforced Capacity shortfall exists during any month, the ISO shall rebate any remaining unspent deficiency charges or supplemental supply fees collected for that month for the Rest of State requirements, allocated among all LSEs in each of the two Lo</w:t>
      </w:r>
      <w:r>
        <w:t xml:space="preserve">calities, New York City and Long Island, and in Rest of State, in proportion to each LSE’s share of the NYCA Minimum Installed Capacity Requirement less that LSE’s Locational Minimum Installed Capacity Requirement.  Rebates shall include interests accrued </w:t>
      </w:r>
      <w:r>
        <w:t>between the time payments were collected and the time that rebates are paid.</w:t>
      </w:r>
    </w:p>
    <w:sectPr w:rsidR="009A6196" w:rsidSect="009A61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196" w:rsidRDefault="009A6196" w:rsidP="009A6196">
      <w:r>
        <w:separator/>
      </w:r>
    </w:p>
  </w:endnote>
  <w:endnote w:type="continuationSeparator" w:id="0">
    <w:p w:rsidR="009A6196" w:rsidRDefault="009A6196" w:rsidP="009A619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96" w:rsidRDefault="008C0134">
    <w:pPr>
      <w:jc w:val="right"/>
      <w:rPr>
        <w:rFonts w:ascii="Arial" w:eastAsia="Arial" w:hAnsi="Arial" w:cs="Arial"/>
        <w:color w:val="000000"/>
        <w:sz w:val="16"/>
      </w:rPr>
    </w:pPr>
    <w:r>
      <w:rPr>
        <w:rFonts w:ascii="Arial" w:eastAsia="Arial" w:hAnsi="Arial" w:cs="Arial"/>
        <w:color w:val="000000"/>
        <w:sz w:val="16"/>
      </w:rPr>
      <w:t xml:space="preserve">Effective Date: 1/28/2011 - Docket #: ER11-2224-000 - Page </w:t>
    </w:r>
    <w:r w:rsidR="009A6196">
      <w:rPr>
        <w:rFonts w:ascii="Arial" w:eastAsia="Arial" w:hAnsi="Arial" w:cs="Arial"/>
        <w:color w:val="000000"/>
        <w:sz w:val="16"/>
      </w:rPr>
      <w:fldChar w:fldCharType="begin"/>
    </w:r>
    <w:r>
      <w:rPr>
        <w:rFonts w:ascii="Arial" w:eastAsia="Arial" w:hAnsi="Arial" w:cs="Arial"/>
        <w:color w:val="000000"/>
        <w:sz w:val="16"/>
      </w:rPr>
      <w:instrText>PAGE</w:instrText>
    </w:r>
    <w:r w:rsidR="009A61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96" w:rsidRDefault="008C0134">
    <w:pPr>
      <w:jc w:val="right"/>
      <w:rPr>
        <w:rFonts w:ascii="Arial" w:eastAsia="Arial" w:hAnsi="Arial" w:cs="Arial"/>
        <w:color w:val="000000"/>
        <w:sz w:val="16"/>
      </w:rPr>
    </w:pPr>
    <w:r>
      <w:rPr>
        <w:rFonts w:ascii="Arial" w:eastAsia="Arial" w:hAnsi="Arial" w:cs="Arial"/>
        <w:color w:val="000000"/>
        <w:sz w:val="16"/>
      </w:rPr>
      <w:t xml:space="preserve">Effective Date: 1/28/2011 - Docket #: ER11-2224-000 - Page </w:t>
    </w:r>
    <w:r w:rsidR="009A61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A61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96" w:rsidRDefault="008C0134">
    <w:pPr>
      <w:jc w:val="right"/>
      <w:rPr>
        <w:rFonts w:ascii="Arial" w:eastAsia="Arial" w:hAnsi="Arial" w:cs="Arial"/>
        <w:color w:val="000000"/>
        <w:sz w:val="16"/>
      </w:rPr>
    </w:pPr>
    <w:r>
      <w:rPr>
        <w:rFonts w:ascii="Arial" w:eastAsia="Arial" w:hAnsi="Arial" w:cs="Arial"/>
        <w:color w:val="000000"/>
        <w:sz w:val="16"/>
      </w:rPr>
      <w:t xml:space="preserve">Effective Date: 1/28/2011 - Docket #: ER11-2224-000 - Page </w:t>
    </w:r>
    <w:r w:rsidR="009A6196">
      <w:rPr>
        <w:rFonts w:ascii="Arial" w:eastAsia="Arial" w:hAnsi="Arial" w:cs="Arial"/>
        <w:color w:val="000000"/>
        <w:sz w:val="16"/>
      </w:rPr>
      <w:fldChar w:fldCharType="begin"/>
    </w:r>
    <w:r>
      <w:rPr>
        <w:rFonts w:ascii="Arial" w:eastAsia="Arial" w:hAnsi="Arial" w:cs="Arial"/>
        <w:color w:val="000000"/>
        <w:sz w:val="16"/>
      </w:rPr>
      <w:instrText>PAGE</w:instrText>
    </w:r>
    <w:r w:rsidR="009A61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196" w:rsidRDefault="009A6196" w:rsidP="009A6196">
      <w:r>
        <w:separator/>
      </w:r>
    </w:p>
  </w:footnote>
  <w:footnote w:type="continuationSeparator" w:id="0">
    <w:p w:rsidR="009A6196" w:rsidRDefault="009A6196" w:rsidP="009A6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96" w:rsidRDefault="008C013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96" w:rsidRDefault="008C013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5.14 MST Installed Capacity </w:t>
    </w:r>
    <w:r>
      <w:rPr>
        <w:rFonts w:ascii="Arial" w:eastAsia="Arial" w:hAnsi="Arial" w:cs="Arial"/>
        <w:color w:val="000000"/>
        <w:sz w:val="16"/>
      </w:rPr>
      <w:t>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96" w:rsidRDefault="008C013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w:t>
    </w:r>
    <w:r>
      <w:rPr>
        <w:rFonts w:ascii="Arial" w:eastAsia="Arial" w:hAnsi="Arial" w:cs="Arial"/>
        <w:color w:val="000000"/>
        <w:sz w:val="16"/>
      </w:rPr>
      <w:t>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51E632C">
      <w:start w:val="1"/>
      <w:numFmt w:val="bullet"/>
      <w:lvlText w:val=""/>
      <w:lvlJc w:val="left"/>
      <w:pPr>
        <w:tabs>
          <w:tab w:val="num" w:pos="720"/>
        </w:tabs>
        <w:ind w:left="720" w:hanging="360"/>
      </w:pPr>
      <w:rPr>
        <w:rFonts w:ascii="Symbol" w:hAnsi="Symbol" w:hint="default"/>
      </w:rPr>
    </w:lvl>
    <w:lvl w:ilvl="1" w:tplc="20E2EE14" w:tentative="1">
      <w:start w:val="1"/>
      <w:numFmt w:val="bullet"/>
      <w:lvlText w:val="o"/>
      <w:lvlJc w:val="left"/>
      <w:pPr>
        <w:tabs>
          <w:tab w:val="num" w:pos="1440"/>
        </w:tabs>
        <w:ind w:left="1440" w:hanging="360"/>
      </w:pPr>
      <w:rPr>
        <w:rFonts w:ascii="Courier New" w:hAnsi="Courier New" w:cs="Courier New" w:hint="default"/>
      </w:rPr>
    </w:lvl>
    <w:lvl w:ilvl="2" w:tplc="0A90A9A2" w:tentative="1">
      <w:start w:val="1"/>
      <w:numFmt w:val="bullet"/>
      <w:lvlText w:val=""/>
      <w:lvlJc w:val="left"/>
      <w:pPr>
        <w:tabs>
          <w:tab w:val="num" w:pos="2160"/>
        </w:tabs>
        <w:ind w:left="2160" w:hanging="360"/>
      </w:pPr>
      <w:rPr>
        <w:rFonts w:ascii="Wingdings" w:hAnsi="Wingdings" w:hint="default"/>
      </w:rPr>
    </w:lvl>
    <w:lvl w:ilvl="3" w:tplc="36FA885C" w:tentative="1">
      <w:start w:val="1"/>
      <w:numFmt w:val="bullet"/>
      <w:lvlText w:val=""/>
      <w:lvlJc w:val="left"/>
      <w:pPr>
        <w:tabs>
          <w:tab w:val="num" w:pos="2880"/>
        </w:tabs>
        <w:ind w:left="2880" w:hanging="360"/>
      </w:pPr>
      <w:rPr>
        <w:rFonts w:ascii="Symbol" w:hAnsi="Symbol" w:hint="default"/>
      </w:rPr>
    </w:lvl>
    <w:lvl w:ilvl="4" w:tplc="A8A2B86C" w:tentative="1">
      <w:start w:val="1"/>
      <w:numFmt w:val="bullet"/>
      <w:lvlText w:val="o"/>
      <w:lvlJc w:val="left"/>
      <w:pPr>
        <w:tabs>
          <w:tab w:val="num" w:pos="3600"/>
        </w:tabs>
        <w:ind w:left="3600" w:hanging="360"/>
      </w:pPr>
      <w:rPr>
        <w:rFonts w:ascii="Courier New" w:hAnsi="Courier New" w:cs="Courier New" w:hint="default"/>
      </w:rPr>
    </w:lvl>
    <w:lvl w:ilvl="5" w:tplc="A7969DFE" w:tentative="1">
      <w:start w:val="1"/>
      <w:numFmt w:val="bullet"/>
      <w:lvlText w:val=""/>
      <w:lvlJc w:val="left"/>
      <w:pPr>
        <w:tabs>
          <w:tab w:val="num" w:pos="4320"/>
        </w:tabs>
        <w:ind w:left="4320" w:hanging="360"/>
      </w:pPr>
      <w:rPr>
        <w:rFonts w:ascii="Wingdings" w:hAnsi="Wingdings" w:hint="default"/>
      </w:rPr>
    </w:lvl>
    <w:lvl w:ilvl="6" w:tplc="85ACB988" w:tentative="1">
      <w:start w:val="1"/>
      <w:numFmt w:val="bullet"/>
      <w:lvlText w:val=""/>
      <w:lvlJc w:val="left"/>
      <w:pPr>
        <w:tabs>
          <w:tab w:val="num" w:pos="5040"/>
        </w:tabs>
        <w:ind w:left="5040" w:hanging="360"/>
      </w:pPr>
      <w:rPr>
        <w:rFonts w:ascii="Symbol" w:hAnsi="Symbol" w:hint="default"/>
      </w:rPr>
    </w:lvl>
    <w:lvl w:ilvl="7" w:tplc="374CEBA4" w:tentative="1">
      <w:start w:val="1"/>
      <w:numFmt w:val="bullet"/>
      <w:lvlText w:val="o"/>
      <w:lvlJc w:val="left"/>
      <w:pPr>
        <w:tabs>
          <w:tab w:val="num" w:pos="5760"/>
        </w:tabs>
        <w:ind w:left="5760" w:hanging="360"/>
      </w:pPr>
      <w:rPr>
        <w:rFonts w:ascii="Courier New" w:hAnsi="Courier New" w:cs="Courier New" w:hint="default"/>
      </w:rPr>
    </w:lvl>
    <w:lvl w:ilvl="8" w:tplc="A76EC58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8A646A4">
      <w:start w:val="1"/>
      <w:numFmt w:val="upperLetter"/>
      <w:lvlText w:val="%1."/>
      <w:lvlJc w:val="left"/>
      <w:pPr>
        <w:tabs>
          <w:tab w:val="num" w:pos="1440"/>
        </w:tabs>
        <w:ind w:left="1440" w:hanging="720"/>
      </w:pPr>
      <w:rPr>
        <w:rFonts w:hint="default"/>
      </w:rPr>
    </w:lvl>
    <w:lvl w:ilvl="1" w:tplc="98F0D15C" w:tentative="1">
      <w:start w:val="1"/>
      <w:numFmt w:val="lowerLetter"/>
      <w:lvlText w:val="%2."/>
      <w:lvlJc w:val="left"/>
      <w:pPr>
        <w:tabs>
          <w:tab w:val="num" w:pos="1800"/>
        </w:tabs>
        <w:ind w:left="1800" w:hanging="360"/>
      </w:pPr>
    </w:lvl>
    <w:lvl w:ilvl="2" w:tplc="7400A696" w:tentative="1">
      <w:start w:val="1"/>
      <w:numFmt w:val="lowerRoman"/>
      <w:lvlText w:val="%3."/>
      <w:lvlJc w:val="right"/>
      <w:pPr>
        <w:tabs>
          <w:tab w:val="num" w:pos="2520"/>
        </w:tabs>
        <w:ind w:left="2520" w:hanging="180"/>
      </w:pPr>
    </w:lvl>
    <w:lvl w:ilvl="3" w:tplc="310877E8" w:tentative="1">
      <w:start w:val="1"/>
      <w:numFmt w:val="decimal"/>
      <w:lvlText w:val="%4."/>
      <w:lvlJc w:val="left"/>
      <w:pPr>
        <w:tabs>
          <w:tab w:val="num" w:pos="3240"/>
        </w:tabs>
        <w:ind w:left="3240" w:hanging="360"/>
      </w:pPr>
    </w:lvl>
    <w:lvl w:ilvl="4" w:tplc="8A204EC4" w:tentative="1">
      <w:start w:val="1"/>
      <w:numFmt w:val="lowerLetter"/>
      <w:lvlText w:val="%5."/>
      <w:lvlJc w:val="left"/>
      <w:pPr>
        <w:tabs>
          <w:tab w:val="num" w:pos="3960"/>
        </w:tabs>
        <w:ind w:left="3960" w:hanging="360"/>
      </w:pPr>
    </w:lvl>
    <w:lvl w:ilvl="5" w:tplc="1376F82C" w:tentative="1">
      <w:start w:val="1"/>
      <w:numFmt w:val="lowerRoman"/>
      <w:lvlText w:val="%6."/>
      <w:lvlJc w:val="right"/>
      <w:pPr>
        <w:tabs>
          <w:tab w:val="num" w:pos="4680"/>
        </w:tabs>
        <w:ind w:left="4680" w:hanging="180"/>
      </w:pPr>
    </w:lvl>
    <w:lvl w:ilvl="6" w:tplc="595A2B58" w:tentative="1">
      <w:start w:val="1"/>
      <w:numFmt w:val="decimal"/>
      <w:lvlText w:val="%7."/>
      <w:lvlJc w:val="left"/>
      <w:pPr>
        <w:tabs>
          <w:tab w:val="num" w:pos="5400"/>
        </w:tabs>
        <w:ind w:left="5400" w:hanging="360"/>
      </w:pPr>
    </w:lvl>
    <w:lvl w:ilvl="7" w:tplc="3CF61EE6" w:tentative="1">
      <w:start w:val="1"/>
      <w:numFmt w:val="lowerLetter"/>
      <w:lvlText w:val="%8."/>
      <w:lvlJc w:val="left"/>
      <w:pPr>
        <w:tabs>
          <w:tab w:val="num" w:pos="6120"/>
        </w:tabs>
        <w:ind w:left="6120" w:hanging="360"/>
      </w:pPr>
    </w:lvl>
    <w:lvl w:ilvl="8" w:tplc="D04A47D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700CE16">
      <w:start w:val="3"/>
      <w:numFmt w:val="upperLetter"/>
      <w:lvlText w:val="%1."/>
      <w:lvlJc w:val="left"/>
      <w:pPr>
        <w:tabs>
          <w:tab w:val="num" w:pos="1080"/>
        </w:tabs>
        <w:ind w:left="1080" w:hanging="360"/>
      </w:pPr>
      <w:rPr>
        <w:rFonts w:hint="default"/>
      </w:rPr>
    </w:lvl>
    <w:lvl w:ilvl="1" w:tplc="C5B2BBD4" w:tentative="1">
      <w:start w:val="1"/>
      <w:numFmt w:val="lowerLetter"/>
      <w:lvlText w:val="%2."/>
      <w:lvlJc w:val="left"/>
      <w:pPr>
        <w:tabs>
          <w:tab w:val="num" w:pos="1800"/>
        </w:tabs>
        <w:ind w:left="1800" w:hanging="360"/>
      </w:pPr>
    </w:lvl>
    <w:lvl w:ilvl="2" w:tplc="53DCAD7E" w:tentative="1">
      <w:start w:val="1"/>
      <w:numFmt w:val="lowerRoman"/>
      <w:lvlText w:val="%3."/>
      <w:lvlJc w:val="right"/>
      <w:pPr>
        <w:tabs>
          <w:tab w:val="num" w:pos="2520"/>
        </w:tabs>
        <w:ind w:left="2520" w:hanging="180"/>
      </w:pPr>
    </w:lvl>
    <w:lvl w:ilvl="3" w:tplc="5C5A808A" w:tentative="1">
      <w:start w:val="1"/>
      <w:numFmt w:val="decimal"/>
      <w:lvlText w:val="%4."/>
      <w:lvlJc w:val="left"/>
      <w:pPr>
        <w:tabs>
          <w:tab w:val="num" w:pos="3240"/>
        </w:tabs>
        <w:ind w:left="3240" w:hanging="360"/>
      </w:pPr>
    </w:lvl>
    <w:lvl w:ilvl="4" w:tplc="9F6A437E" w:tentative="1">
      <w:start w:val="1"/>
      <w:numFmt w:val="lowerLetter"/>
      <w:lvlText w:val="%5."/>
      <w:lvlJc w:val="left"/>
      <w:pPr>
        <w:tabs>
          <w:tab w:val="num" w:pos="3960"/>
        </w:tabs>
        <w:ind w:left="3960" w:hanging="360"/>
      </w:pPr>
    </w:lvl>
    <w:lvl w:ilvl="5" w:tplc="94307578" w:tentative="1">
      <w:start w:val="1"/>
      <w:numFmt w:val="lowerRoman"/>
      <w:lvlText w:val="%6."/>
      <w:lvlJc w:val="right"/>
      <w:pPr>
        <w:tabs>
          <w:tab w:val="num" w:pos="4680"/>
        </w:tabs>
        <w:ind w:left="4680" w:hanging="180"/>
      </w:pPr>
    </w:lvl>
    <w:lvl w:ilvl="6" w:tplc="FD30B798" w:tentative="1">
      <w:start w:val="1"/>
      <w:numFmt w:val="decimal"/>
      <w:lvlText w:val="%7."/>
      <w:lvlJc w:val="left"/>
      <w:pPr>
        <w:tabs>
          <w:tab w:val="num" w:pos="5400"/>
        </w:tabs>
        <w:ind w:left="5400" w:hanging="360"/>
      </w:pPr>
    </w:lvl>
    <w:lvl w:ilvl="7" w:tplc="C930DAFC" w:tentative="1">
      <w:start w:val="1"/>
      <w:numFmt w:val="lowerLetter"/>
      <w:lvlText w:val="%8."/>
      <w:lvlJc w:val="left"/>
      <w:pPr>
        <w:tabs>
          <w:tab w:val="num" w:pos="6120"/>
        </w:tabs>
        <w:ind w:left="6120" w:hanging="360"/>
      </w:pPr>
    </w:lvl>
    <w:lvl w:ilvl="8" w:tplc="801883F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F960020">
      <w:start w:val="1"/>
      <w:numFmt w:val="bullet"/>
      <w:pStyle w:val="Bulletpara"/>
      <w:lvlText w:val=""/>
      <w:lvlJc w:val="left"/>
      <w:pPr>
        <w:tabs>
          <w:tab w:val="num" w:pos="720"/>
        </w:tabs>
        <w:ind w:left="720" w:hanging="360"/>
      </w:pPr>
      <w:rPr>
        <w:rFonts w:ascii="Symbol" w:hAnsi="Symbol" w:hint="default"/>
      </w:rPr>
    </w:lvl>
    <w:lvl w:ilvl="1" w:tplc="044AC5F4" w:tentative="1">
      <w:start w:val="1"/>
      <w:numFmt w:val="bullet"/>
      <w:lvlText w:val="o"/>
      <w:lvlJc w:val="left"/>
      <w:pPr>
        <w:tabs>
          <w:tab w:val="num" w:pos="1440"/>
        </w:tabs>
        <w:ind w:left="1440" w:hanging="360"/>
      </w:pPr>
      <w:rPr>
        <w:rFonts w:ascii="Courier New" w:hAnsi="Courier New" w:cs="Courier New" w:hint="default"/>
      </w:rPr>
    </w:lvl>
    <w:lvl w:ilvl="2" w:tplc="C130DF86" w:tentative="1">
      <w:start w:val="1"/>
      <w:numFmt w:val="bullet"/>
      <w:lvlText w:val=""/>
      <w:lvlJc w:val="left"/>
      <w:pPr>
        <w:tabs>
          <w:tab w:val="num" w:pos="2160"/>
        </w:tabs>
        <w:ind w:left="2160" w:hanging="360"/>
      </w:pPr>
      <w:rPr>
        <w:rFonts w:ascii="Wingdings" w:hAnsi="Wingdings" w:hint="default"/>
      </w:rPr>
    </w:lvl>
    <w:lvl w:ilvl="3" w:tplc="C2D84B06" w:tentative="1">
      <w:start w:val="1"/>
      <w:numFmt w:val="bullet"/>
      <w:lvlText w:val=""/>
      <w:lvlJc w:val="left"/>
      <w:pPr>
        <w:tabs>
          <w:tab w:val="num" w:pos="2880"/>
        </w:tabs>
        <w:ind w:left="2880" w:hanging="360"/>
      </w:pPr>
      <w:rPr>
        <w:rFonts w:ascii="Symbol" w:hAnsi="Symbol" w:hint="default"/>
      </w:rPr>
    </w:lvl>
    <w:lvl w:ilvl="4" w:tplc="73609ECE" w:tentative="1">
      <w:start w:val="1"/>
      <w:numFmt w:val="bullet"/>
      <w:lvlText w:val="o"/>
      <w:lvlJc w:val="left"/>
      <w:pPr>
        <w:tabs>
          <w:tab w:val="num" w:pos="3600"/>
        </w:tabs>
        <w:ind w:left="3600" w:hanging="360"/>
      </w:pPr>
      <w:rPr>
        <w:rFonts w:ascii="Courier New" w:hAnsi="Courier New" w:cs="Courier New" w:hint="default"/>
      </w:rPr>
    </w:lvl>
    <w:lvl w:ilvl="5" w:tplc="E2E03396" w:tentative="1">
      <w:start w:val="1"/>
      <w:numFmt w:val="bullet"/>
      <w:lvlText w:val=""/>
      <w:lvlJc w:val="left"/>
      <w:pPr>
        <w:tabs>
          <w:tab w:val="num" w:pos="4320"/>
        </w:tabs>
        <w:ind w:left="4320" w:hanging="360"/>
      </w:pPr>
      <w:rPr>
        <w:rFonts w:ascii="Wingdings" w:hAnsi="Wingdings" w:hint="default"/>
      </w:rPr>
    </w:lvl>
    <w:lvl w:ilvl="6" w:tplc="843C5BEE" w:tentative="1">
      <w:start w:val="1"/>
      <w:numFmt w:val="bullet"/>
      <w:lvlText w:val=""/>
      <w:lvlJc w:val="left"/>
      <w:pPr>
        <w:tabs>
          <w:tab w:val="num" w:pos="5040"/>
        </w:tabs>
        <w:ind w:left="5040" w:hanging="360"/>
      </w:pPr>
      <w:rPr>
        <w:rFonts w:ascii="Symbol" w:hAnsi="Symbol" w:hint="default"/>
      </w:rPr>
    </w:lvl>
    <w:lvl w:ilvl="7" w:tplc="36C6CD48" w:tentative="1">
      <w:start w:val="1"/>
      <w:numFmt w:val="bullet"/>
      <w:lvlText w:val="o"/>
      <w:lvlJc w:val="left"/>
      <w:pPr>
        <w:tabs>
          <w:tab w:val="num" w:pos="5760"/>
        </w:tabs>
        <w:ind w:left="5760" w:hanging="360"/>
      </w:pPr>
      <w:rPr>
        <w:rFonts w:ascii="Courier New" w:hAnsi="Courier New" w:cs="Courier New" w:hint="default"/>
      </w:rPr>
    </w:lvl>
    <w:lvl w:ilvl="8" w:tplc="F9F4D16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D0A06C2">
      <w:start w:val="2"/>
      <w:numFmt w:val="decimal"/>
      <w:lvlText w:val="(%1)"/>
      <w:lvlJc w:val="left"/>
      <w:pPr>
        <w:tabs>
          <w:tab w:val="num" w:pos="1800"/>
        </w:tabs>
        <w:ind w:left="1800" w:hanging="360"/>
      </w:pPr>
      <w:rPr>
        <w:rFonts w:hint="default"/>
        <w:b w:val="0"/>
        <w:sz w:val="24"/>
      </w:rPr>
    </w:lvl>
    <w:lvl w:ilvl="1" w:tplc="89A8995E" w:tentative="1">
      <w:start w:val="1"/>
      <w:numFmt w:val="lowerLetter"/>
      <w:lvlText w:val="%2."/>
      <w:lvlJc w:val="left"/>
      <w:pPr>
        <w:tabs>
          <w:tab w:val="num" w:pos="2520"/>
        </w:tabs>
        <w:ind w:left="2520" w:hanging="360"/>
      </w:pPr>
    </w:lvl>
    <w:lvl w:ilvl="2" w:tplc="28FA7226" w:tentative="1">
      <w:start w:val="1"/>
      <w:numFmt w:val="lowerRoman"/>
      <w:lvlText w:val="%3."/>
      <w:lvlJc w:val="right"/>
      <w:pPr>
        <w:tabs>
          <w:tab w:val="num" w:pos="3240"/>
        </w:tabs>
        <w:ind w:left="3240" w:hanging="180"/>
      </w:pPr>
    </w:lvl>
    <w:lvl w:ilvl="3" w:tplc="BB32DC56" w:tentative="1">
      <w:start w:val="1"/>
      <w:numFmt w:val="decimal"/>
      <w:lvlText w:val="%4."/>
      <w:lvlJc w:val="left"/>
      <w:pPr>
        <w:tabs>
          <w:tab w:val="num" w:pos="3960"/>
        </w:tabs>
        <w:ind w:left="3960" w:hanging="360"/>
      </w:pPr>
    </w:lvl>
    <w:lvl w:ilvl="4" w:tplc="6C265FB2" w:tentative="1">
      <w:start w:val="1"/>
      <w:numFmt w:val="lowerLetter"/>
      <w:lvlText w:val="%5."/>
      <w:lvlJc w:val="left"/>
      <w:pPr>
        <w:tabs>
          <w:tab w:val="num" w:pos="4680"/>
        </w:tabs>
        <w:ind w:left="4680" w:hanging="360"/>
      </w:pPr>
    </w:lvl>
    <w:lvl w:ilvl="5" w:tplc="AA7AB568" w:tentative="1">
      <w:start w:val="1"/>
      <w:numFmt w:val="lowerRoman"/>
      <w:lvlText w:val="%6."/>
      <w:lvlJc w:val="right"/>
      <w:pPr>
        <w:tabs>
          <w:tab w:val="num" w:pos="5400"/>
        </w:tabs>
        <w:ind w:left="5400" w:hanging="180"/>
      </w:pPr>
    </w:lvl>
    <w:lvl w:ilvl="6" w:tplc="D7DC9F1E" w:tentative="1">
      <w:start w:val="1"/>
      <w:numFmt w:val="decimal"/>
      <w:lvlText w:val="%7."/>
      <w:lvlJc w:val="left"/>
      <w:pPr>
        <w:tabs>
          <w:tab w:val="num" w:pos="6120"/>
        </w:tabs>
        <w:ind w:left="6120" w:hanging="360"/>
      </w:pPr>
    </w:lvl>
    <w:lvl w:ilvl="7" w:tplc="D2103BBC" w:tentative="1">
      <w:start w:val="1"/>
      <w:numFmt w:val="lowerLetter"/>
      <w:lvlText w:val="%8."/>
      <w:lvlJc w:val="left"/>
      <w:pPr>
        <w:tabs>
          <w:tab w:val="num" w:pos="6840"/>
        </w:tabs>
        <w:ind w:left="6840" w:hanging="360"/>
      </w:pPr>
    </w:lvl>
    <w:lvl w:ilvl="8" w:tplc="171498F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6DC5BDE">
      <w:start w:val="1"/>
      <w:numFmt w:val="decimal"/>
      <w:lvlText w:val="(%1)"/>
      <w:lvlJc w:val="left"/>
      <w:pPr>
        <w:tabs>
          <w:tab w:val="num" w:pos="2160"/>
        </w:tabs>
        <w:ind w:left="2160" w:hanging="720"/>
      </w:pPr>
      <w:rPr>
        <w:rFonts w:hint="default"/>
      </w:rPr>
    </w:lvl>
    <w:lvl w:ilvl="1" w:tplc="BAD897D6" w:tentative="1">
      <w:start w:val="1"/>
      <w:numFmt w:val="lowerLetter"/>
      <w:lvlText w:val="%2."/>
      <w:lvlJc w:val="left"/>
      <w:pPr>
        <w:tabs>
          <w:tab w:val="num" w:pos="2520"/>
        </w:tabs>
        <w:ind w:left="2520" w:hanging="360"/>
      </w:pPr>
    </w:lvl>
    <w:lvl w:ilvl="2" w:tplc="7BDADD6C" w:tentative="1">
      <w:start w:val="1"/>
      <w:numFmt w:val="lowerRoman"/>
      <w:lvlText w:val="%3."/>
      <w:lvlJc w:val="right"/>
      <w:pPr>
        <w:tabs>
          <w:tab w:val="num" w:pos="3240"/>
        </w:tabs>
        <w:ind w:left="3240" w:hanging="180"/>
      </w:pPr>
    </w:lvl>
    <w:lvl w:ilvl="3" w:tplc="2A1831A8" w:tentative="1">
      <w:start w:val="1"/>
      <w:numFmt w:val="decimal"/>
      <w:lvlText w:val="%4."/>
      <w:lvlJc w:val="left"/>
      <w:pPr>
        <w:tabs>
          <w:tab w:val="num" w:pos="3960"/>
        </w:tabs>
        <w:ind w:left="3960" w:hanging="360"/>
      </w:pPr>
    </w:lvl>
    <w:lvl w:ilvl="4" w:tplc="87065176" w:tentative="1">
      <w:start w:val="1"/>
      <w:numFmt w:val="lowerLetter"/>
      <w:lvlText w:val="%5."/>
      <w:lvlJc w:val="left"/>
      <w:pPr>
        <w:tabs>
          <w:tab w:val="num" w:pos="4680"/>
        </w:tabs>
        <w:ind w:left="4680" w:hanging="360"/>
      </w:pPr>
    </w:lvl>
    <w:lvl w:ilvl="5" w:tplc="A02417AA" w:tentative="1">
      <w:start w:val="1"/>
      <w:numFmt w:val="lowerRoman"/>
      <w:lvlText w:val="%6."/>
      <w:lvlJc w:val="right"/>
      <w:pPr>
        <w:tabs>
          <w:tab w:val="num" w:pos="5400"/>
        </w:tabs>
        <w:ind w:left="5400" w:hanging="180"/>
      </w:pPr>
    </w:lvl>
    <w:lvl w:ilvl="6" w:tplc="4BEE4B04" w:tentative="1">
      <w:start w:val="1"/>
      <w:numFmt w:val="decimal"/>
      <w:lvlText w:val="%7."/>
      <w:lvlJc w:val="left"/>
      <w:pPr>
        <w:tabs>
          <w:tab w:val="num" w:pos="6120"/>
        </w:tabs>
        <w:ind w:left="6120" w:hanging="360"/>
      </w:pPr>
    </w:lvl>
    <w:lvl w:ilvl="7" w:tplc="6A40A0FC" w:tentative="1">
      <w:start w:val="1"/>
      <w:numFmt w:val="lowerLetter"/>
      <w:lvlText w:val="%8."/>
      <w:lvlJc w:val="left"/>
      <w:pPr>
        <w:tabs>
          <w:tab w:val="num" w:pos="6840"/>
        </w:tabs>
        <w:ind w:left="6840" w:hanging="360"/>
      </w:pPr>
    </w:lvl>
    <w:lvl w:ilvl="8" w:tplc="5E44AB0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E785AF4">
      <w:start w:val="1"/>
      <w:numFmt w:val="lowerRoman"/>
      <w:lvlText w:val="(%1)"/>
      <w:lvlJc w:val="left"/>
      <w:pPr>
        <w:tabs>
          <w:tab w:val="num" w:pos="1440"/>
        </w:tabs>
        <w:ind w:left="1440" w:hanging="720"/>
      </w:pPr>
      <w:rPr>
        <w:rFonts w:hint="default"/>
      </w:rPr>
    </w:lvl>
    <w:lvl w:ilvl="1" w:tplc="9B069DE0" w:tentative="1">
      <w:start w:val="1"/>
      <w:numFmt w:val="lowerLetter"/>
      <w:lvlText w:val="%2."/>
      <w:lvlJc w:val="left"/>
      <w:pPr>
        <w:tabs>
          <w:tab w:val="num" w:pos="1800"/>
        </w:tabs>
        <w:ind w:left="1800" w:hanging="360"/>
      </w:pPr>
    </w:lvl>
    <w:lvl w:ilvl="2" w:tplc="2B2C9582" w:tentative="1">
      <w:start w:val="1"/>
      <w:numFmt w:val="lowerRoman"/>
      <w:lvlText w:val="%3."/>
      <w:lvlJc w:val="right"/>
      <w:pPr>
        <w:tabs>
          <w:tab w:val="num" w:pos="2520"/>
        </w:tabs>
        <w:ind w:left="2520" w:hanging="180"/>
      </w:pPr>
    </w:lvl>
    <w:lvl w:ilvl="3" w:tplc="0BC84284" w:tentative="1">
      <w:start w:val="1"/>
      <w:numFmt w:val="decimal"/>
      <w:lvlText w:val="%4."/>
      <w:lvlJc w:val="left"/>
      <w:pPr>
        <w:tabs>
          <w:tab w:val="num" w:pos="3240"/>
        </w:tabs>
        <w:ind w:left="3240" w:hanging="360"/>
      </w:pPr>
    </w:lvl>
    <w:lvl w:ilvl="4" w:tplc="48B49716" w:tentative="1">
      <w:start w:val="1"/>
      <w:numFmt w:val="lowerLetter"/>
      <w:lvlText w:val="%5."/>
      <w:lvlJc w:val="left"/>
      <w:pPr>
        <w:tabs>
          <w:tab w:val="num" w:pos="3960"/>
        </w:tabs>
        <w:ind w:left="3960" w:hanging="360"/>
      </w:pPr>
    </w:lvl>
    <w:lvl w:ilvl="5" w:tplc="C53C31B2" w:tentative="1">
      <w:start w:val="1"/>
      <w:numFmt w:val="lowerRoman"/>
      <w:lvlText w:val="%6."/>
      <w:lvlJc w:val="right"/>
      <w:pPr>
        <w:tabs>
          <w:tab w:val="num" w:pos="4680"/>
        </w:tabs>
        <w:ind w:left="4680" w:hanging="180"/>
      </w:pPr>
    </w:lvl>
    <w:lvl w:ilvl="6" w:tplc="FE3A8466" w:tentative="1">
      <w:start w:val="1"/>
      <w:numFmt w:val="decimal"/>
      <w:lvlText w:val="%7."/>
      <w:lvlJc w:val="left"/>
      <w:pPr>
        <w:tabs>
          <w:tab w:val="num" w:pos="5400"/>
        </w:tabs>
        <w:ind w:left="5400" w:hanging="360"/>
      </w:pPr>
    </w:lvl>
    <w:lvl w:ilvl="7" w:tplc="A18AB43C" w:tentative="1">
      <w:start w:val="1"/>
      <w:numFmt w:val="lowerLetter"/>
      <w:lvlText w:val="%8."/>
      <w:lvlJc w:val="left"/>
      <w:pPr>
        <w:tabs>
          <w:tab w:val="num" w:pos="6120"/>
        </w:tabs>
        <w:ind w:left="6120" w:hanging="360"/>
      </w:pPr>
    </w:lvl>
    <w:lvl w:ilvl="8" w:tplc="F8AA54C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A507586">
      <w:start w:val="1"/>
      <w:numFmt w:val="lowerRoman"/>
      <w:lvlText w:val="(%1)"/>
      <w:lvlJc w:val="left"/>
      <w:pPr>
        <w:tabs>
          <w:tab w:val="num" w:pos="2448"/>
        </w:tabs>
        <w:ind w:left="2448" w:hanging="648"/>
      </w:pPr>
      <w:rPr>
        <w:rFonts w:hint="default"/>
        <w:b w:val="0"/>
        <w:i w:val="0"/>
        <w:u w:val="none"/>
      </w:rPr>
    </w:lvl>
    <w:lvl w:ilvl="1" w:tplc="F4B8E7FE" w:tentative="1">
      <w:start w:val="1"/>
      <w:numFmt w:val="lowerLetter"/>
      <w:lvlText w:val="%2."/>
      <w:lvlJc w:val="left"/>
      <w:pPr>
        <w:tabs>
          <w:tab w:val="num" w:pos="1440"/>
        </w:tabs>
        <w:ind w:left="1440" w:hanging="360"/>
      </w:pPr>
    </w:lvl>
    <w:lvl w:ilvl="2" w:tplc="B7F4ADDE" w:tentative="1">
      <w:start w:val="1"/>
      <w:numFmt w:val="lowerRoman"/>
      <w:lvlText w:val="%3."/>
      <w:lvlJc w:val="right"/>
      <w:pPr>
        <w:tabs>
          <w:tab w:val="num" w:pos="2160"/>
        </w:tabs>
        <w:ind w:left="2160" w:hanging="180"/>
      </w:pPr>
    </w:lvl>
    <w:lvl w:ilvl="3" w:tplc="9B82715C" w:tentative="1">
      <w:start w:val="1"/>
      <w:numFmt w:val="decimal"/>
      <w:lvlText w:val="%4."/>
      <w:lvlJc w:val="left"/>
      <w:pPr>
        <w:tabs>
          <w:tab w:val="num" w:pos="2880"/>
        </w:tabs>
        <w:ind w:left="2880" w:hanging="360"/>
      </w:pPr>
    </w:lvl>
    <w:lvl w:ilvl="4" w:tplc="408CA9E6" w:tentative="1">
      <w:start w:val="1"/>
      <w:numFmt w:val="lowerLetter"/>
      <w:lvlText w:val="%5."/>
      <w:lvlJc w:val="left"/>
      <w:pPr>
        <w:tabs>
          <w:tab w:val="num" w:pos="3600"/>
        </w:tabs>
        <w:ind w:left="3600" w:hanging="360"/>
      </w:pPr>
    </w:lvl>
    <w:lvl w:ilvl="5" w:tplc="89E2094C" w:tentative="1">
      <w:start w:val="1"/>
      <w:numFmt w:val="lowerRoman"/>
      <w:lvlText w:val="%6."/>
      <w:lvlJc w:val="right"/>
      <w:pPr>
        <w:tabs>
          <w:tab w:val="num" w:pos="4320"/>
        </w:tabs>
        <w:ind w:left="4320" w:hanging="180"/>
      </w:pPr>
    </w:lvl>
    <w:lvl w:ilvl="6" w:tplc="046A8F7C" w:tentative="1">
      <w:start w:val="1"/>
      <w:numFmt w:val="decimal"/>
      <w:lvlText w:val="%7."/>
      <w:lvlJc w:val="left"/>
      <w:pPr>
        <w:tabs>
          <w:tab w:val="num" w:pos="5040"/>
        </w:tabs>
        <w:ind w:left="5040" w:hanging="360"/>
      </w:pPr>
    </w:lvl>
    <w:lvl w:ilvl="7" w:tplc="0C603CD8" w:tentative="1">
      <w:start w:val="1"/>
      <w:numFmt w:val="lowerLetter"/>
      <w:lvlText w:val="%8."/>
      <w:lvlJc w:val="left"/>
      <w:pPr>
        <w:tabs>
          <w:tab w:val="num" w:pos="5760"/>
        </w:tabs>
        <w:ind w:left="5760" w:hanging="360"/>
      </w:pPr>
    </w:lvl>
    <w:lvl w:ilvl="8" w:tplc="8C4A682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E74793C">
      <w:start w:val="1"/>
      <w:numFmt w:val="lowerLetter"/>
      <w:lvlText w:val="%1."/>
      <w:lvlJc w:val="left"/>
      <w:pPr>
        <w:tabs>
          <w:tab w:val="num" w:pos="2160"/>
        </w:tabs>
        <w:ind w:left="2160" w:hanging="720"/>
      </w:pPr>
      <w:rPr>
        <w:rFonts w:hint="default"/>
      </w:rPr>
    </w:lvl>
    <w:lvl w:ilvl="1" w:tplc="84285CC6" w:tentative="1">
      <w:start w:val="1"/>
      <w:numFmt w:val="lowerLetter"/>
      <w:lvlText w:val="%2."/>
      <w:lvlJc w:val="left"/>
      <w:pPr>
        <w:tabs>
          <w:tab w:val="num" w:pos="2520"/>
        </w:tabs>
        <w:ind w:left="2520" w:hanging="360"/>
      </w:pPr>
    </w:lvl>
    <w:lvl w:ilvl="2" w:tplc="7B2E3778" w:tentative="1">
      <w:start w:val="1"/>
      <w:numFmt w:val="lowerRoman"/>
      <w:lvlText w:val="%3."/>
      <w:lvlJc w:val="right"/>
      <w:pPr>
        <w:tabs>
          <w:tab w:val="num" w:pos="3240"/>
        </w:tabs>
        <w:ind w:left="3240" w:hanging="180"/>
      </w:pPr>
    </w:lvl>
    <w:lvl w:ilvl="3" w:tplc="6F5EE5A6" w:tentative="1">
      <w:start w:val="1"/>
      <w:numFmt w:val="decimal"/>
      <w:lvlText w:val="%4."/>
      <w:lvlJc w:val="left"/>
      <w:pPr>
        <w:tabs>
          <w:tab w:val="num" w:pos="3960"/>
        </w:tabs>
        <w:ind w:left="3960" w:hanging="360"/>
      </w:pPr>
    </w:lvl>
    <w:lvl w:ilvl="4" w:tplc="B1AA4230" w:tentative="1">
      <w:start w:val="1"/>
      <w:numFmt w:val="lowerLetter"/>
      <w:lvlText w:val="%5."/>
      <w:lvlJc w:val="left"/>
      <w:pPr>
        <w:tabs>
          <w:tab w:val="num" w:pos="4680"/>
        </w:tabs>
        <w:ind w:left="4680" w:hanging="360"/>
      </w:pPr>
    </w:lvl>
    <w:lvl w:ilvl="5" w:tplc="8B0E3D26" w:tentative="1">
      <w:start w:val="1"/>
      <w:numFmt w:val="lowerRoman"/>
      <w:lvlText w:val="%6."/>
      <w:lvlJc w:val="right"/>
      <w:pPr>
        <w:tabs>
          <w:tab w:val="num" w:pos="5400"/>
        </w:tabs>
        <w:ind w:left="5400" w:hanging="180"/>
      </w:pPr>
    </w:lvl>
    <w:lvl w:ilvl="6" w:tplc="61A8C552" w:tentative="1">
      <w:start w:val="1"/>
      <w:numFmt w:val="decimal"/>
      <w:lvlText w:val="%7."/>
      <w:lvlJc w:val="left"/>
      <w:pPr>
        <w:tabs>
          <w:tab w:val="num" w:pos="6120"/>
        </w:tabs>
        <w:ind w:left="6120" w:hanging="360"/>
      </w:pPr>
    </w:lvl>
    <w:lvl w:ilvl="7" w:tplc="8502218A" w:tentative="1">
      <w:start w:val="1"/>
      <w:numFmt w:val="lowerLetter"/>
      <w:lvlText w:val="%8."/>
      <w:lvlJc w:val="left"/>
      <w:pPr>
        <w:tabs>
          <w:tab w:val="num" w:pos="6840"/>
        </w:tabs>
        <w:ind w:left="6840" w:hanging="360"/>
      </w:pPr>
    </w:lvl>
    <w:lvl w:ilvl="8" w:tplc="1C680F6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AB1AA0FC">
      <w:start w:val="1"/>
      <w:numFmt w:val="bullet"/>
      <w:lvlText w:val=""/>
      <w:lvlJc w:val="left"/>
      <w:pPr>
        <w:tabs>
          <w:tab w:val="num" w:pos="5760"/>
        </w:tabs>
        <w:ind w:left="5760" w:hanging="360"/>
      </w:pPr>
      <w:rPr>
        <w:rFonts w:ascii="Symbol" w:hAnsi="Symbol" w:hint="default"/>
        <w:color w:val="auto"/>
        <w:u w:val="none"/>
      </w:rPr>
    </w:lvl>
    <w:lvl w:ilvl="1" w:tplc="7ACA0B02" w:tentative="1">
      <w:start w:val="1"/>
      <w:numFmt w:val="bullet"/>
      <w:lvlText w:val="o"/>
      <w:lvlJc w:val="left"/>
      <w:pPr>
        <w:tabs>
          <w:tab w:val="num" w:pos="3600"/>
        </w:tabs>
        <w:ind w:left="3600" w:hanging="360"/>
      </w:pPr>
      <w:rPr>
        <w:rFonts w:ascii="Courier New" w:hAnsi="Courier New" w:hint="default"/>
      </w:rPr>
    </w:lvl>
    <w:lvl w:ilvl="2" w:tplc="CAF0E5FA" w:tentative="1">
      <w:start w:val="1"/>
      <w:numFmt w:val="bullet"/>
      <w:lvlText w:val=""/>
      <w:lvlJc w:val="left"/>
      <w:pPr>
        <w:tabs>
          <w:tab w:val="num" w:pos="4320"/>
        </w:tabs>
        <w:ind w:left="4320" w:hanging="360"/>
      </w:pPr>
      <w:rPr>
        <w:rFonts w:ascii="Wingdings" w:hAnsi="Wingdings" w:hint="default"/>
      </w:rPr>
    </w:lvl>
    <w:lvl w:ilvl="3" w:tplc="418AC2A8">
      <w:start w:val="1"/>
      <w:numFmt w:val="bullet"/>
      <w:lvlText w:val=""/>
      <w:lvlJc w:val="left"/>
      <w:pPr>
        <w:tabs>
          <w:tab w:val="num" w:pos="5040"/>
        </w:tabs>
        <w:ind w:left="5040" w:hanging="360"/>
      </w:pPr>
      <w:rPr>
        <w:rFonts w:ascii="Symbol" w:hAnsi="Symbol" w:hint="default"/>
      </w:rPr>
    </w:lvl>
    <w:lvl w:ilvl="4" w:tplc="3B1E5E98" w:tentative="1">
      <w:start w:val="1"/>
      <w:numFmt w:val="bullet"/>
      <w:lvlText w:val="o"/>
      <w:lvlJc w:val="left"/>
      <w:pPr>
        <w:tabs>
          <w:tab w:val="num" w:pos="5760"/>
        </w:tabs>
        <w:ind w:left="5760" w:hanging="360"/>
      </w:pPr>
      <w:rPr>
        <w:rFonts w:ascii="Courier New" w:hAnsi="Courier New" w:hint="default"/>
      </w:rPr>
    </w:lvl>
    <w:lvl w:ilvl="5" w:tplc="6BE6B42E" w:tentative="1">
      <w:start w:val="1"/>
      <w:numFmt w:val="bullet"/>
      <w:lvlText w:val=""/>
      <w:lvlJc w:val="left"/>
      <w:pPr>
        <w:tabs>
          <w:tab w:val="num" w:pos="6480"/>
        </w:tabs>
        <w:ind w:left="6480" w:hanging="360"/>
      </w:pPr>
      <w:rPr>
        <w:rFonts w:ascii="Wingdings" w:hAnsi="Wingdings" w:hint="default"/>
      </w:rPr>
    </w:lvl>
    <w:lvl w:ilvl="6" w:tplc="E68AF61C" w:tentative="1">
      <w:start w:val="1"/>
      <w:numFmt w:val="bullet"/>
      <w:lvlText w:val=""/>
      <w:lvlJc w:val="left"/>
      <w:pPr>
        <w:tabs>
          <w:tab w:val="num" w:pos="7200"/>
        </w:tabs>
        <w:ind w:left="7200" w:hanging="360"/>
      </w:pPr>
      <w:rPr>
        <w:rFonts w:ascii="Symbol" w:hAnsi="Symbol" w:hint="default"/>
      </w:rPr>
    </w:lvl>
    <w:lvl w:ilvl="7" w:tplc="37ECA270" w:tentative="1">
      <w:start w:val="1"/>
      <w:numFmt w:val="bullet"/>
      <w:lvlText w:val="o"/>
      <w:lvlJc w:val="left"/>
      <w:pPr>
        <w:tabs>
          <w:tab w:val="num" w:pos="7920"/>
        </w:tabs>
        <w:ind w:left="7920" w:hanging="360"/>
      </w:pPr>
      <w:rPr>
        <w:rFonts w:ascii="Courier New" w:hAnsi="Courier New" w:hint="default"/>
      </w:rPr>
    </w:lvl>
    <w:lvl w:ilvl="8" w:tplc="54EEC82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1AEDE6C">
      <w:start w:val="1"/>
      <w:numFmt w:val="bullet"/>
      <w:lvlText w:val=""/>
      <w:lvlJc w:val="left"/>
      <w:pPr>
        <w:tabs>
          <w:tab w:val="num" w:pos="720"/>
        </w:tabs>
        <w:ind w:left="720" w:hanging="360"/>
      </w:pPr>
      <w:rPr>
        <w:rFonts w:ascii="Symbol" w:hAnsi="Symbol" w:hint="default"/>
      </w:rPr>
    </w:lvl>
    <w:lvl w:ilvl="1" w:tplc="6FE66780" w:tentative="1">
      <w:start w:val="1"/>
      <w:numFmt w:val="bullet"/>
      <w:lvlText w:val="o"/>
      <w:lvlJc w:val="left"/>
      <w:pPr>
        <w:tabs>
          <w:tab w:val="num" w:pos="1440"/>
        </w:tabs>
        <w:ind w:left="1440" w:hanging="360"/>
      </w:pPr>
      <w:rPr>
        <w:rFonts w:ascii="Courier New" w:hAnsi="Courier New" w:hint="default"/>
      </w:rPr>
    </w:lvl>
    <w:lvl w:ilvl="2" w:tplc="28CA31D6" w:tentative="1">
      <w:start w:val="1"/>
      <w:numFmt w:val="bullet"/>
      <w:lvlText w:val=""/>
      <w:lvlJc w:val="left"/>
      <w:pPr>
        <w:tabs>
          <w:tab w:val="num" w:pos="2160"/>
        </w:tabs>
        <w:ind w:left="2160" w:hanging="360"/>
      </w:pPr>
      <w:rPr>
        <w:rFonts w:ascii="Wingdings" w:hAnsi="Wingdings" w:hint="default"/>
      </w:rPr>
    </w:lvl>
    <w:lvl w:ilvl="3" w:tplc="26B09476" w:tentative="1">
      <w:start w:val="1"/>
      <w:numFmt w:val="bullet"/>
      <w:lvlText w:val=""/>
      <w:lvlJc w:val="left"/>
      <w:pPr>
        <w:tabs>
          <w:tab w:val="num" w:pos="2880"/>
        </w:tabs>
        <w:ind w:left="2880" w:hanging="360"/>
      </w:pPr>
      <w:rPr>
        <w:rFonts w:ascii="Symbol" w:hAnsi="Symbol" w:hint="default"/>
      </w:rPr>
    </w:lvl>
    <w:lvl w:ilvl="4" w:tplc="E09A01AE" w:tentative="1">
      <w:start w:val="1"/>
      <w:numFmt w:val="bullet"/>
      <w:lvlText w:val="o"/>
      <w:lvlJc w:val="left"/>
      <w:pPr>
        <w:tabs>
          <w:tab w:val="num" w:pos="3600"/>
        </w:tabs>
        <w:ind w:left="3600" w:hanging="360"/>
      </w:pPr>
      <w:rPr>
        <w:rFonts w:ascii="Courier New" w:hAnsi="Courier New" w:hint="default"/>
      </w:rPr>
    </w:lvl>
    <w:lvl w:ilvl="5" w:tplc="EF7AD5F6" w:tentative="1">
      <w:start w:val="1"/>
      <w:numFmt w:val="bullet"/>
      <w:lvlText w:val=""/>
      <w:lvlJc w:val="left"/>
      <w:pPr>
        <w:tabs>
          <w:tab w:val="num" w:pos="4320"/>
        </w:tabs>
        <w:ind w:left="4320" w:hanging="360"/>
      </w:pPr>
      <w:rPr>
        <w:rFonts w:ascii="Wingdings" w:hAnsi="Wingdings" w:hint="default"/>
      </w:rPr>
    </w:lvl>
    <w:lvl w:ilvl="6" w:tplc="E29034A4" w:tentative="1">
      <w:start w:val="1"/>
      <w:numFmt w:val="bullet"/>
      <w:lvlText w:val=""/>
      <w:lvlJc w:val="left"/>
      <w:pPr>
        <w:tabs>
          <w:tab w:val="num" w:pos="5040"/>
        </w:tabs>
        <w:ind w:left="5040" w:hanging="360"/>
      </w:pPr>
      <w:rPr>
        <w:rFonts w:ascii="Symbol" w:hAnsi="Symbol" w:hint="default"/>
      </w:rPr>
    </w:lvl>
    <w:lvl w:ilvl="7" w:tplc="C72C8F82" w:tentative="1">
      <w:start w:val="1"/>
      <w:numFmt w:val="bullet"/>
      <w:lvlText w:val="o"/>
      <w:lvlJc w:val="left"/>
      <w:pPr>
        <w:tabs>
          <w:tab w:val="num" w:pos="5760"/>
        </w:tabs>
        <w:ind w:left="5760" w:hanging="360"/>
      </w:pPr>
      <w:rPr>
        <w:rFonts w:ascii="Courier New" w:hAnsi="Courier New" w:hint="default"/>
      </w:rPr>
    </w:lvl>
    <w:lvl w:ilvl="8" w:tplc="063A46E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F0BE6904">
      <w:start w:val="6"/>
      <w:numFmt w:val="lowerRoman"/>
      <w:lvlText w:val="(%1)"/>
      <w:lvlJc w:val="left"/>
      <w:pPr>
        <w:tabs>
          <w:tab w:val="num" w:pos="1440"/>
        </w:tabs>
        <w:ind w:left="1440" w:hanging="720"/>
      </w:pPr>
      <w:rPr>
        <w:rFonts w:hint="default"/>
        <w:u w:val="double"/>
      </w:rPr>
    </w:lvl>
    <w:lvl w:ilvl="1" w:tplc="5C6647F6" w:tentative="1">
      <w:start w:val="1"/>
      <w:numFmt w:val="lowerLetter"/>
      <w:lvlText w:val="%2."/>
      <w:lvlJc w:val="left"/>
      <w:pPr>
        <w:tabs>
          <w:tab w:val="num" w:pos="1800"/>
        </w:tabs>
        <w:ind w:left="1800" w:hanging="360"/>
      </w:pPr>
    </w:lvl>
    <w:lvl w:ilvl="2" w:tplc="1F520A48" w:tentative="1">
      <w:start w:val="1"/>
      <w:numFmt w:val="lowerRoman"/>
      <w:lvlText w:val="%3."/>
      <w:lvlJc w:val="right"/>
      <w:pPr>
        <w:tabs>
          <w:tab w:val="num" w:pos="2520"/>
        </w:tabs>
        <w:ind w:left="2520" w:hanging="180"/>
      </w:pPr>
    </w:lvl>
    <w:lvl w:ilvl="3" w:tplc="CA20BF74" w:tentative="1">
      <w:start w:val="1"/>
      <w:numFmt w:val="decimal"/>
      <w:lvlText w:val="%4."/>
      <w:lvlJc w:val="left"/>
      <w:pPr>
        <w:tabs>
          <w:tab w:val="num" w:pos="3240"/>
        </w:tabs>
        <w:ind w:left="3240" w:hanging="360"/>
      </w:pPr>
    </w:lvl>
    <w:lvl w:ilvl="4" w:tplc="71C8A7F0" w:tentative="1">
      <w:start w:val="1"/>
      <w:numFmt w:val="lowerLetter"/>
      <w:lvlText w:val="%5."/>
      <w:lvlJc w:val="left"/>
      <w:pPr>
        <w:tabs>
          <w:tab w:val="num" w:pos="3960"/>
        </w:tabs>
        <w:ind w:left="3960" w:hanging="360"/>
      </w:pPr>
    </w:lvl>
    <w:lvl w:ilvl="5" w:tplc="30B04A7A" w:tentative="1">
      <w:start w:val="1"/>
      <w:numFmt w:val="lowerRoman"/>
      <w:lvlText w:val="%6."/>
      <w:lvlJc w:val="right"/>
      <w:pPr>
        <w:tabs>
          <w:tab w:val="num" w:pos="4680"/>
        </w:tabs>
        <w:ind w:left="4680" w:hanging="180"/>
      </w:pPr>
    </w:lvl>
    <w:lvl w:ilvl="6" w:tplc="9512367A" w:tentative="1">
      <w:start w:val="1"/>
      <w:numFmt w:val="decimal"/>
      <w:lvlText w:val="%7."/>
      <w:lvlJc w:val="left"/>
      <w:pPr>
        <w:tabs>
          <w:tab w:val="num" w:pos="5400"/>
        </w:tabs>
        <w:ind w:left="5400" w:hanging="360"/>
      </w:pPr>
    </w:lvl>
    <w:lvl w:ilvl="7" w:tplc="727A26EE" w:tentative="1">
      <w:start w:val="1"/>
      <w:numFmt w:val="lowerLetter"/>
      <w:lvlText w:val="%8."/>
      <w:lvlJc w:val="left"/>
      <w:pPr>
        <w:tabs>
          <w:tab w:val="num" w:pos="6120"/>
        </w:tabs>
        <w:ind w:left="6120" w:hanging="360"/>
      </w:pPr>
    </w:lvl>
    <w:lvl w:ilvl="8" w:tplc="045A432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6196"/>
    <w:rsid w:val="008C0134"/>
    <w:rsid w:val="009A619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196"/>
    <w:rPr>
      <w:sz w:val="24"/>
      <w:szCs w:val="24"/>
    </w:rPr>
  </w:style>
  <w:style w:type="paragraph" w:styleId="Heading1">
    <w:name w:val="heading 1"/>
    <w:basedOn w:val="Normal"/>
    <w:next w:val="Normal"/>
    <w:link w:val="Heading1Char"/>
    <w:qFormat/>
    <w:rsid w:val="009A6196"/>
    <w:pPr>
      <w:keepNext/>
      <w:pageBreakBefore/>
      <w:spacing w:before="240" w:after="240"/>
      <w:ind w:left="720" w:hanging="720"/>
      <w:outlineLvl w:val="0"/>
    </w:pPr>
    <w:rPr>
      <w:b/>
    </w:rPr>
  </w:style>
  <w:style w:type="paragraph" w:styleId="Heading2">
    <w:name w:val="heading 2"/>
    <w:basedOn w:val="Normal"/>
    <w:next w:val="Normal"/>
    <w:qFormat/>
    <w:rsid w:val="009A619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A619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A6196"/>
    <w:pPr>
      <w:keepNext/>
      <w:tabs>
        <w:tab w:val="left" w:pos="1800"/>
      </w:tabs>
      <w:spacing w:before="240" w:after="240"/>
      <w:ind w:left="1800" w:hanging="1080"/>
      <w:outlineLvl w:val="3"/>
    </w:pPr>
    <w:rPr>
      <w:b/>
    </w:rPr>
  </w:style>
  <w:style w:type="paragraph" w:styleId="Heading5">
    <w:name w:val="heading 5"/>
    <w:basedOn w:val="Normal"/>
    <w:next w:val="Normal"/>
    <w:qFormat/>
    <w:rsid w:val="009A6196"/>
    <w:pPr>
      <w:keepNext/>
      <w:spacing w:line="480" w:lineRule="auto"/>
      <w:ind w:left="1440" w:right="-90" w:hanging="720"/>
      <w:outlineLvl w:val="4"/>
    </w:pPr>
    <w:rPr>
      <w:b/>
    </w:rPr>
  </w:style>
  <w:style w:type="paragraph" w:styleId="Heading6">
    <w:name w:val="heading 6"/>
    <w:basedOn w:val="Normal"/>
    <w:next w:val="Normal"/>
    <w:qFormat/>
    <w:rsid w:val="009A6196"/>
    <w:pPr>
      <w:keepNext/>
      <w:spacing w:line="480" w:lineRule="auto"/>
      <w:ind w:left="1080" w:right="-90" w:hanging="360"/>
      <w:outlineLvl w:val="5"/>
    </w:pPr>
    <w:rPr>
      <w:b/>
    </w:rPr>
  </w:style>
  <w:style w:type="paragraph" w:styleId="Heading7">
    <w:name w:val="heading 7"/>
    <w:basedOn w:val="Normal"/>
    <w:next w:val="Normal"/>
    <w:qFormat/>
    <w:rsid w:val="009A6196"/>
    <w:pPr>
      <w:keepNext/>
      <w:spacing w:line="480" w:lineRule="auto"/>
      <w:ind w:left="720" w:right="630"/>
      <w:outlineLvl w:val="6"/>
    </w:pPr>
    <w:rPr>
      <w:b/>
    </w:rPr>
  </w:style>
  <w:style w:type="paragraph" w:styleId="Heading8">
    <w:name w:val="heading 8"/>
    <w:basedOn w:val="Normal"/>
    <w:next w:val="Normal"/>
    <w:qFormat/>
    <w:rsid w:val="009A6196"/>
    <w:pPr>
      <w:keepNext/>
      <w:spacing w:line="480" w:lineRule="auto"/>
      <w:ind w:left="720" w:right="-90"/>
      <w:outlineLvl w:val="7"/>
    </w:pPr>
    <w:rPr>
      <w:b/>
    </w:rPr>
  </w:style>
  <w:style w:type="paragraph" w:styleId="Heading9">
    <w:name w:val="heading 9"/>
    <w:basedOn w:val="Normal"/>
    <w:next w:val="Normal"/>
    <w:qFormat/>
    <w:rsid w:val="009A619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6196"/>
    <w:rPr>
      <w:b/>
      <w:snapToGrid w:val="0"/>
      <w:sz w:val="24"/>
      <w:lang w:val="en-US" w:eastAsia="en-US" w:bidi="ar-SA"/>
    </w:rPr>
  </w:style>
  <w:style w:type="paragraph" w:styleId="Title">
    <w:name w:val="Title"/>
    <w:basedOn w:val="Normal"/>
    <w:qFormat/>
    <w:rsid w:val="009A6196"/>
    <w:pPr>
      <w:jc w:val="center"/>
    </w:pPr>
    <w:rPr>
      <w:b/>
      <w:bCs/>
    </w:rPr>
  </w:style>
  <w:style w:type="character" w:styleId="CommentReference">
    <w:name w:val="annotation reference"/>
    <w:basedOn w:val="DefaultParagraphFont"/>
    <w:semiHidden/>
    <w:rsid w:val="009A6196"/>
    <w:rPr>
      <w:sz w:val="16"/>
      <w:szCs w:val="16"/>
    </w:rPr>
  </w:style>
  <w:style w:type="paragraph" w:styleId="CommentText">
    <w:name w:val="annotation text"/>
    <w:basedOn w:val="Normal"/>
    <w:semiHidden/>
    <w:rsid w:val="009A6196"/>
    <w:pPr>
      <w:widowControl w:val="0"/>
    </w:pPr>
    <w:rPr>
      <w:sz w:val="20"/>
      <w:szCs w:val="20"/>
    </w:rPr>
  </w:style>
  <w:style w:type="paragraph" w:styleId="Header">
    <w:name w:val="header"/>
    <w:basedOn w:val="Normal"/>
    <w:rsid w:val="009A6196"/>
    <w:pPr>
      <w:tabs>
        <w:tab w:val="center" w:pos="4680"/>
        <w:tab w:val="right" w:pos="9360"/>
      </w:tabs>
    </w:pPr>
  </w:style>
  <w:style w:type="paragraph" w:styleId="Subtitle">
    <w:name w:val="Subtitle"/>
    <w:basedOn w:val="Normal"/>
    <w:qFormat/>
    <w:rsid w:val="009A6196"/>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9A6196"/>
  </w:style>
  <w:style w:type="paragraph" w:styleId="BalloonText">
    <w:name w:val="Balloon Text"/>
    <w:basedOn w:val="Normal"/>
    <w:semiHidden/>
    <w:rsid w:val="009A6196"/>
    <w:rPr>
      <w:rFonts w:ascii="Tahoma" w:hAnsi="Tahoma" w:cs="Tahoma"/>
      <w:sz w:val="16"/>
      <w:szCs w:val="16"/>
    </w:rPr>
  </w:style>
  <w:style w:type="paragraph" w:customStyle="1" w:styleId="Default">
    <w:name w:val="Default"/>
    <w:rsid w:val="009A6196"/>
    <w:pPr>
      <w:widowControl w:val="0"/>
      <w:autoSpaceDE w:val="0"/>
      <w:autoSpaceDN w:val="0"/>
      <w:adjustRightInd w:val="0"/>
    </w:pPr>
    <w:rPr>
      <w:color w:val="000000"/>
      <w:sz w:val="24"/>
      <w:szCs w:val="24"/>
    </w:rPr>
  </w:style>
  <w:style w:type="character" w:styleId="FootnoteReference">
    <w:name w:val="footnote reference"/>
    <w:semiHidden/>
    <w:rsid w:val="009A6196"/>
  </w:style>
  <w:style w:type="paragraph" w:customStyle="1" w:styleId="Definition">
    <w:name w:val="Definition"/>
    <w:basedOn w:val="Normal"/>
    <w:rsid w:val="009A6196"/>
    <w:pPr>
      <w:spacing w:before="240" w:after="240"/>
    </w:pPr>
  </w:style>
  <w:style w:type="paragraph" w:customStyle="1" w:styleId="Definitionindent">
    <w:name w:val="Definition indent"/>
    <w:basedOn w:val="Definition"/>
    <w:rsid w:val="009A6196"/>
    <w:pPr>
      <w:spacing w:before="120" w:after="120"/>
      <w:ind w:left="720"/>
    </w:pPr>
  </w:style>
  <w:style w:type="paragraph" w:customStyle="1" w:styleId="Bodypara">
    <w:name w:val="Body para"/>
    <w:basedOn w:val="Normal"/>
    <w:rsid w:val="009A6196"/>
    <w:pPr>
      <w:spacing w:line="480" w:lineRule="auto"/>
      <w:ind w:firstLine="720"/>
    </w:pPr>
  </w:style>
  <w:style w:type="paragraph" w:customStyle="1" w:styleId="alphapara">
    <w:name w:val="alpha para"/>
    <w:basedOn w:val="Bodypara"/>
    <w:rsid w:val="009A6196"/>
    <w:pPr>
      <w:ind w:left="1440" w:hanging="720"/>
    </w:pPr>
  </w:style>
  <w:style w:type="paragraph" w:styleId="Date">
    <w:name w:val="Date"/>
    <w:basedOn w:val="Normal"/>
    <w:next w:val="Normal"/>
    <w:rsid w:val="009A6196"/>
  </w:style>
  <w:style w:type="paragraph" w:customStyle="1" w:styleId="TOCheading">
    <w:name w:val="TOC heading"/>
    <w:basedOn w:val="Normal"/>
    <w:rsid w:val="009A6196"/>
    <w:pPr>
      <w:spacing w:before="240" w:after="240"/>
    </w:pPr>
    <w:rPr>
      <w:b/>
    </w:rPr>
  </w:style>
  <w:style w:type="paragraph" w:styleId="DocumentMap">
    <w:name w:val="Document Map"/>
    <w:basedOn w:val="Normal"/>
    <w:semiHidden/>
    <w:rsid w:val="009A6196"/>
    <w:pPr>
      <w:shd w:val="clear" w:color="auto" w:fill="000080"/>
    </w:pPr>
    <w:rPr>
      <w:rFonts w:ascii="Tahoma" w:hAnsi="Tahoma" w:cs="Tahoma"/>
      <w:sz w:val="20"/>
    </w:rPr>
  </w:style>
  <w:style w:type="paragraph" w:customStyle="1" w:styleId="Footers">
    <w:name w:val="Footers"/>
    <w:basedOn w:val="Heading1"/>
    <w:rsid w:val="009A6196"/>
    <w:pPr>
      <w:tabs>
        <w:tab w:val="left" w:pos="1440"/>
        <w:tab w:val="left" w:pos="7020"/>
        <w:tab w:val="right" w:pos="9360"/>
      </w:tabs>
    </w:pPr>
    <w:rPr>
      <w:b w:val="0"/>
      <w:sz w:val="20"/>
    </w:rPr>
  </w:style>
  <w:style w:type="paragraph" w:customStyle="1" w:styleId="subhead">
    <w:name w:val="subhead"/>
    <w:basedOn w:val="Heading4"/>
    <w:rsid w:val="009A6196"/>
    <w:pPr>
      <w:tabs>
        <w:tab w:val="clear" w:pos="1800"/>
      </w:tabs>
      <w:ind w:left="720" w:firstLine="0"/>
    </w:pPr>
  </w:style>
  <w:style w:type="paragraph" w:customStyle="1" w:styleId="alphaheading">
    <w:name w:val="alpha heading"/>
    <w:basedOn w:val="Normal"/>
    <w:rsid w:val="009A6196"/>
    <w:pPr>
      <w:keepNext/>
      <w:tabs>
        <w:tab w:val="left" w:pos="1440"/>
      </w:tabs>
      <w:spacing w:before="240" w:after="240"/>
      <w:ind w:left="1440" w:hanging="720"/>
    </w:pPr>
    <w:rPr>
      <w:b/>
    </w:rPr>
  </w:style>
  <w:style w:type="paragraph" w:customStyle="1" w:styleId="romannumeralpara">
    <w:name w:val="roman numeral para"/>
    <w:basedOn w:val="Normal"/>
    <w:rsid w:val="009A6196"/>
    <w:pPr>
      <w:spacing w:line="480" w:lineRule="auto"/>
      <w:ind w:left="1440" w:hanging="720"/>
    </w:pPr>
  </w:style>
  <w:style w:type="paragraph" w:customStyle="1" w:styleId="Bulletpara">
    <w:name w:val="Bullet para"/>
    <w:basedOn w:val="Normal"/>
    <w:rsid w:val="009A6196"/>
    <w:pPr>
      <w:numPr>
        <w:numId w:val="18"/>
      </w:numPr>
      <w:tabs>
        <w:tab w:val="left" w:pos="900"/>
      </w:tabs>
      <w:spacing w:before="120" w:after="120"/>
    </w:pPr>
  </w:style>
  <w:style w:type="paragraph" w:styleId="TOC1">
    <w:name w:val="toc 1"/>
    <w:basedOn w:val="Normal"/>
    <w:next w:val="Normal"/>
    <w:semiHidden/>
    <w:rsid w:val="009A6196"/>
  </w:style>
  <w:style w:type="paragraph" w:customStyle="1" w:styleId="Tarifftitle">
    <w:name w:val="Tariff title"/>
    <w:basedOn w:val="Normal"/>
    <w:rsid w:val="009A6196"/>
    <w:rPr>
      <w:b/>
      <w:sz w:val="28"/>
      <w:szCs w:val="28"/>
    </w:rPr>
  </w:style>
  <w:style w:type="paragraph" w:styleId="TOC2">
    <w:name w:val="toc 2"/>
    <w:basedOn w:val="Normal"/>
    <w:next w:val="Normal"/>
    <w:semiHidden/>
    <w:rsid w:val="009A6196"/>
    <w:pPr>
      <w:ind w:left="240"/>
    </w:pPr>
  </w:style>
  <w:style w:type="character" w:styleId="Hyperlink">
    <w:name w:val="Hyperlink"/>
    <w:basedOn w:val="DefaultParagraphFont"/>
    <w:rsid w:val="009A6196"/>
    <w:rPr>
      <w:color w:val="0000FF"/>
      <w:u w:val="single"/>
    </w:rPr>
  </w:style>
  <w:style w:type="paragraph" w:styleId="TOC3">
    <w:name w:val="toc 3"/>
    <w:basedOn w:val="Normal"/>
    <w:next w:val="Normal"/>
    <w:semiHidden/>
    <w:rsid w:val="009A6196"/>
    <w:pPr>
      <w:ind w:left="480"/>
    </w:pPr>
  </w:style>
  <w:style w:type="paragraph" w:styleId="TOC4">
    <w:name w:val="toc 4"/>
    <w:basedOn w:val="Normal"/>
    <w:next w:val="Normal"/>
    <w:semiHidden/>
    <w:rsid w:val="009A6196"/>
    <w:pPr>
      <w:ind w:left="720"/>
    </w:pPr>
  </w:style>
  <w:style w:type="paragraph" w:customStyle="1" w:styleId="subalphapara">
    <w:name w:val="sub alpha para"/>
    <w:basedOn w:val="alphapara"/>
    <w:rsid w:val="009A6196"/>
    <w:pPr>
      <w:ind w:firstLine="0"/>
    </w:pPr>
  </w:style>
  <w:style w:type="paragraph" w:customStyle="1" w:styleId="Level1">
    <w:name w:val="Level 1"/>
    <w:basedOn w:val="Normal"/>
    <w:rsid w:val="009A6196"/>
    <w:pPr>
      <w:ind w:left="1890" w:hanging="720"/>
    </w:pPr>
  </w:style>
  <w:style w:type="paragraph" w:styleId="BodyTextIndent2">
    <w:name w:val="Body Text Indent 2"/>
    <w:basedOn w:val="Normal"/>
    <w:rsid w:val="009A6196"/>
    <w:pPr>
      <w:spacing w:line="480" w:lineRule="auto"/>
      <w:ind w:left="720" w:firstLine="720"/>
    </w:pPr>
  </w:style>
  <w:style w:type="paragraph" w:styleId="EndnoteText">
    <w:name w:val="endnote text"/>
    <w:basedOn w:val="Normal"/>
    <w:semiHidden/>
    <w:rsid w:val="009A6196"/>
    <w:rPr>
      <w:sz w:val="20"/>
    </w:rPr>
  </w:style>
  <w:style w:type="character" w:styleId="EndnoteReference">
    <w:name w:val="endnote reference"/>
    <w:basedOn w:val="DefaultParagraphFont"/>
    <w:semiHidden/>
    <w:rsid w:val="009A6196"/>
    <w:rPr>
      <w:vertAlign w:val="superscript"/>
    </w:rPr>
  </w:style>
  <w:style w:type="paragraph" w:styleId="FootnoteText">
    <w:name w:val="footnote text"/>
    <w:basedOn w:val="Normal"/>
    <w:semiHidden/>
    <w:rsid w:val="009A6196"/>
    <w:rPr>
      <w:sz w:val="20"/>
    </w:rPr>
  </w:style>
  <w:style w:type="character" w:customStyle="1" w:styleId="Heading1Char">
    <w:name w:val="Heading 1 Char"/>
    <w:basedOn w:val="DefaultParagraphFont"/>
    <w:link w:val="Heading1"/>
    <w:rsid w:val="009A6196"/>
    <w:rPr>
      <w:b/>
      <w:snapToGrid w:val="0"/>
      <w:sz w:val="24"/>
      <w:lang w:val="en-US" w:eastAsia="en-US" w:bidi="ar-SA"/>
    </w:rPr>
  </w:style>
  <w:style w:type="paragraph" w:styleId="Footer">
    <w:name w:val="footer"/>
    <w:basedOn w:val="Normal"/>
    <w:rsid w:val="009A619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2762</Words>
  <Characters>15747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2017-12-13T22:18:00Z</dcterms:created>
  <dcterms:modified xsi:type="dcterms:W3CDTF">2017-12-13T22:18:00Z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33479703v1</vt:lpwstr>
  </property>
</Properties>
</file>