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E0" w:rsidRDefault="00CA32A3">
      <w:r>
        <w:rPr>
          <w:noProof/>
        </w:rPr>
        <w:pict>
          <v:shapetype id="_x0000_t202" coordsize="21600,21600" o:spt="202" path="m,l,21600r21600,l21600,xe">
            <v:stroke joinstyle="miter"/>
            <v:path gradientshapeok="t" o:connecttype="rect"/>
          </v:shapetype>
          <v:shape id="_x0000_s1032" type="#_x0000_t202" style="position:absolute;margin-left:294.3pt;margin-top:-8.9pt;width:205.4pt;height:25.4pt;z-index:251658752" filled="f" stroked="f">
            <v:textbox style="mso-next-textbox:#_x0000_s1032">
              <w:txbxContent>
                <w:p w:rsidR="00C651EA" w:rsidRDefault="00C651EA">
                  <w:pPr>
                    <w:pStyle w:val="Heading1"/>
                    <w:jc w:val="center"/>
                  </w:pPr>
                  <w:smartTag w:uri="urn:schemas-microsoft-com:office:smarttags" w:element="address">
                    <w:smartTag w:uri="urn:schemas-microsoft-com:office:smarttags" w:element="Street">
                      <w:r>
                        <w:t xml:space="preserve">10 </w:t>
                      </w:r>
                      <w:proofErr w:type="spellStart"/>
                      <w:r>
                        <w:t>Krey</w:t>
                      </w:r>
                      <w:proofErr w:type="spellEnd"/>
                      <w:r>
                        <w:t xml:space="preserve"> Boulevard</w:t>
                      </w:r>
                    </w:smartTag>
                    <w:r>
                      <w:t xml:space="preserve"> </w:t>
                    </w:r>
                    <w:r>
                      <w:rPr>
                        <w:color w:val="CC9900"/>
                        <w:sz w:val="10"/>
                        <w:szCs w:val="10"/>
                      </w:rPr>
                      <w:sym w:font="Wingdings" w:char="F074"/>
                    </w:r>
                    <w:r>
                      <w:t xml:space="preserve">  </w:t>
                    </w:r>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txbxContent>
            </v:textbox>
            <w10:wrap type="topAndBottom"/>
          </v:shape>
        </w:pict>
      </w:r>
      <w:r>
        <w:rPr>
          <w:noProof/>
        </w:rPr>
        <w:pict>
          <v:line id="_x0000_s1030" style="position:absolute;z-index:251656704;mso-position-vertical-relative:page" from="34.65pt,81.3pt" to="474.1pt,81.3pt" o:allowoverlap="f">
            <o:lock v:ext="edit" aspectratio="t"/>
            <w10:wrap anchory="page"/>
            <w10:anchorlock/>
          </v:line>
        </w:pict>
      </w:r>
      <w:r w:rsidR="00A70807">
        <w:rPr>
          <w:noProof/>
        </w:rPr>
        <w:drawing>
          <wp:anchor distT="0" distB="0" distL="114300" distR="114300" simplePos="0" relativeHeight="251657728" behindDoc="1" locked="1" layoutInCell="1" allowOverlap="0">
            <wp:simplePos x="0" y="0"/>
            <wp:positionH relativeFrom="column">
              <wp:posOffset>-309245</wp:posOffset>
            </wp:positionH>
            <wp:positionV relativeFrom="page">
              <wp:posOffset>548640</wp:posOffset>
            </wp:positionV>
            <wp:extent cx="3206115" cy="526415"/>
            <wp:effectExtent l="19050" t="0" r="0" b="0"/>
            <wp:wrapTight wrapText="bothSides">
              <wp:wrapPolygon edited="0">
                <wp:start x="-128" y="0"/>
                <wp:lineTo x="-128" y="21105"/>
                <wp:lineTo x="21561" y="21105"/>
                <wp:lineTo x="21561" y="0"/>
                <wp:lineTo x="-12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206115" cy="526415"/>
                    </a:xfrm>
                    <a:prstGeom prst="rect">
                      <a:avLst/>
                    </a:prstGeom>
                    <a:noFill/>
                    <a:ln w="9525">
                      <a:noFill/>
                      <a:miter lim="800000"/>
                      <a:headEnd/>
                      <a:tailEnd/>
                    </a:ln>
                  </pic:spPr>
                </pic:pic>
              </a:graphicData>
            </a:graphic>
          </wp:anchor>
        </w:drawing>
      </w:r>
    </w:p>
    <w:p w:rsidR="00E143E0" w:rsidRDefault="00E143E0">
      <w:pPr>
        <w:pStyle w:val="Default"/>
        <w:rPr>
          <w:rFonts w:ascii="Times New Roman" w:hAnsi="Times New Roman" w:cs="Times New Roman"/>
        </w:rPr>
      </w:pPr>
      <w:bookmarkStart w:id="0" w:name="OLE_LINK1"/>
    </w:p>
    <w:p w:rsidR="002B1FBF" w:rsidRDefault="002B1FBF">
      <w:pPr>
        <w:pStyle w:val="Default"/>
        <w:rPr>
          <w:rFonts w:ascii="Times New Roman" w:hAnsi="Times New Roman" w:cs="Times New Roman"/>
        </w:rPr>
      </w:pPr>
    </w:p>
    <w:p w:rsidR="00E143E0" w:rsidRDefault="00E143E0">
      <w:pPr>
        <w:pStyle w:val="Default"/>
        <w:rPr>
          <w:rFonts w:ascii="Times New Roman" w:hAnsi="Times New Roman" w:cs="Times New Roman"/>
        </w:rPr>
      </w:pPr>
    </w:p>
    <w:p w:rsidR="00E143E0" w:rsidRDefault="004F5614">
      <w:pPr>
        <w:pStyle w:val="Default"/>
        <w:rPr>
          <w:rFonts w:ascii="Times New Roman" w:hAnsi="Times New Roman" w:cs="Times New Roman"/>
        </w:rPr>
      </w:pPr>
      <w:r>
        <w:rPr>
          <w:rFonts w:ascii="Times New Roman" w:hAnsi="Times New Roman" w:cs="Times New Roman"/>
        </w:rPr>
        <w:t>September 27</w:t>
      </w:r>
      <w:r w:rsidR="00A70807">
        <w:rPr>
          <w:rFonts w:ascii="Times New Roman" w:hAnsi="Times New Roman" w:cs="Times New Roman"/>
        </w:rPr>
        <w:t>, 2013</w:t>
      </w:r>
    </w:p>
    <w:p w:rsidR="00E143E0" w:rsidRDefault="00E143E0"/>
    <w:p w:rsidR="00E143E0" w:rsidRDefault="00E143E0"/>
    <w:p w:rsidR="00E143E0" w:rsidRDefault="00E143E0">
      <w:pPr>
        <w:pStyle w:val="Default"/>
      </w:pPr>
    </w:p>
    <w:p w:rsidR="00E143E0" w:rsidRDefault="00A70807">
      <w:pPr>
        <w:pStyle w:val="CM36"/>
        <w:rPr>
          <w:rFonts w:ascii="Times New Roman" w:hAnsi="Times New Roman" w:cs="Times New Roman"/>
          <w:color w:val="000000"/>
        </w:rPr>
      </w:pPr>
      <w:r>
        <w:rPr>
          <w:rFonts w:ascii="Times New Roman" w:hAnsi="Times New Roman" w:cs="Times New Roman"/>
          <w:b/>
          <w:bCs/>
          <w:color w:val="000000"/>
        </w:rPr>
        <w:t xml:space="preserve">ELECTRONICALLY SUBMITTED </w:t>
      </w:r>
    </w:p>
    <w:p w:rsidR="00E143E0" w:rsidRDefault="00E143E0"/>
    <w:p w:rsidR="00E143E0" w:rsidRDefault="00E143E0"/>
    <w:p w:rsidR="002B1FBF" w:rsidRDefault="002B1FBF"/>
    <w:p w:rsidR="00E143E0" w:rsidRDefault="00A70807">
      <w:pPr>
        <w:pStyle w:val="CM36"/>
        <w:spacing w:line="276" w:lineRule="atLeast"/>
        <w:rPr>
          <w:rFonts w:ascii="Times New Roman" w:hAnsi="Times New Roman" w:cs="Times New Roman"/>
          <w:color w:val="000000"/>
        </w:rPr>
      </w:pPr>
      <w:r>
        <w:rPr>
          <w:rFonts w:ascii="Times New Roman" w:hAnsi="Times New Roman" w:cs="Times New Roman"/>
          <w:color w:val="000000"/>
        </w:rPr>
        <w:t xml:space="preserve">Kimberly D. Bose </w:t>
      </w:r>
    </w:p>
    <w:p w:rsidR="00E143E0" w:rsidRDefault="00A70807">
      <w:pPr>
        <w:pStyle w:val="CM36"/>
        <w:spacing w:line="276" w:lineRule="atLeast"/>
        <w:rPr>
          <w:rFonts w:ascii="Times New Roman" w:hAnsi="Times New Roman" w:cs="Times New Roman"/>
          <w:color w:val="000000"/>
        </w:rPr>
      </w:pPr>
      <w:r>
        <w:rPr>
          <w:rFonts w:ascii="Times New Roman" w:hAnsi="Times New Roman" w:cs="Times New Roman"/>
          <w:color w:val="000000"/>
        </w:rPr>
        <w:t xml:space="preserve">Secretary </w:t>
      </w:r>
    </w:p>
    <w:p w:rsidR="00E143E0" w:rsidRDefault="00A70807">
      <w:pPr>
        <w:pStyle w:val="CM36"/>
        <w:spacing w:line="276" w:lineRule="atLeast"/>
        <w:rPr>
          <w:rFonts w:ascii="Times New Roman" w:hAnsi="Times New Roman" w:cs="Times New Roman"/>
          <w:color w:val="000000"/>
        </w:rPr>
      </w:pPr>
      <w:r>
        <w:rPr>
          <w:rFonts w:ascii="Times New Roman" w:hAnsi="Times New Roman" w:cs="Times New Roman"/>
          <w:color w:val="000000"/>
        </w:rPr>
        <w:t>Federal Energy Regulatory Commission</w:t>
      </w:r>
    </w:p>
    <w:p w:rsidR="00E143E0" w:rsidRDefault="00A70807">
      <w:pPr>
        <w:pStyle w:val="CM36"/>
        <w:spacing w:line="276" w:lineRule="atLeast"/>
        <w:rPr>
          <w:rFonts w:ascii="Times New Roman" w:hAnsi="Times New Roman" w:cs="Times New Roman"/>
          <w:color w:val="000000"/>
        </w:rPr>
      </w:pPr>
      <w:r>
        <w:rPr>
          <w:rFonts w:ascii="Times New Roman" w:hAnsi="Times New Roman" w:cs="Times New Roman"/>
          <w:color w:val="000000"/>
        </w:rPr>
        <w:t xml:space="preserve">888 First Street, N.E. </w:t>
      </w:r>
    </w:p>
    <w:p w:rsidR="00E143E0" w:rsidRDefault="00A70807">
      <w:pPr>
        <w:pStyle w:val="CM36"/>
        <w:spacing w:line="276" w:lineRule="atLeast"/>
        <w:rPr>
          <w:rFonts w:ascii="Times New Roman" w:hAnsi="Times New Roman" w:cs="Times New Roman"/>
          <w:color w:val="000000"/>
        </w:rPr>
      </w:pPr>
      <w:r>
        <w:rPr>
          <w:rFonts w:ascii="Times New Roman" w:hAnsi="Times New Roman" w:cs="Times New Roman"/>
          <w:color w:val="000000"/>
        </w:rPr>
        <w:t xml:space="preserve">Washington, D.C. 20426 </w:t>
      </w:r>
    </w:p>
    <w:p w:rsidR="00E143E0" w:rsidRDefault="00E143E0"/>
    <w:p w:rsidR="002B1FBF" w:rsidRDefault="002B1FBF"/>
    <w:p w:rsidR="00E143E0" w:rsidRDefault="00E143E0"/>
    <w:p w:rsidR="00E143E0" w:rsidRDefault="00A70807">
      <w:pPr>
        <w:ind w:left="1440" w:hanging="720"/>
        <w:rPr>
          <w:color w:val="000000"/>
        </w:rPr>
      </w:pPr>
      <w:r>
        <w:rPr>
          <w:color w:val="000000"/>
        </w:rPr>
        <w:t xml:space="preserve">Re: </w:t>
      </w:r>
      <w:r>
        <w:rPr>
          <w:color w:val="000000"/>
        </w:rPr>
        <w:tab/>
        <w:t xml:space="preserve">New York Independent System Operator, Inc.’s </w:t>
      </w:r>
      <w:r w:rsidR="004F5614">
        <w:rPr>
          <w:color w:val="000000"/>
        </w:rPr>
        <w:t>Sixth</w:t>
      </w:r>
      <w:r>
        <w:rPr>
          <w:color w:val="000000"/>
        </w:rPr>
        <w:t xml:space="preserve"> Informational Report on Efforts to Develop Rules Addressing Compensation to Generators that Are </w:t>
      </w:r>
      <w:proofErr w:type="gramStart"/>
      <w:r>
        <w:rPr>
          <w:color w:val="000000"/>
        </w:rPr>
        <w:t>Determined</w:t>
      </w:r>
      <w:proofErr w:type="gramEnd"/>
      <w:r>
        <w:rPr>
          <w:color w:val="000000"/>
        </w:rPr>
        <w:t xml:space="preserve"> to be Needed for Reliability; Docket No. </w:t>
      </w:r>
      <w:proofErr w:type="gramStart"/>
      <w:r>
        <w:rPr>
          <w:color w:val="000000"/>
        </w:rPr>
        <w:t>ER10-2220-000.</w:t>
      </w:r>
      <w:proofErr w:type="gramEnd"/>
    </w:p>
    <w:p w:rsidR="00E143E0" w:rsidRDefault="00E143E0">
      <w:pPr>
        <w:rPr>
          <w:color w:val="000000"/>
        </w:rPr>
      </w:pPr>
    </w:p>
    <w:p w:rsidR="002B1FBF" w:rsidRDefault="002B1FBF">
      <w:pPr>
        <w:rPr>
          <w:color w:val="000000"/>
        </w:rPr>
      </w:pPr>
    </w:p>
    <w:p w:rsidR="002B1FBF" w:rsidRDefault="002B1FBF">
      <w:pPr>
        <w:rPr>
          <w:color w:val="000000"/>
        </w:rPr>
      </w:pPr>
    </w:p>
    <w:p w:rsidR="00E143E0" w:rsidRDefault="00A70807">
      <w:pPr>
        <w:rPr>
          <w:color w:val="000000"/>
        </w:rPr>
      </w:pPr>
      <w:r>
        <w:rPr>
          <w:color w:val="000000"/>
        </w:rPr>
        <w:t>Dear Secretary Bose:</w:t>
      </w:r>
    </w:p>
    <w:p w:rsidR="00E143E0" w:rsidRDefault="00E143E0">
      <w:pPr>
        <w:rPr>
          <w:color w:val="000000"/>
        </w:rPr>
      </w:pPr>
    </w:p>
    <w:p w:rsidR="00E143E0" w:rsidRDefault="00A70807">
      <w:pPr>
        <w:ind w:firstLine="720"/>
        <w:rPr>
          <w:b/>
          <w:bCs/>
          <w:color w:val="000000"/>
        </w:rPr>
      </w:pPr>
      <w:r>
        <w:t>In accordance with paragraph 54 and ordering paragraph “(C)” of the Federal Energy Regulatory Commission’s (“Commission’s”) October 12, 2010, Order On Proposed Mitigation Measures in Docket No. ER10-2220-000 (“Order”),</w:t>
      </w:r>
      <w:r>
        <w:rPr>
          <w:rStyle w:val="FootnoteReference"/>
        </w:rPr>
        <w:footnoteReference w:id="1"/>
      </w:r>
      <w:r>
        <w:t xml:space="preserve"> the New York Independent System Operator, Inc. (“NYISO”), hereby submits this</w:t>
      </w:r>
      <w:r>
        <w:rPr>
          <w:i/>
          <w:iCs/>
        </w:rPr>
        <w:t xml:space="preserve"> </w:t>
      </w:r>
      <w:r w:rsidR="004F5614">
        <w:rPr>
          <w:i/>
          <w:iCs/>
        </w:rPr>
        <w:t>Sixth</w:t>
      </w:r>
      <w:r>
        <w:rPr>
          <w:i/>
          <w:iCs/>
        </w:rPr>
        <w:t xml:space="preserve"> Informational Report on Efforts to Develop Rules Addressing Compensation to Generators that Are Determined to be Needed for Reliability </w:t>
      </w:r>
      <w:r>
        <w:rPr>
          <w:color w:val="000000"/>
        </w:rPr>
        <w:t>(“</w:t>
      </w:r>
      <w:r w:rsidR="004F5614">
        <w:rPr>
          <w:color w:val="000000"/>
        </w:rPr>
        <w:t>September</w:t>
      </w:r>
      <w:r>
        <w:rPr>
          <w:color w:val="000000"/>
        </w:rPr>
        <w:t xml:space="preserve"> 2013 Informational Report”).  The NYISO submitted its </w:t>
      </w:r>
      <w:r w:rsidR="004F5614" w:rsidRPr="006D77AC">
        <w:rPr>
          <w:i/>
          <w:color w:val="000000"/>
        </w:rPr>
        <w:t>Fifth</w:t>
      </w:r>
      <w:r>
        <w:rPr>
          <w:i/>
          <w:iCs/>
        </w:rPr>
        <w:t xml:space="preserve"> Informational Report on Efforts to Develop Rules Addressing Compensation to Generators that Are Determined to be Needed for Reliability</w:t>
      </w:r>
      <w:r>
        <w:rPr>
          <w:color w:val="000000"/>
        </w:rPr>
        <w:t xml:space="preserve"> on </w:t>
      </w:r>
      <w:r w:rsidR="004F5614">
        <w:rPr>
          <w:color w:val="000000"/>
        </w:rPr>
        <w:t>April</w:t>
      </w:r>
      <w:r>
        <w:rPr>
          <w:color w:val="000000"/>
        </w:rPr>
        <w:t xml:space="preserve"> 1, 201</w:t>
      </w:r>
      <w:r w:rsidR="004F5614">
        <w:rPr>
          <w:color w:val="000000"/>
        </w:rPr>
        <w:t>3</w:t>
      </w:r>
      <w:r>
        <w:rPr>
          <w:color w:val="000000"/>
        </w:rPr>
        <w:t>, (“</w:t>
      </w:r>
      <w:r w:rsidR="004F5614">
        <w:rPr>
          <w:color w:val="000000"/>
        </w:rPr>
        <w:t>April</w:t>
      </w:r>
      <w:r>
        <w:rPr>
          <w:color w:val="000000"/>
        </w:rPr>
        <w:t xml:space="preserve"> 201</w:t>
      </w:r>
      <w:r w:rsidR="004F5614">
        <w:rPr>
          <w:color w:val="000000"/>
        </w:rPr>
        <w:t>3</w:t>
      </w:r>
      <w:r>
        <w:rPr>
          <w:color w:val="000000"/>
        </w:rPr>
        <w:t xml:space="preserve"> Informational Report”).  </w:t>
      </w:r>
      <w:r>
        <w:rPr>
          <w:b/>
          <w:bCs/>
          <w:color w:val="000000"/>
        </w:rPr>
        <w:t>In footnote 44 of its Order the Commission stated that it does not intend to issue public notices, accept comments, or issue orders on this Informational Report.</w:t>
      </w:r>
    </w:p>
    <w:p w:rsidR="00E143E0" w:rsidRDefault="00E143E0">
      <w:pPr>
        <w:rPr>
          <w:b/>
          <w:bCs/>
          <w:color w:val="000000"/>
        </w:rPr>
      </w:pPr>
    </w:p>
    <w:p w:rsidR="00E143E0" w:rsidRDefault="00A70807">
      <w:pPr>
        <w:pStyle w:val="CM36"/>
        <w:spacing w:line="278" w:lineRule="atLeast"/>
        <w:ind w:firstLine="720"/>
        <w:rPr>
          <w:rFonts w:ascii="Times New Roman" w:hAnsi="Times New Roman" w:cs="Times New Roman"/>
          <w:color w:val="000000"/>
        </w:rPr>
      </w:pPr>
      <w:r>
        <w:rPr>
          <w:rFonts w:ascii="Times New Roman" w:hAnsi="Times New Roman" w:cs="Times New Roman"/>
          <w:color w:val="000000"/>
        </w:rPr>
        <w:lastRenderedPageBreak/>
        <w:t xml:space="preserve">Paragraph 54 of the Order stated, in part, as follows: </w:t>
      </w:r>
    </w:p>
    <w:p w:rsidR="00E143E0" w:rsidRDefault="00E143E0"/>
    <w:p w:rsidR="00E143E0" w:rsidRDefault="00A70807">
      <w:pPr>
        <w:ind w:left="720" w:right="720"/>
        <w:rPr>
          <w:color w:val="000000"/>
          <w:position w:val="11"/>
          <w:vertAlign w:val="superscript"/>
        </w:rPr>
      </w:pPr>
      <w:r>
        <w:rPr>
          <w:color w:val="000000"/>
        </w:rPr>
        <w:t xml:space="preserve">Because fixed cost recovery issues do not go to whether NYISO’s mitigation proposal is in itself just and reasonable, this proceeding is not the appropriate forum in which to raise such issues.  Further, </w:t>
      </w:r>
      <w:proofErr w:type="spellStart"/>
      <w:r>
        <w:rPr>
          <w:color w:val="000000"/>
        </w:rPr>
        <w:t>commenters</w:t>
      </w:r>
      <w:proofErr w:type="spellEnd"/>
      <w:r>
        <w:rPr>
          <w:color w:val="000000"/>
        </w:rPr>
        <w:t xml:space="preserve"> do not present factual evidence that demonstrates that market participants generally will be unable to recover their costs due to application of the proposed mitigation provisions.  We note, however, that the NYISO Board of Directors, in its July 29, 2010 decision on the appeal of the NYISO Management Committee’s adoption of the instant mitigation proposal, directed NYISO management to work with stakeholders to examine the generation owners’ claims that existing cost recovery mechanisms are inadequate and to review the process that evaluates permanent solutions to reliability problems.  Accordingly, we believe the better course is to await the outcome of the stakeholder process as directed by the NYISO Board of Directors.  In this regard, we direct NYISO to file status reports every 180 days beginning 180 days from the date of this order for informational purposes only.</w:t>
      </w:r>
      <w:r>
        <w:rPr>
          <w:color w:val="000000"/>
          <w:vertAlign w:val="superscript"/>
        </w:rPr>
        <w:t>44</w:t>
      </w:r>
    </w:p>
    <w:p w:rsidR="00E143E0" w:rsidRDefault="00E143E0">
      <w:pPr>
        <w:pStyle w:val="CM7"/>
        <w:rPr>
          <w:rFonts w:ascii="Times New Roman" w:hAnsi="Times New Roman" w:cs="Times New Roman"/>
          <w:color w:val="000000"/>
          <w:position w:val="11"/>
          <w:vertAlign w:val="superscript"/>
        </w:rPr>
      </w:pPr>
    </w:p>
    <w:p w:rsidR="00E143E0" w:rsidRDefault="00A70807">
      <w:pPr>
        <w:pStyle w:val="CM7"/>
        <w:ind w:left="720"/>
        <w:rPr>
          <w:rFonts w:ascii="Times New Roman" w:hAnsi="Times New Roman" w:cs="Times New Roman"/>
          <w:color w:val="000000"/>
        </w:rPr>
      </w:pPr>
      <w:r>
        <w:rPr>
          <w:rFonts w:ascii="Times New Roman" w:hAnsi="Times New Roman" w:cs="Times New Roman"/>
          <w:color w:val="000000"/>
          <w:position w:val="11"/>
          <w:vertAlign w:val="superscript"/>
        </w:rPr>
        <w:t>44</w:t>
      </w:r>
      <w:r>
        <w:rPr>
          <w:rFonts w:ascii="Times New Roman" w:hAnsi="Times New Roman" w:cs="Times New Roman"/>
          <w:color w:val="000000"/>
        </w:rPr>
        <w:t xml:space="preserve"> The Commission does not intend to issue public notices, accept comments, or issue orders on such informational filings.</w:t>
      </w:r>
    </w:p>
    <w:p w:rsidR="00E143E0" w:rsidRDefault="00E143E0"/>
    <w:p w:rsidR="00E143E0" w:rsidRDefault="00A70807">
      <w:pPr>
        <w:ind w:firstLine="720"/>
        <w:rPr>
          <w:color w:val="000000"/>
        </w:rPr>
      </w:pPr>
      <w:r>
        <w:rPr>
          <w:color w:val="000000"/>
        </w:rPr>
        <w:t>In compliance with the cited sections of the Order, the NYISO submits this Informational Report.</w:t>
      </w:r>
    </w:p>
    <w:p w:rsidR="00E143E0" w:rsidRDefault="00E143E0">
      <w:pPr>
        <w:rPr>
          <w:color w:val="000000"/>
        </w:rPr>
      </w:pPr>
    </w:p>
    <w:p w:rsidR="00E143E0" w:rsidRDefault="00A70807">
      <w:pPr>
        <w:pStyle w:val="CM36"/>
        <w:spacing w:line="276" w:lineRule="atLeast"/>
        <w:jc w:val="center"/>
        <w:rPr>
          <w:rFonts w:ascii="Times New Roman" w:hAnsi="Times New Roman" w:cs="Times New Roman"/>
          <w:color w:val="000000"/>
        </w:rPr>
      </w:pPr>
      <w:r>
        <w:rPr>
          <w:rFonts w:ascii="Times New Roman" w:hAnsi="Times New Roman" w:cs="Times New Roman"/>
          <w:b/>
          <w:bCs/>
          <w:color w:val="000000"/>
        </w:rPr>
        <w:t xml:space="preserve">I. Informational Report </w:t>
      </w:r>
    </w:p>
    <w:p w:rsidR="00E143E0" w:rsidRDefault="00E143E0"/>
    <w:p w:rsidR="00E143E0" w:rsidRDefault="00A70807">
      <w:pPr>
        <w:pStyle w:val="CM36"/>
        <w:spacing w:line="276" w:lineRule="atLeast"/>
        <w:rPr>
          <w:rFonts w:ascii="Times New Roman" w:hAnsi="Times New Roman" w:cs="Times New Roman"/>
          <w:color w:val="000000"/>
        </w:rPr>
      </w:pPr>
      <w:r>
        <w:rPr>
          <w:rFonts w:ascii="Times New Roman" w:hAnsi="Times New Roman" w:cs="Times New Roman"/>
          <w:b/>
          <w:bCs/>
          <w:color w:val="000000"/>
        </w:rPr>
        <w:t xml:space="preserve">A. </w:t>
      </w:r>
      <w:r>
        <w:rPr>
          <w:rFonts w:ascii="Times New Roman" w:hAnsi="Times New Roman" w:cs="Times New Roman"/>
          <w:b/>
          <w:bCs/>
          <w:color w:val="000000"/>
        </w:rPr>
        <w:tab/>
        <w:t xml:space="preserve">Summary of the </w:t>
      </w:r>
      <w:r w:rsidR="00546386">
        <w:rPr>
          <w:rFonts w:ascii="Times New Roman" w:hAnsi="Times New Roman" w:cs="Times New Roman"/>
          <w:b/>
          <w:bCs/>
          <w:color w:val="000000"/>
        </w:rPr>
        <w:t>April</w:t>
      </w:r>
      <w:r>
        <w:rPr>
          <w:rFonts w:ascii="Times New Roman" w:hAnsi="Times New Roman" w:cs="Times New Roman"/>
          <w:b/>
          <w:bCs/>
          <w:color w:val="000000"/>
        </w:rPr>
        <w:t xml:space="preserve"> 201</w:t>
      </w:r>
      <w:r w:rsidR="00546386">
        <w:rPr>
          <w:rFonts w:ascii="Times New Roman" w:hAnsi="Times New Roman" w:cs="Times New Roman"/>
          <w:b/>
          <w:bCs/>
          <w:color w:val="000000"/>
        </w:rPr>
        <w:t>3</w:t>
      </w:r>
      <w:r>
        <w:rPr>
          <w:rFonts w:ascii="Times New Roman" w:hAnsi="Times New Roman" w:cs="Times New Roman"/>
          <w:b/>
          <w:bCs/>
          <w:color w:val="000000"/>
        </w:rPr>
        <w:t xml:space="preserve"> Informational Report</w:t>
      </w:r>
    </w:p>
    <w:p w:rsidR="00D84CEF" w:rsidRDefault="00D84CEF"/>
    <w:p w:rsidR="00E143E0" w:rsidRDefault="00D84CEF" w:rsidP="00D84CEF">
      <w:pPr>
        <w:ind w:firstLine="720"/>
      </w:pPr>
      <w:r>
        <w:t xml:space="preserve">The NYISO </w:t>
      </w:r>
      <w:r w:rsidR="00A65255">
        <w:t>did</w:t>
      </w:r>
      <w:r>
        <w:t xml:space="preserve"> not present new or updated proposals to its stakeholders </w:t>
      </w:r>
      <w:r w:rsidR="00A65255">
        <w:t xml:space="preserve">between </w:t>
      </w:r>
      <w:r>
        <w:t>the October 2012 Informational Report</w:t>
      </w:r>
      <w:r w:rsidR="00A65255">
        <w:t xml:space="preserve"> and the April 2013 Informational Report</w:t>
      </w:r>
      <w:r>
        <w:t xml:space="preserve">.  </w:t>
      </w:r>
      <w:r w:rsidR="008C7D35">
        <w:t>Also during this time</w:t>
      </w:r>
      <w:r>
        <w:t xml:space="preserve">, the NYISO </w:t>
      </w:r>
      <w:r w:rsidR="00A65255">
        <w:t>did</w:t>
      </w:r>
      <w:r>
        <w:t xml:space="preserve"> not receive any new or updated proposals from its stakeholders or </w:t>
      </w:r>
      <w:r w:rsidR="00D12145">
        <w:t xml:space="preserve">New York State </w:t>
      </w:r>
      <w:r>
        <w:t>D</w:t>
      </w:r>
      <w:r w:rsidR="00651EA5">
        <w:t xml:space="preserve">epartment of </w:t>
      </w:r>
      <w:r>
        <w:t>P</w:t>
      </w:r>
      <w:r w:rsidR="00651EA5">
        <w:t>ublic Service</w:t>
      </w:r>
      <w:r w:rsidR="00D12145">
        <w:t xml:space="preserve"> (“DPS”)</w:t>
      </w:r>
      <w:r>
        <w:t xml:space="preserve"> staff.  </w:t>
      </w:r>
      <w:r w:rsidR="008A5FB0">
        <w:t>Between October 2012 and April 2013</w:t>
      </w:r>
      <w:r w:rsidR="00A65255">
        <w:t>, t</w:t>
      </w:r>
      <w:r>
        <w:t>he NYISO continue</w:t>
      </w:r>
      <w:r w:rsidR="00A65255">
        <w:t>d</w:t>
      </w:r>
      <w:r>
        <w:t xml:space="preserve"> to actively monitor and assess </w:t>
      </w:r>
      <w:r>
        <w:rPr>
          <w:color w:val="000000"/>
        </w:rPr>
        <w:t>whether additional rules addressing compensation to generators needed for reliability, such as the Alternative RRC proposal discussed in the October 2012 Informational Report, are necessary to improve the NYISO administered markets.</w:t>
      </w:r>
    </w:p>
    <w:p w:rsidR="00D84CEF" w:rsidRDefault="00D84CEF"/>
    <w:p w:rsidR="00E143E0" w:rsidRDefault="00A70807">
      <w:pPr>
        <w:pStyle w:val="CM36"/>
        <w:spacing w:line="276" w:lineRule="atLeast"/>
        <w:ind w:left="720" w:hanging="720"/>
        <w:rPr>
          <w:rFonts w:ascii="Times New Roman" w:hAnsi="Times New Roman" w:cs="Times New Roman"/>
          <w:color w:val="000000"/>
        </w:rPr>
      </w:pPr>
      <w:r>
        <w:rPr>
          <w:rFonts w:ascii="Times New Roman" w:hAnsi="Times New Roman" w:cs="Times New Roman"/>
          <w:b/>
          <w:bCs/>
          <w:color w:val="000000"/>
        </w:rPr>
        <w:t>B.</w:t>
      </w:r>
      <w:r>
        <w:rPr>
          <w:rFonts w:ascii="Times New Roman" w:hAnsi="Times New Roman" w:cs="Times New Roman"/>
          <w:b/>
          <w:bCs/>
          <w:color w:val="000000"/>
        </w:rPr>
        <w:tab/>
      </w:r>
      <w:r w:rsidR="00063E53">
        <w:rPr>
          <w:rFonts w:ascii="Times New Roman" w:hAnsi="Times New Roman" w:cs="Times New Roman"/>
          <w:b/>
          <w:bCs/>
          <w:color w:val="000000"/>
        </w:rPr>
        <w:t xml:space="preserve">September </w:t>
      </w:r>
      <w:r>
        <w:rPr>
          <w:rFonts w:ascii="Times New Roman" w:eastAsia="Calibri" w:hAnsi="Times New Roman" w:cs="Times New Roman"/>
          <w:b/>
          <w:bCs/>
          <w:color w:val="000000"/>
        </w:rPr>
        <w:t>2013 Informational Report</w:t>
      </w:r>
    </w:p>
    <w:p w:rsidR="00E143E0" w:rsidRDefault="00E143E0">
      <w:pPr>
        <w:ind w:firstLine="720"/>
      </w:pPr>
    </w:p>
    <w:p w:rsidR="00E143E0" w:rsidRDefault="00437FA4">
      <w:pPr>
        <w:ind w:firstLine="720"/>
      </w:pPr>
      <w:r>
        <w:t xml:space="preserve">The NYISO has not presented new or updated proposals to its stakeholders since filing the April 2013 Informational Report.  In addition, the NYISO has not received any new or updated proposals from its stakeholders or DPS staff.  The NYISO continues to actively monitor and assess </w:t>
      </w:r>
      <w:r>
        <w:rPr>
          <w:color w:val="000000"/>
        </w:rPr>
        <w:t>whether additional rules addressing compensation to generators needed for reliability, such as the Alternative RRC proposal discussed in the October 2012 Informational Report, are necessary to improve the NYISO administered markets.</w:t>
      </w:r>
    </w:p>
    <w:p w:rsidR="002B1FBF" w:rsidRDefault="002B1FBF">
      <w:pPr>
        <w:ind w:firstLine="720"/>
      </w:pPr>
    </w:p>
    <w:p w:rsidR="00E143E0" w:rsidRDefault="00A70807" w:rsidP="00C651EA">
      <w:pPr>
        <w:pStyle w:val="Default"/>
        <w:keepNext/>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ab/>
        <w:t>Additional Market Activity Update</w:t>
      </w:r>
    </w:p>
    <w:p w:rsidR="00E143E0" w:rsidRDefault="00E143E0">
      <w:pPr>
        <w:pStyle w:val="Default"/>
        <w:rPr>
          <w:rFonts w:ascii="Times New Roman" w:hAnsi="Times New Roman" w:cs="Times New Roman"/>
          <w:b/>
          <w:bCs/>
        </w:rPr>
      </w:pPr>
    </w:p>
    <w:p w:rsidR="00BC6858" w:rsidRDefault="00A70807" w:rsidP="00BC6858">
      <w:pPr>
        <w:autoSpaceDE w:val="0"/>
        <w:autoSpaceDN w:val="0"/>
        <w:adjustRightInd w:val="0"/>
        <w:rPr>
          <w:bCs/>
        </w:rPr>
      </w:pPr>
      <w:r>
        <w:rPr>
          <w:bCs/>
        </w:rPr>
        <w:tab/>
      </w:r>
      <w:r w:rsidR="00BC6858">
        <w:rPr>
          <w:bCs/>
        </w:rPr>
        <w:t xml:space="preserve">The April 2013 Informational Report included information on a matter that involved certain New York Control Area resources seeking to retire.  The </w:t>
      </w:r>
      <w:r w:rsidR="00AF5E03">
        <w:rPr>
          <w:bCs/>
        </w:rPr>
        <w:t>New York State Public Service Commission (“NY</w:t>
      </w:r>
      <w:r w:rsidR="00BC6858">
        <w:rPr>
          <w:bCs/>
        </w:rPr>
        <w:t>PSC</w:t>
      </w:r>
      <w:r w:rsidR="00AF5E03">
        <w:rPr>
          <w:bCs/>
        </w:rPr>
        <w:t>”)</w:t>
      </w:r>
      <w:r w:rsidR="00BC6858">
        <w:rPr>
          <w:bCs/>
        </w:rPr>
        <w:t xml:space="preserve"> issued an order that approved a mechanism for a transmission owner to compensate specific generating units that were seeking to retire but were determined to be necessary to address a reliability need.</w:t>
      </w:r>
      <w:r w:rsidR="00BC6858">
        <w:rPr>
          <w:rStyle w:val="FootnoteReference"/>
          <w:bCs/>
        </w:rPr>
        <w:footnoteReference w:id="2"/>
      </w:r>
      <w:r w:rsidR="00BC6858">
        <w:rPr>
          <w:bCs/>
        </w:rPr>
        <w:t xml:space="preserve">  The subject of the order was a proposal for the transmission owner (</w:t>
      </w:r>
      <w:r w:rsidR="00BC6858">
        <w:rPr>
          <w:bCs/>
          <w:color w:val="000000"/>
        </w:rPr>
        <w:t>Niagara Mohawk Power Corp. d/b/a/ National Grid</w:t>
      </w:r>
      <w:r w:rsidR="00BC6858">
        <w:rPr>
          <w:bCs/>
        </w:rPr>
        <w:t>) to compensate the generator owner (Dunkirk Power LLC, “Dunkirk”) for “reliability support services” (“RSS”) provided by two of the four generating units at the Dunkirk facility.  National Grid filed its contract with Dunkirk for RSS with the PSC for approval and cost recovery.</w:t>
      </w:r>
      <w:r w:rsidR="00AF5E03">
        <w:rPr>
          <w:bCs/>
        </w:rPr>
        <w:t xml:space="preserve">  </w:t>
      </w:r>
      <w:r w:rsidR="00BC6858">
        <w:rPr>
          <w:bCs/>
        </w:rPr>
        <w:t>National Grid</w:t>
      </w:r>
      <w:r w:rsidR="00AF5E03">
        <w:rPr>
          <w:bCs/>
        </w:rPr>
        <w:t xml:space="preserve"> then</w:t>
      </w:r>
      <w:r w:rsidR="00BC6858">
        <w:rPr>
          <w:bCs/>
        </w:rPr>
        <w:t xml:space="preserve"> issued a Request for Proposal (“RFP”) for solutions to address the continuing reliability needs beyond May 31, 2013.  The Dunkirk unit provided the least cost solution and the only solution available to operate starting on June 1, 2013.  National Grid filed a request with the PSC to extend the RSS agreement for one of the Dunkirk units on March 5, 2013.  The agreement provides for the deferral of mothballing one 115 kV-connected 80 MW Dunkirk generating unit.  The deferral would allow the continued operation and maintenance of the one Dunkirk unit from June 1, 2013 through May 31, 2015 for a fixed total price of approximately $72.741 million.</w:t>
      </w:r>
    </w:p>
    <w:p w:rsidR="00AF5E03" w:rsidRDefault="00AF5E03" w:rsidP="00BC6858">
      <w:pPr>
        <w:autoSpaceDE w:val="0"/>
        <w:autoSpaceDN w:val="0"/>
        <w:adjustRightInd w:val="0"/>
        <w:rPr>
          <w:bCs/>
        </w:rPr>
      </w:pPr>
    </w:p>
    <w:p w:rsidR="00AF5E03" w:rsidRDefault="00AF5E03" w:rsidP="00BC6858">
      <w:pPr>
        <w:autoSpaceDE w:val="0"/>
        <w:autoSpaceDN w:val="0"/>
        <w:adjustRightInd w:val="0"/>
        <w:rPr>
          <w:bCs/>
        </w:rPr>
      </w:pPr>
      <w:r>
        <w:rPr>
          <w:bCs/>
        </w:rPr>
        <w:tab/>
        <w:t xml:space="preserve">Since </w:t>
      </w:r>
      <w:r w:rsidR="0052483D">
        <w:rPr>
          <w:bCs/>
        </w:rPr>
        <w:t xml:space="preserve">the </w:t>
      </w:r>
      <w:r>
        <w:rPr>
          <w:bCs/>
        </w:rPr>
        <w:t>April 2013</w:t>
      </w:r>
      <w:r w:rsidR="0052483D">
        <w:rPr>
          <w:bCs/>
        </w:rPr>
        <w:t xml:space="preserve"> Informational Report</w:t>
      </w:r>
      <w:r>
        <w:rPr>
          <w:bCs/>
        </w:rPr>
        <w:t>, National Grid filed proposed tariff revisions to certain National Grid-specific components of the Wholesale Transmission Service Charge formula under Attachment H of the NYISO Open A</w:t>
      </w:r>
      <w:r w:rsidR="00367B92">
        <w:rPr>
          <w:bCs/>
        </w:rPr>
        <w:t>ccess Transmission Tariff</w:t>
      </w:r>
      <w:r>
        <w:rPr>
          <w:bCs/>
        </w:rPr>
        <w:t>.</w:t>
      </w:r>
      <w:r w:rsidR="005B37C7">
        <w:rPr>
          <w:rStyle w:val="FootnoteReference"/>
          <w:bCs/>
        </w:rPr>
        <w:footnoteReference w:id="3"/>
      </w:r>
      <w:r>
        <w:rPr>
          <w:bCs/>
        </w:rPr>
        <w:t xml:space="preserve">  National Grid’s filing </w:t>
      </w:r>
      <w:r w:rsidR="00367B92">
        <w:rPr>
          <w:bCs/>
        </w:rPr>
        <w:t>request</w:t>
      </w:r>
      <w:r w:rsidR="006074C4">
        <w:rPr>
          <w:bCs/>
        </w:rPr>
        <w:t>ed</w:t>
      </w:r>
      <w:r w:rsidR="00367B92">
        <w:rPr>
          <w:bCs/>
        </w:rPr>
        <w:t xml:space="preserve"> amend</w:t>
      </w:r>
      <w:r w:rsidR="006074C4">
        <w:rPr>
          <w:bCs/>
        </w:rPr>
        <w:t>ments to</w:t>
      </w:r>
      <w:r w:rsidR="00367B92">
        <w:rPr>
          <w:bCs/>
        </w:rPr>
        <w:t xml:space="preserve"> its Scheduling, System Control and Dispatch Costs formula to incorporate costs incurred for </w:t>
      </w:r>
      <w:r w:rsidR="004423D2">
        <w:rPr>
          <w:bCs/>
        </w:rPr>
        <w:t>RSS</w:t>
      </w:r>
      <w:r w:rsidR="00367B92">
        <w:rPr>
          <w:bCs/>
        </w:rPr>
        <w:t xml:space="preserve">, which secure the reliability of the company’s transmission system.  </w:t>
      </w:r>
      <w:r w:rsidR="004423D2">
        <w:rPr>
          <w:bCs/>
        </w:rPr>
        <w:t>National Grid state</w:t>
      </w:r>
      <w:r w:rsidR="006074C4">
        <w:rPr>
          <w:bCs/>
        </w:rPr>
        <w:t>d</w:t>
      </w:r>
      <w:r w:rsidR="004423D2">
        <w:rPr>
          <w:bCs/>
        </w:rPr>
        <w:t xml:space="preserve"> that its filing was necessitated by costs incurred during calendar year 2012 under the first of two RSS contracts.  This RSS contract</w:t>
      </w:r>
      <w:r w:rsidR="006074C4">
        <w:rPr>
          <w:bCs/>
        </w:rPr>
        <w:t xml:space="preserve">, as approved by the </w:t>
      </w:r>
      <w:r w:rsidR="007859DB">
        <w:rPr>
          <w:bCs/>
        </w:rPr>
        <w:t>NY</w:t>
      </w:r>
      <w:r w:rsidR="006074C4">
        <w:rPr>
          <w:bCs/>
        </w:rPr>
        <w:t>PSC,</w:t>
      </w:r>
      <w:r w:rsidR="004423D2">
        <w:rPr>
          <w:bCs/>
        </w:rPr>
        <w:t xml:space="preserve"> deferred the mothballing of the Dunkirk generating station and allowed for continued operation pending the completion of upgrades to National Grid’s transmission system.  </w:t>
      </w:r>
      <w:r w:rsidR="00AD40B9">
        <w:rPr>
          <w:bCs/>
        </w:rPr>
        <w:t>The Commission rejected National Grid’s proposed tariff revisions</w:t>
      </w:r>
      <w:r w:rsidR="00F93013">
        <w:rPr>
          <w:bCs/>
        </w:rPr>
        <w:t xml:space="preserve"> without prejudice, therefore allowing National Grid to submit another filing</w:t>
      </w:r>
      <w:r w:rsidR="00AD40B9">
        <w:rPr>
          <w:bCs/>
        </w:rPr>
        <w:t xml:space="preserve">.  </w:t>
      </w:r>
    </w:p>
    <w:p w:rsidR="00BC6858" w:rsidRDefault="00BC6858" w:rsidP="00C8267E">
      <w:pPr>
        <w:autoSpaceDE w:val="0"/>
        <w:autoSpaceDN w:val="0"/>
        <w:adjustRightInd w:val="0"/>
        <w:rPr>
          <w:bCs/>
        </w:rPr>
      </w:pPr>
    </w:p>
    <w:p w:rsidR="005C6F48" w:rsidRDefault="00BC6858" w:rsidP="00BC6858">
      <w:pPr>
        <w:autoSpaceDE w:val="0"/>
        <w:autoSpaceDN w:val="0"/>
        <w:adjustRightInd w:val="0"/>
        <w:ind w:firstLine="720"/>
        <w:rPr>
          <w:bCs/>
        </w:rPr>
      </w:pPr>
      <w:r>
        <w:rPr>
          <w:bCs/>
        </w:rPr>
        <w:t>Also s</w:t>
      </w:r>
      <w:r w:rsidR="00A70807">
        <w:rPr>
          <w:bCs/>
        </w:rPr>
        <w:t xml:space="preserve">ince </w:t>
      </w:r>
      <w:r w:rsidR="00C8267E">
        <w:rPr>
          <w:bCs/>
        </w:rPr>
        <w:t>April 2013</w:t>
      </w:r>
      <w:r w:rsidR="00A70807">
        <w:rPr>
          <w:bCs/>
        </w:rPr>
        <w:t xml:space="preserve">, </w:t>
      </w:r>
      <w:r w:rsidR="00C8267E">
        <w:rPr>
          <w:bCs/>
        </w:rPr>
        <w:t xml:space="preserve">the Independent Power Producers of New York, Inc. </w:t>
      </w:r>
      <w:r w:rsidR="00437FA4">
        <w:rPr>
          <w:bCs/>
        </w:rPr>
        <w:t>(“IPPNY”) filed a complaint with the Commission</w:t>
      </w:r>
      <w:r w:rsidR="00C85D39">
        <w:rPr>
          <w:rStyle w:val="FootnoteReference"/>
          <w:bCs/>
        </w:rPr>
        <w:footnoteReference w:id="4"/>
      </w:r>
      <w:r w:rsidR="00437FA4">
        <w:rPr>
          <w:bCs/>
        </w:rPr>
        <w:t xml:space="preserve"> </w:t>
      </w:r>
      <w:r w:rsidR="00632CE4">
        <w:rPr>
          <w:bCs/>
        </w:rPr>
        <w:t xml:space="preserve">alleging the artificial suppression of prices in the New York Control Area (“NYCA”) </w:t>
      </w:r>
      <w:r w:rsidR="00DE14C8">
        <w:rPr>
          <w:bCs/>
        </w:rPr>
        <w:t xml:space="preserve">installed capacity (“ICAP”) market from below-cost offers of capacity from resources that would have exited the market but for out-of-market revenues under </w:t>
      </w:r>
      <w:r w:rsidR="00DE14C8">
        <w:rPr>
          <w:bCs/>
        </w:rPr>
        <w:lastRenderedPageBreak/>
        <w:t xml:space="preserve">reliability must-run (“RMR”) contracts and similar mechanisms and </w:t>
      </w:r>
      <w:r w:rsidR="00437FA4">
        <w:rPr>
          <w:bCs/>
        </w:rPr>
        <w:t xml:space="preserve">requesting </w:t>
      </w:r>
      <w:r w:rsidR="00DE14C8">
        <w:rPr>
          <w:bCs/>
        </w:rPr>
        <w:t xml:space="preserve">that </w:t>
      </w:r>
      <w:r w:rsidR="00437FA4">
        <w:rPr>
          <w:bCs/>
        </w:rPr>
        <w:t>the Commission order the NYISO to revise its Market Administration and Control Area Services Tariff (“Services Tariff”)</w:t>
      </w:r>
      <w:r w:rsidR="00DE14C8">
        <w:rPr>
          <w:bCs/>
        </w:rPr>
        <w:t xml:space="preserve">.  </w:t>
      </w:r>
      <w:r w:rsidR="0039194B">
        <w:rPr>
          <w:bCs/>
        </w:rPr>
        <w:t xml:space="preserve">IPPNY’s complaint also specifically referenced Reliability Support Services Agreements (“RSSAs”) like those approved by the NYPSC, and discussed in the NYISO’s April 2013 Information Report, as causes of price suppression resulting from facilities that would have otherwise </w:t>
      </w:r>
      <w:r w:rsidR="00087F8A">
        <w:rPr>
          <w:bCs/>
        </w:rPr>
        <w:t xml:space="preserve">been </w:t>
      </w:r>
      <w:r w:rsidR="0039194B">
        <w:rPr>
          <w:bCs/>
        </w:rPr>
        <w:t xml:space="preserve">mothballed.  </w:t>
      </w:r>
      <w:r w:rsidR="00971C7A">
        <w:rPr>
          <w:bCs/>
        </w:rPr>
        <w:t>T</w:t>
      </w:r>
      <w:r w:rsidR="00BE143F">
        <w:rPr>
          <w:bCs/>
        </w:rPr>
        <w:t>he NYISO and several other parties</w:t>
      </w:r>
      <w:r w:rsidR="00971C7A">
        <w:rPr>
          <w:bCs/>
        </w:rPr>
        <w:t xml:space="preserve"> have filed protests and comments on that filing</w:t>
      </w:r>
      <w:r w:rsidR="00BE143F">
        <w:rPr>
          <w:bCs/>
        </w:rPr>
        <w:t>.  Th</w:t>
      </w:r>
      <w:r w:rsidR="002B1FBF">
        <w:rPr>
          <w:bCs/>
        </w:rPr>
        <w:t>is</w:t>
      </w:r>
      <w:r w:rsidR="00BE143F">
        <w:rPr>
          <w:bCs/>
        </w:rPr>
        <w:t xml:space="preserve"> proceeding remains pending before the Commission.  </w:t>
      </w:r>
    </w:p>
    <w:p w:rsidR="00BC6858" w:rsidRDefault="00BC6858" w:rsidP="00C8267E">
      <w:pPr>
        <w:autoSpaceDE w:val="0"/>
        <w:autoSpaceDN w:val="0"/>
        <w:adjustRightInd w:val="0"/>
        <w:rPr>
          <w:bCs/>
        </w:rPr>
      </w:pPr>
    </w:p>
    <w:p w:rsidR="00E143E0" w:rsidRDefault="00A70807" w:rsidP="00AC1A3B">
      <w:pPr>
        <w:autoSpaceDE w:val="0"/>
        <w:autoSpaceDN w:val="0"/>
        <w:adjustRightInd w:val="0"/>
      </w:pPr>
      <w:r>
        <w:rPr>
          <w:b/>
          <w:bCs/>
        </w:rPr>
        <w:t>D.</w:t>
      </w:r>
      <w:r>
        <w:rPr>
          <w:b/>
          <w:bCs/>
        </w:rPr>
        <w:tab/>
        <w:t xml:space="preserve">Next Steps </w:t>
      </w:r>
    </w:p>
    <w:p w:rsidR="00E143E0" w:rsidRDefault="00E143E0"/>
    <w:p w:rsidR="00E143E0" w:rsidRDefault="00A70807">
      <w:pPr>
        <w:autoSpaceDE w:val="0"/>
        <w:autoSpaceDN w:val="0"/>
        <w:adjustRightInd w:val="0"/>
        <w:ind w:firstLine="720"/>
        <w:rPr>
          <w:bCs/>
        </w:rPr>
      </w:pPr>
      <w:r>
        <w:t xml:space="preserve">The NYISO will continue to assess </w:t>
      </w:r>
      <w:r>
        <w:rPr>
          <w:color w:val="000000"/>
        </w:rPr>
        <w:t xml:space="preserve">whether </w:t>
      </w:r>
      <w:r>
        <w:t xml:space="preserve">enhancements to the prior proposals or additional alternate approaches are necessary to </w:t>
      </w:r>
      <w:r>
        <w:rPr>
          <w:color w:val="000000"/>
        </w:rPr>
        <w:t xml:space="preserve">address compensation to generators needed for reliability and to </w:t>
      </w:r>
      <w:r w:rsidRPr="00E95978">
        <w:rPr>
          <w:color w:val="000000"/>
        </w:rPr>
        <w:t>improve the NYISO administered markets.</w:t>
      </w:r>
      <w:r w:rsidRPr="00E95978">
        <w:t xml:space="preserve">  The NYISO does not have any presentations scheduled at this time</w:t>
      </w:r>
      <w:r w:rsidR="00E95978">
        <w:t>.  T</w:t>
      </w:r>
      <w:r w:rsidRPr="00E95978">
        <w:t>he NYISO will continue to discuss this topic with its stakeholders.</w:t>
      </w:r>
    </w:p>
    <w:p w:rsidR="00E143E0" w:rsidRDefault="00E143E0">
      <w:pPr>
        <w:autoSpaceDE w:val="0"/>
        <w:autoSpaceDN w:val="0"/>
        <w:adjustRightInd w:val="0"/>
        <w:rPr>
          <w:b/>
          <w:bCs/>
        </w:rPr>
      </w:pPr>
    </w:p>
    <w:p w:rsidR="00E143E0" w:rsidRDefault="00A70807">
      <w:pPr>
        <w:pStyle w:val="CM36"/>
        <w:spacing w:line="276" w:lineRule="atLeast"/>
        <w:jc w:val="center"/>
        <w:rPr>
          <w:rFonts w:ascii="Times New Roman" w:hAnsi="Times New Roman" w:cs="Times New Roman"/>
          <w:color w:val="000000"/>
        </w:rPr>
      </w:pPr>
      <w:r>
        <w:rPr>
          <w:rFonts w:ascii="Times New Roman" w:hAnsi="Times New Roman" w:cs="Times New Roman"/>
          <w:b/>
          <w:bCs/>
          <w:color w:val="000000"/>
        </w:rPr>
        <w:t xml:space="preserve">II. Service </w:t>
      </w:r>
    </w:p>
    <w:p w:rsidR="00E143E0" w:rsidRDefault="00E143E0"/>
    <w:p w:rsidR="00E143E0" w:rsidRDefault="00A70807">
      <w:pPr>
        <w:pStyle w:val="CM39"/>
        <w:spacing w:line="276" w:lineRule="atLeast"/>
        <w:ind w:firstLine="720"/>
        <w:rPr>
          <w:rFonts w:ascii="Times New Roman" w:hAnsi="Times New Roman" w:cs="Times New Roman"/>
          <w:color w:val="000000"/>
        </w:rPr>
      </w:pPr>
      <w:r>
        <w:rPr>
          <w:rFonts w:ascii="Times New Roman" w:hAnsi="Times New Roman" w:cs="Times New Roman"/>
          <w:color w:val="000000"/>
        </w:rPr>
        <w:t>The NYISO will send an electronic link to this Informational Report to the official representative of each of its customers, to each participant on its stakeholder committees, to the New York Public Service Commission, to all parties listed on the Commission’s official service list in this Docket and to the New Jersey Board of Public Utilities.</w:t>
      </w:r>
      <w:r w:rsidR="00BC4362">
        <w:rPr>
          <w:rFonts w:ascii="Times New Roman" w:hAnsi="Times New Roman" w:cs="Times New Roman"/>
          <w:color w:val="000000"/>
        </w:rPr>
        <w:t xml:space="preserve"> </w:t>
      </w:r>
      <w:r>
        <w:rPr>
          <w:rFonts w:ascii="Times New Roman" w:hAnsi="Times New Roman" w:cs="Times New Roman"/>
          <w:color w:val="000000"/>
        </w:rPr>
        <w:t xml:space="preserve"> In addition, the complete filing will be posted on the NYISO’s website at www.nyiso.com.</w:t>
      </w:r>
    </w:p>
    <w:p w:rsidR="00E143E0" w:rsidRDefault="00E143E0"/>
    <w:p w:rsidR="00E143E0" w:rsidRDefault="00A70807">
      <w:pPr>
        <w:pStyle w:val="CM36"/>
        <w:spacing w:line="276" w:lineRule="atLeast"/>
        <w:jc w:val="center"/>
        <w:rPr>
          <w:rFonts w:ascii="Times New Roman" w:hAnsi="Times New Roman" w:cs="Times New Roman"/>
          <w:color w:val="000000"/>
        </w:rPr>
      </w:pPr>
      <w:r>
        <w:rPr>
          <w:rFonts w:ascii="Times New Roman" w:hAnsi="Times New Roman" w:cs="Times New Roman"/>
          <w:b/>
          <w:bCs/>
          <w:color w:val="000000"/>
        </w:rPr>
        <w:t>I</w:t>
      </w:r>
      <w:r w:rsidR="0073111B">
        <w:rPr>
          <w:rFonts w:ascii="Times New Roman" w:hAnsi="Times New Roman" w:cs="Times New Roman"/>
          <w:b/>
          <w:bCs/>
          <w:color w:val="000000"/>
        </w:rPr>
        <w:t>II</w:t>
      </w:r>
      <w:r>
        <w:rPr>
          <w:rFonts w:ascii="Times New Roman" w:hAnsi="Times New Roman" w:cs="Times New Roman"/>
          <w:b/>
          <w:bCs/>
          <w:color w:val="000000"/>
        </w:rPr>
        <w:t xml:space="preserve">. Conclusion </w:t>
      </w:r>
    </w:p>
    <w:p w:rsidR="00E143E0" w:rsidRDefault="00E143E0">
      <w:pPr>
        <w:pStyle w:val="CM39"/>
        <w:spacing w:line="276" w:lineRule="atLeast"/>
        <w:ind w:firstLine="720"/>
        <w:rPr>
          <w:rFonts w:ascii="Times New Roman" w:hAnsi="Times New Roman" w:cs="Times New Roman"/>
          <w:color w:val="000000"/>
        </w:rPr>
      </w:pPr>
    </w:p>
    <w:p w:rsidR="00E143E0" w:rsidRDefault="00A70807">
      <w:pPr>
        <w:pStyle w:val="CM39"/>
        <w:spacing w:line="276" w:lineRule="atLeast"/>
        <w:ind w:firstLine="720"/>
        <w:rPr>
          <w:rFonts w:ascii="Times New Roman" w:hAnsi="Times New Roman" w:cs="Times New Roman"/>
          <w:color w:val="000000"/>
        </w:rPr>
      </w:pPr>
      <w:r>
        <w:rPr>
          <w:rFonts w:ascii="Times New Roman" w:hAnsi="Times New Roman" w:cs="Times New Roman"/>
          <w:color w:val="000000"/>
        </w:rPr>
        <w:t xml:space="preserve">The NYISO respectfully submits this Informational Report in compliance with the Commission’s Order.  For the reasons explained above, the NYISO is continuing to monitor and assess whether additional rules addressing compensation to generators needed for reliability are necessary to improve the NYISO administered markets.  The NYISO’s next informational report is due on </w:t>
      </w:r>
      <w:r w:rsidR="00F301F1">
        <w:rPr>
          <w:rFonts w:ascii="Times New Roman" w:hAnsi="Times New Roman" w:cs="Times New Roman"/>
          <w:color w:val="000000"/>
        </w:rPr>
        <w:t>March 27</w:t>
      </w:r>
      <w:r>
        <w:rPr>
          <w:rFonts w:ascii="Times New Roman" w:hAnsi="Times New Roman" w:cs="Times New Roman"/>
          <w:color w:val="000000"/>
        </w:rPr>
        <w:t>, 201</w:t>
      </w:r>
      <w:r w:rsidR="00F301F1">
        <w:rPr>
          <w:rFonts w:ascii="Times New Roman" w:hAnsi="Times New Roman" w:cs="Times New Roman"/>
          <w:color w:val="000000"/>
        </w:rPr>
        <w:t>4</w:t>
      </w:r>
      <w:r>
        <w:rPr>
          <w:rFonts w:ascii="Times New Roman" w:hAnsi="Times New Roman" w:cs="Times New Roman"/>
          <w:color w:val="000000"/>
        </w:rPr>
        <w:t xml:space="preserve">.   </w:t>
      </w:r>
    </w:p>
    <w:p w:rsidR="00E143E0" w:rsidRDefault="00E143E0"/>
    <w:p w:rsidR="00E143E0" w:rsidRDefault="00A70807">
      <w:pPr>
        <w:pStyle w:val="CM37"/>
        <w:spacing w:line="276" w:lineRule="atLeast"/>
        <w:ind w:left="2880" w:firstLine="720"/>
        <w:rPr>
          <w:rFonts w:ascii="Times New Roman" w:hAnsi="Times New Roman" w:cs="Times New Roman"/>
          <w:color w:val="000000"/>
        </w:rPr>
      </w:pPr>
      <w:r>
        <w:rPr>
          <w:rFonts w:ascii="Times New Roman" w:hAnsi="Times New Roman" w:cs="Times New Roman"/>
          <w:color w:val="000000"/>
        </w:rPr>
        <w:t xml:space="preserve">Respectfully submitted, </w:t>
      </w:r>
    </w:p>
    <w:p w:rsidR="00E143E0" w:rsidRDefault="00E143E0">
      <w:pPr>
        <w:pStyle w:val="Default"/>
        <w:rPr>
          <w:rFonts w:ascii="Times New Roman" w:hAnsi="Times New Roman" w:cs="Times New Roman"/>
        </w:rPr>
      </w:pPr>
    </w:p>
    <w:p w:rsidR="00E143E0" w:rsidRDefault="00A70807">
      <w:pPr>
        <w:pStyle w:val="CM36"/>
        <w:spacing w:line="276" w:lineRule="atLeast"/>
        <w:ind w:left="2880" w:firstLine="720"/>
        <w:rPr>
          <w:rFonts w:ascii="Times New Roman" w:hAnsi="Times New Roman" w:cs="Times New Roman"/>
          <w:i/>
          <w:iCs/>
          <w:color w:val="000000"/>
          <w:u w:val="single"/>
        </w:rPr>
      </w:pPr>
      <w:r>
        <w:rPr>
          <w:rFonts w:ascii="Times New Roman" w:hAnsi="Times New Roman" w:cs="Times New Roman"/>
          <w:color w:val="000000"/>
          <w:u w:val="single"/>
        </w:rPr>
        <w:t xml:space="preserve">/s/ </w:t>
      </w:r>
      <w:r>
        <w:rPr>
          <w:rFonts w:ascii="Times New Roman" w:hAnsi="Times New Roman" w:cs="Times New Roman"/>
          <w:i/>
          <w:color w:val="000000"/>
          <w:u w:val="single"/>
        </w:rPr>
        <w:t>James H. Sweeney</w:t>
      </w:r>
    </w:p>
    <w:p w:rsidR="00E143E0" w:rsidRDefault="00A70807">
      <w:pPr>
        <w:pStyle w:val="CM36"/>
        <w:spacing w:line="276" w:lineRule="atLeast"/>
        <w:ind w:left="3600"/>
        <w:rPr>
          <w:rFonts w:ascii="Times New Roman" w:hAnsi="Times New Roman" w:cs="Times New Roman"/>
          <w:color w:val="000000"/>
        </w:rPr>
      </w:pPr>
      <w:r>
        <w:rPr>
          <w:rFonts w:ascii="Times New Roman" w:hAnsi="Times New Roman" w:cs="Times New Roman"/>
          <w:color w:val="000000"/>
        </w:rPr>
        <w:t xml:space="preserve">Rana Mukerji, Senior Vice President of Market Structures </w:t>
      </w:r>
    </w:p>
    <w:p w:rsidR="00E143E0" w:rsidRDefault="00A70807">
      <w:pPr>
        <w:pStyle w:val="CM36"/>
        <w:spacing w:line="276" w:lineRule="atLeast"/>
        <w:ind w:left="2880" w:firstLine="720"/>
        <w:rPr>
          <w:rFonts w:ascii="Times New Roman" w:hAnsi="Times New Roman" w:cs="Times New Roman"/>
          <w:color w:val="000000"/>
        </w:rPr>
      </w:pPr>
      <w:r>
        <w:rPr>
          <w:rFonts w:ascii="Times New Roman" w:hAnsi="Times New Roman" w:cs="Times New Roman"/>
          <w:color w:val="000000"/>
        </w:rPr>
        <w:t xml:space="preserve">Robert E. Fernandez, General Counsel </w:t>
      </w:r>
    </w:p>
    <w:p w:rsidR="00E143E0" w:rsidRDefault="00A70807">
      <w:pPr>
        <w:pStyle w:val="CM36"/>
        <w:spacing w:line="276" w:lineRule="atLeast"/>
        <w:ind w:left="2880" w:firstLine="720"/>
        <w:rPr>
          <w:rFonts w:ascii="Times New Roman" w:hAnsi="Times New Roman" w:cs="Times New Roman"/>
          <w:color w:val="000000"/>
        </w:rPr>
      </w:pPr>
      <w:r>
        <w:rPr>
          <w:rFonts w:ascii="Times New Roman" w:hAnsi="Times New Roman" w:cs="Times New Roman"/>
          <w:color w:val="000000"/>
        </w:rPr>
        <w:t>James H. Sweeney, Attorney</w:t>
      </w:r>
    </w:p>
    <w:p w:rsidR="00E143E0" w:rsidRDefault="00A70807">
      <w:pPr>
        <w:pStyle w:val="CM36"/>
        <w:spacing w:line="276" w:lineRule="atLeast"/>
        <w:ind w:left="2880" w:firstLine="720"/>
        <w:rPr>
          <w:rFonts w:ascii="Times New Roman" w:hAnsi="Times New Roman" w:cs="Times New Roman"/>
          <w:color w:val="000000"/>
        </w:rPr>
      </w:pPr>
      <w:r>
        <w:rPr>
          <w:rFonts w:ascii="Times New Roman" w:hAnsi="Times New Roman" w:cs="Times New Roman"/>
          <w:color w:val="000000"/>
        </w:rPr>
        <w:t xml:space="preserve">New York Independent System Operator, Inc. </w:t>
      </w:r>
      <w:bookmarkEnd w:id="0"/>
    </w:p>
    <w:p w:rsidR="00E143E0" w:rsidRDefault="00E143E0">
      <w:pPr>
        <w:pStyle w:val="Default"/>
      </w:pPr>
    </w:p>
    <w:p w:rsidR="00E143E0" w:rsidRDefault="00E143E0">
      <w:pPr>
        <w:pStyle w:val="Default"/>
        <w:ind w:firstLine="720"/>
        <w:rPr>
          <w:rFonts w:ascii="Times New Roman" w:hAnsi="Times New Roman" w:cs="Times New Roman"/>
          <w:b/>
        </w:rPr>
      </w:pPr>
    </w:p>
    <w:sectPr w:rsidR="00E143E0" w:rsidSect="00E143E0">
      <w:headerReference w:type="default" r:id="rId9"/>
      <w:pgSz w:w="12240" w:h="15840"/>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1EA" w:rsidRDefault="00C651EA">
      <w:r>
        <w:separator/>
      </w:r>
    </w:p>
  </w:endnote>
  <w:endnote w:type="continuationSeparator" w:id="0">
    <w:p w:rsidR="00C651EA" w:rsidRDefault="00C651EA">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1EA" w:rsidRDefault="00C651EA">
      <w:r>
        <w:separator/>
      </w:r>
    </w:p>
  </w:footnote>
  <w:footnote w:type="continuationSeparator" w:id="0">
    <w:p w:rsidR="00C651EA" w:rsidRDefault="00C651EA">
      <w:r>
        <w:continuationSeparator/>
      </w:r>
    </w:p>
  </w:footnote>
  <w:footnote w:id="1">
    <w:p w:rsidR="00C651EA" w:rsidRDefault="00C651EA" w:rsidP="00C651EA">
      <w:pPr>
        <w:outlineLvl w:val="0"/>
        <w:rPr>
          <w:sz w:val="22"/>
          <w:szCs w:val="22"/>
        </w:rPr>
      </w:pPr>
      <w:r>
        <w:rPr>
          <w:rStyle w:val="FootnoteReference"/>
          <w:sz w:val="22"/>
          <w:szCs w:val="22"/>
        </w:rPr>
        <w:footnoteRef/>
      </w:r>
      <w:r>
        <w:rPr>
          <w:i/>
          <w:iCs/>
          <w:sz w:val="22"/>
          <w:szCs w:val="22"/>
        </w:rPr>
        <w:t>New York Independent System Operator, Inc.</w:t>
      </w:r>
      <w:r>
        <w:rPr>
          <w:iCs/>
          <w:sz w:val="22"/>
          <w:szCs w:val="22"/>
        </w:rPr>
        <w:t xml:space="preserve">, </w:t>
      </w:r>
      <w:r>
        <w:rPr>
          <w:sz w:val="22"/>
          <w:szCs w:val="22"/>
        </w:rPr>
        <w:t xml:space="preserve">133 FERC ¶ 61,030.  Since issuance of this Order in October 2010, the Commission has accepted tariff revisions to establish a New Capacity Zone comprised of Load Zones G, H, I and J, and a corresponding revision to the definition of “Rest of State.”  </w:t>
      </w:r>
      <w:r w:rsidRPr="0069630F">
        <w:rPr>
          <w:i/>
          <w:sz w:val="22"/>
          <w:szCs w:val="22"/>
        </w:rPr>
        <w:t>See</w:t>
      </w:r>
      <w:r>
        <w:rPr>
          <w:sz w:val="22"/>
          <w:szCs w:val="22"/>
        </w:rPr>
        <w:t xml:space="preserve"> </w:t>
      </w:r>
      <w:r>
        <w:rPr>
          <w:i/>
          <w:iCs/>
          <w:sz w:val="22"/>
          <w:szCs w:val="22"/>
        </w:rPr>
        <w:t>New York Independent System Operator, Inc.</w:t>
      </w:r>
      <w:r>
        <w:rPr>
          <w:iCs/>
          <w:sz w:val="22"/>
          <w:szCs w:val="22"/>
        </w:rPr>
        <w:t xml:space="preserve">, </w:t>
      </w:r>
      <w:r>
        <w:t xml:space="preserve">144 FERC ¶ 61,126, </w:t>
      </w:r>
      <w:r>
        <w:rPr>
          <w:sz w:val="22"/>
          <w:szCs w:val="22"/>
        </w:rPr>
        <w:t xml:space="preserve">(Docket No. </w:t>
      </w:r>
      <w:proofErr w:type="gramStart"/>
      <w:r>
        <w:rPr>
          <w:sz w:val="22"/>
          <w:szCs w:val="22"/>
        </w:rPr>
        <w:t>ER13-1380-00, accepting Services Tariff Sections 2.7, 2.18.)</w:t>
      </w:r>
      <w:proofErr w:type="gramEnd"/>
      <w:r>
        <w:rPr>
          <w:sz w:val="22"/>
          <w:szCs w:val="22"/>
        </w:rPr>
        <w:t xml:space="preserve">  Rest of State is presently defined as Load Zones A through I, and on January 27, 2014 it will be comprised of Load Zones A through F.    </w:t>
      </w:r>
    </w:p>
  </w:footnote>
  <w:footnote w:id="2">
    <w:p w:rsidR="00C651EA" w:rsidRDefault="00C651EA" w:rsidP="00BC6858">
      <w:pPr>
        <w:pStyle w:val="FootnoteText"/>
        <w:spacing w:after="120"/>
        <w:rPr>
          <w:sz w:val="22"/>
          <w:szCs w:val="22"/>
        </w:rPr>
      </w:pPr>
      <w:r>
        <w:rPr>
          <w:rStyle w:val="FootnoteReference"/>
          <w:sz w:val="22"/>
          <w:szCs w:val="22"/>
        </w:rPr>
        <w:footnoteRef/>
      </w:r>
      <w:r>
        <w:rPr>
          <w:sz w:val="22"/>
          <w:szCs w:val="22"/>
        </w:rPr>
        <w:t xml:space="preserve"> </w:t>
      </w:r>
      <w:proofErr w:type="gramStart"/>
      <w:r>
        <w:rPr>
          <w:sz w:val="22"/>
          <w:szCs w:val="22"/>
        </w:rPr>
        <w:t xml:space="preserve">NYPSC Case No. 12-E-0136, </w:t>
      </w:r>
      <w:r>
        <w:rPr>
          <w:i/>
          <w:sz w:val="22"/>
          <w:szCs w:val="22"/>
        </w:rPr>
        <w:t xml:space="preserve">Order Deciding Reliability Issues and Addressing Cost Allocation and Recovery </w:t>
      </w:r>
      <w:r>
        <w:rPr>
          <w:sz w:val="22"/>
          <w:szCs w:val="22"/>
        </w:rPr>
        <w:t>(issued August 16, 2012).</w:t>
      </w:r>
      <w:proofErr w:type="gramEnd"/>
      <w:r>
        <w:rPr>
          <w:sz w:val="22"/>
          <w:szCs w:val="22"/>
        </w:rPr>
        <w:t xml:space="preserve">  Order may be retrieved from &lt;http://documents.dps.ny.gov/public/Common/ViewDoc.aspx?DocRefId={34D25567-D7B7-41EA-822F-6585B344BC0E}&gt;</w:t>
      </w:r>
    </w:p>
  </w:footnote>
  <w:footnote w:id="3">
    <w:p w:rsidR="00C651EA" w:rsidRPr="005B37C7" w:rsidRDefault="00C651EA">
      <w:pPr>
        <w:pStyle w:val="FootnoteText"/>
      </w:pPr>
      <w:r>
        <w:rPr>
          <w:rStyle w:val="FootnoteReference"/>
        </w:rPr>
        <w:footnoteRef/>
      </w:r>
      <w:r>
        <w:t xml:space="preserve"> </w:t>
      </w:r>
      <w:r>
        <w:rPr>
          <w:i/>
        </w:rPr>
        <w:t xml:space="preserve">See </w:t>
      </w:r>
      <w:r>
        <w:t xml:space="preserve">Federal Energy Regulatory Commission Docket No. </w:t>
      </w:r>
      <w:proofErr w:type="gramStart"/>
      <w:r>
        <w:t>ER13-1182.</w:t>
      </w:r>
      <w:proofErr w:type="gramEnd"/>
    </w:p>
  </w:footnote>
  <w:footnote w:id="4">
    <w:p w:rsidR="00C651EA" w:rsidRPr="00C85D39" w:rsidRDefault="00C651EA">
      <w:pPr>
        <w:pStyle w:val="FootnoteText"/>
      </w:pPr>
      <w:r>
        <w:rPr>
          <w:rStyle w:val="FootnoteReference"/>
        </w:rPr>
        <w:footnoteRef/>
      </w:r>
      <w:r>
        <w:t xml:space="preserve"> </w:t>
      </w:r>
      <w:r>
        <w:rPr>
          <w:i/>
        </w:rPr>
        <w:t xml:space="preserve">See </w:t>
      </w:r>
      <w:r>
        <w:t xml:space="preserve">Federal Energy Regulatory Commission Docket No. </w:t>
      </w:r>
      <w:proofErr w:type="gramStart"/>
      <w:r>
        <w:t>EL13-62.</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EA" w:rsidRDefault="00C651EA">
    <w:pPr>
      <w:pStyle w:val="Header"/>
    </w:pPr>
    <w:r>
      <w:t>Kimberly D. Bose, Secretary</w:t>
    </w:r>
  </w:p>
  <w:p w:rsidR="00C651EA" w:rsidRDefault="00C651EA">
    <w:pPr>
      <w:pStyle w:val="Header"/>
    </w:pPr>
    <w:r>
      <w:t>September 27, 2013</w:t>
    </w:r>
  </w:p>
  <w:p w:rsidR="00C651EA" w:rsidRDefault="00C651EA">
    <w:pPr>
      <w:pStyle w:val="Header"/>
    </w:pPr>
    <w:r>
      <w:t xml:space="preserve">Page </w:t>
    </w:r>
    <w:fldSimple w:instr=" PAGE   \* MERGEFORMAT ">
      <w:r w:rsidR="00E95978">
        <w:rPr>
          <w:noProof/>
        </w:rPr>
        <w:t>4</w:t>
      </w:r>
    </w:fldSimple>
  </w:p>
  <w:p w:rsidR="00C651EA" w:rsidRDefault="00C651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A81"/>
    <w:multiLevelType w:val="hybridMultilevel"/>
    <w:tmpl w:val="FCBA0064"/>
    <w:lvl w:ilvl="0" w:tplc="CAAA68CE">
      <w:start w:val="2"/>
      <w:numFmt w:val="upperRoman"/>
      <w:lvlText w:val="%1."/>
      <w:lvlJc w:val="left"/>
      <w:pPr>
        <w:tabs>
          <w:tab w:val="num" w:pos="1080"/>
        </w:tabs>
        <w:ind w:left="1080" w:hanging="720"/>
      </w:pPr>
      <w:rPr>
        <w:rFonts w:ascii="Times New Roman Bold" w:hAnsi="Times New Roman Bold" w:cs="Times New Roman" w:hint="default"/>
        <w:b/>
        <w:u w:val="none"/>
      </w:rPr>
    </w:lvl>
    <w:lvl w:ilvl="1" w:tplc="C8B43442">
      <w:start w:val="1"/>
      <w:numFmt w:val="upperLetter"/>
      <w:lvlText w:val="%2."/>
      <w:lvlJc w:val="left"/>
      <w:pPr>
        <w:tabs>
          <w:tab w:val="num" w:pos="1440"/>
        </w:tabs>
        <w:ind w:left="1440" w:hanging="360"/>
      </w:pPr>
      <w:rPr>
        <w:rFonts w:cs="Times New Roman" w:hint="default"/>
        <w:b/>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04357F3"/>
    <w:multiLevelType w:val="hybridMultilevel"/>
    <w:tmpl w:val="1B6C7DC4"/>
    <w:lvl w:ilvl="0" w:tplc="A0BA959E">
      <w:start w:val="2"/>
      <w:numFmt w:val="decimal"/>
      <w:lvlText w:val="%1."/>
      <w:lvlJc w:val="left"/>
      <w:pPr>
        <w:tabs>
          <w:tab w:val="num" w:pos="1080"/>
        </w:tabs>
        <w:ind w:left="1080" w:hanging="360"/>
      </w:pPr>
      <w:rPr>
        <w:rFonts w:cs="Times New Roman" w:hint="default"/>
      </w:rPr>
    </w:lvl>
    <w:lvl w:ilvl="1" w:tplc="4D5AEB6E">
      <w:start w:val="3"/>
      <w:numFmt w:val="upperRoman"/>
      <w:lvlText w:val="%2."/>
      <w:lvlJc w:val="left"/>
      <w:pPr>
        <w:tabs>
          <w:tab w:val="num" w:pos="2160"/>
        </w:tabs>
        <w:ind w:left="2160" w:hanging="720"/>
      </w:pPr>
      <w:rPr>
        <w:rFonts w:cs="Times New Roman" w:hint="default"/>
        <w:u w:val="none"/>
      </w:rPr>
    </w:lvl>
    <w:lvl w:ilvl="2" w:tplc="549424A2">
      <w:start w:val="2"/>
      <w:numFmt w:val="upp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6E086DF7"/>
    <w:multiLevelType w:val="hybridMultilevel"/>
    <w:tmpl w:val="475DA9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oNotTrackFormatting/>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rsids>
    <w:rsidRoot w:val="00E143E0"/>
    <w:rsid w:val="00030C6A"/>
    <w:rsid w:val="000523A9"/>
    <w:rsid w:val="00063E53"/>
    <w:rsid w:val="00087F8A"/>
    <w:rsid w:val="000B3807"/>
    <w:rsid w:val="00135D6B"/>
    <w:rsid w:val="001667EF"/>
    <w:rsid w:val="00191EB1"/>
    <w:rsid w:val="001D5993"/>
    <w:rsid w:val="001E26C7"/>
    <w:rsid w:val="001F244A"/>
    <w:rsid w:val="002419C7"/>
    <w:rsid w:val="0025692A"/>
    <w:rsid w:val="002B1FBF"/>
    <w:rsid w:val="0033050E"/>
    <w:rsid w:val="00367B92"/>
    <w:rsid w:val="0037425B"/>
    <w:rsid w:val="0039194B"/>
    <w:rsid w:val="003964F4"/>
    <w:rsid w:val="00437FA4"/>
    <w:rsid w:val="004423D2"/>
    <w:rsid w:val="00486F18"/>
    <w:rsid w:val="00495877"/>
    <w:rsid w:val="004E248A"/>
    <w:rsid w:val="004F5614"/>
    <w:rsid w:val="005026AF"/>
    <w:rsid w:val="0052483D"/>
    <w:rsid w:val="00546386"/>
    <w:rsid w:val="00555A17"/>
    <w:rsid w:val="00565BF9"/>
    <w:rsid w:val="00565F81"/>
    <w:rsid w:val="005B37C7"/>
    <w:rsid w:val="005C6F48"/>
    <w:rsid w:val="006074C4"/>
    <w:rsid w:val="00632CE4"/>
    <w:rsid w:val="00651EA5"/>
    <w:rsid w:val="00681DE4"/>
    <w:rsid w:val="0069630F"/>
    <w:rsid w:val="006D77AC"/>
    <w:rsid w:val="0073111B"/>
    <w:rsid w:val="007859DB"/>
    <w:rsid w:val="008004A1"/>
    <w:rsid w:val="00817A33"/>
    <w:rsid w:val="00840496"/>
    <w:rsid w:val="008776E1"/>
    <w:rsid w:val="008A08B3"/>
    <w:rsid w:val="008A5FB0"/>
    <w:rsid w:val="008C7D35"/>
    <w:rsid w:val="00901091"/>
    <w:rsid w:val="00946C92"/>
    <w:rsid w:val="00971B77"/>
    <w:rsid w:val="00971C7A"/>
    <w:rsid w:val="00993B31"/>
    <w:rsid w:val="00A02919"/>
    <w:rsid w:val="00A61744"/>
    <w:rsid w:val="00A65255"/>
    <w:rsid w:val="00A70807"/>
    <w:rsid w:val="00AC1A3B"/>
    <w:rsid w:val="00AD40B9"/>
    <w:rsid w:val="00AD74B8"/>
    <w:rsid w:val="00AF5E03"/>
    <w:rsid w:val="00B00C03"/>
    <w:rsid w:val="00BC4362"/>
    <w:rsid w:val="00BC6858"/>
    <w:rsid w:val="00BE143F"/>
    <w:rsid w:val="00C13FEC"/>
    <w:rsid w:val="00C31F48"/>
    <w:rsid w:val="00C34A92"/>
    <w:rsid w:val="00C651EA"/>
    <w:rsid w:val="00C77E1A"/>
    <w:rsid w:val="00C8267E"/>
    <w:rsid w:val="00C85D39"/>
    <w:rsid w:val="00CA32A3"/>
    <w:rsid w:val="00CB1133"/>
    <w:rsid w:val="00D12145"/>
    <w:rsid w:val="00D34427"/>
    <w:rsid w:val="00D84CEF"/>
    <w:rsid w:val="00DE14C8"/>
    <w:rsid w:val="00E143E0"/>
    <w:rsid w:val="00E95978"/>
    <w:rsid w:val="00F060B0"/>
    <w:rsid w:val="00F301F1"/>
    <w:rsid w:val="00F6194A"/>
    <w:rsid w:val="00F92E95"/>
    <w:rsid w:val="00F93013"/>
    <w:rsid w:val="00FC6A12"/>
    <w:rsid w:val="00FD2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3E0"/>
    <w:rPr>
      <w:sz w:val="24"/>
      <w:szCs w:val="24"/>
    </w:rPr>
  </w:style>
  <w:style w:type="paragraph" w:styleId="Heading1">
    <w:name w:val="heading 1"/>
    <w:basedOn w:val="Normal"/>
    <w:next w:val="Normal"/>
    <w:qFormat/>
    <w:rsid w:val="00E143E0"/>
    <w:pPr>
      <w:keepNext/>
      <w:outlineLvl w:val="0"/>
    </w:pPr>
    <w:rPr>
      <w:rFonts w:ascii="Arial Narrow" w:hAnsi="Arial Narrow" w:cs="Arial Narrow"/>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143E0"/>
    <w:pPr>
      <w:autoSpaceDE w:val="0"/>
      <w:autoSpaceDN w:val="0"/>
    </w:pPr>
    <w:rPr>
      <w:rFonts w:ascii="Arial" w:eastAsia="Calibri" w:hAnsi="Arial" w:cs="Arial"/>
      <w:color w:val="000000"/>
    </w:rPr>
  </w:style>
  <w:style w:type="character" w:styleId="FootnoteReference">
    <w:name w:val="footnote reference"/>
    <w:aliases w:val="o,fr,Style 13,Style 12,Style 15,Style 17,Style 9,o1,fr1,o2,fr2,o3,fr3,Style 18,(NECG) Footnote Reference,Style 20,Style 7"/>
    <w:rsid w:val="00E143E0"/>
    <w:rPr>
      <w:rFonts w:cs="Times New Roman"/>
      <w:vertAlign w:val="superscript"/>
    </w:rPr>
  </w:style>
  <w:style w:type="paragraph" w:styleId="FootnoteText">
    <w:name w:val="footnote text"/>
    <w:aliases w:val="fn,Footnote Text Char1,Footnote Text Char Char,Footnote Text Char1 Char,Footnote Text Char Char Char,Footnote Text Char Char1 Char,Footnote Text Char Char1,Footnote Text Char1 Char Char Char1 Char Char,fn Char,ft Char,f"/>
    <w:basedOn w:val="Normal"/>
    <w:link w:val="FootnoteTextChar2"/>
    <w:rsid w:val="00E143E0"/>
    <w:pPr>
      <w:spacing w:after="240"/>
      <w:ind w:firstLine="720"/>
    </w:pPr>
    <w:rPr>
      <w:szCs w:val="20"/>
    </w:rPr>
  </w:style>
  <w:style w:type="character" w:customStyle="1" w:styleId="FootnoteTextChar">
    <w:name w:val="Footnote Text Char"/>
    <w:basedOn w:val="DefaultParagraphFont"/>
    <w:link w:val="FootnoteText"/>
    <w:rsid w:val="00E143E0"/>
  </w:style>
  <w:style w:type="character" w:customStyle="1" w:styleId="FootnoteTextChar2">
    <w:name w:val="Footnote Text Char2"/>
    <w:aliases w:val="fn Char1,Footnote Text Char1 Char1,Footnote Text Char Char Char1,Footnote Text Char1 Char Char,Footnote Text Char Char Char Char,Footnote Text Char Char1 Char Char,Footnote Text Char Char1 Char1,fn Char Char,ft Char Char,f Char"/>
    <w:link w:val="FootnoteText"/>
    <w:locked/>
    <w:rsid w:val="00E143E0"/>
    <w:rPr>
      <w:sz w:val="24"/>
    </w:rPr>
  </w:style>
  <w:style w:type="paragraph" w:customStyle="1" w:styleId="Address">
    <w:name w:val="Address"/>
    <w:basedOn w:val="Normal"/>
    <w:rsid w:val="00E143E0"/>
    <w:pPr>
      <w:keepLines/>
    </w:pPr>
  </w:style>
  <w:style w:type="character" w:styleId="Hyperlink">
    <w:name w:val="Hyperlink"/>
    <w:rsid w:val="00E143E0"/>
    <w:rPr>
      <w:rFonts w:cs="Times New Roman"/>
      <w:color w:val="0000FF"/>
      <w:u w:val="single"/>
    </w:rPr>
  </w:style>
  <w:style w:type="character" w:customStyle="1" w:styleId="PlainTextChar">
    <w:name w:val="Plain Text Char"/>
    <w:link w:val="PlainText"/>
    <w:locked/>
    <w:rsid w:val="00E143E0"/>
    <w:rPr>
      <w:rFonts w:ascii="Calibri" w:hAnsi="Calibri"/>
      <w:noProof/>
      <w:color w:val="17365D"/>
      <w:sz w:val="21"/>
      <w:szCs w:val="21"/>
    </w:rPr>
  </w:style>
  <w:style w:type="paragraph" w:styleId="PlainText">
    <w:name w:val="Plain Text"/>
    <w:basedOn w:val="Normal"/>
    <w:link w:val="PlainTextChar"/>
    <w:rsid w:val="00E143E0"/>
    <w:rPr>
      <w:rFonts w:ascii="Calibri" w:hAnsi="Calibri"/>
      <w:noProof/>
      <w:color w:val="17365D"/>
      <w:sz w:val="21"/>
      <w:szCs w:val="21"/>
    </w:rPr>
  </w:style>
  <w:style w:type="character" w:customStyle="1" w:styleId="PlainTextChar1">
    <w:name w:val="Plain Text Char1"/>
    <w:basedOn w:val="DefaultParagraphFont"/>
    <w:link w:val="PlainText"/>
    <w:rsid w:val="00E143E0"/>
    <w:rPr>
      <w:rFonts w:ascii="Courier New" w:hAnsi="Courier New" w:cs="Courier New"/>
    </w:rPr>
  </w:style>
  <w:style w:type="paragraph" w:styleId="Header">
    <w:name w:val="header"/>
    <w:basedOn w:val="Normal"/>
    <w:link w:val="HeaderChar"/>
    <w:uiPriority w:val="99"/>
    <w:rsid w:val="00E143E0"/>
    <w:pPr>
      <w:tabs>
        <w:tab w:val="center" w:pos="4680"/>
        <w:tab w:val="right" w:pos="9360"/>
      </w:tabs>
    </w:pPr>
  </w:style>
  <w:style w:type="character" w:customStyle="1" w:styleId="HeaderChar">
    <w:name w:val="Header Char"/>
    <w:basedOn w:val="DefaultParagraphFont"/>
    <w:link w:val="Header"/>
    <w:uiPriority w:val="99"/>
    <w:rsid w:val="00E143E0"/>
    <w:rPr>
      <w:sz w:val="24"/>
      <w:szCs w:val="24"/>
    </w:rPr>
  </w:style>
  <w:style w:type="paragraph" w:styleId="Footer">
    <w:name w:val="footer"/>
    <w:basedOn w:val="Normal"/>
    <w:link w:val="FooterChar"/>
    <w:rsid w:val="00E143E0"/>
    <w:pPr>
      <w:tabs>
        <w:tab w:val="center" w:pos="4680"/>
        <w:tab w:val="right" w:pos="9360"/>
      </w:tabs>
    </w:pPr>
  </w:style>
  <w:style w:type="character" w:customStyle="1" w:styleId="FooterChar">
    <w:name w:val="Footer Char"/>
    <w:basedOn w:val="DefaultParagraphFont"/>
    <w:link w:val="Footer"/>
    <w:rsid w:val="00E143E0"/>
    <w:rPr>
      <w:sz w:val="24"/>
      <w:szCs w:val="24"/>
    </w:rPr>
  </w:style>
  <w:style w:type="paragraph" w:styleId="BalloonText">
    <w:name w:val="Balloon Text"/>
    <w:basedOn w:val="Normal"/>
    <w:link w:val="BalloonTextChar"/>
    <w:rsid w:val="00E143E0"/>
    <w:rPr>
      <w:rFonts w:ascii="Tahoma" w:hAnsi="Tahoma" w:cs="Tahoma"/>
      <w:sz w:val="16"/>
      <w:szCs w:val="16"/>
    </w:rPr>
  </w:style>
  <w:style w:type="character" w:customStyle="1" w:styleId="BalloonTextChar">
    <w:name w:val="Balloon Text Char"/>
    <w:basedOn w:val="DefaultParagraphFont"/>
    <w:link w:val="BalloonText"/>
    <w:rsid w:val="00E143E0"/>
    <w:rPr>
      <w:rFonts w:ascii="Tahoma" w:hAnsi="Tahoma" w:cs="Tahoma"/>
      <w:sz w:val="16"/>
      <w:szCs w:val="16"/>
    </w:rPr>
  </w:style>
  <w:style w:type="paragraph" w:styleId="BlockText">
    <w:name w:val="Block Text"/>
    <w:basedOn w:val="Normal"/>
    <w:rsid w:val="00E143E0"/>
    <w:pPr>
      <w:spacing w:after="120"/>
      <w:ind w:left="1440" w:right="1440"/>
    </w:pPr>
  </w:style>
  <w:style w:type="character" w:styleId="PageNumber">
    <w:name w:val="page number"/>
    <w:rsid w:val="00E143E0"/>
    <w:rPr>
      <w:rFonts w:cs="Times New Roman"/>
    </w:rPr>
  </w:style>
  <w:style w:type="paragraph" w:customStyle="1" w:styleId="CM36">
    <w:name w:val="CM36"/>
    <w:basedOn w:val="Default"/>
    <w:next w:val="Default"/>
    <w:uiPriority w:val="99"/>
    <w:rsid w:val="00E143E0"/>
    <w:pPr>
      <w:widowControl w:val="0"/>
      <w:adjustRightInd w:val="0"/>
    </w:pPr>
    <w:rPr>
      <w:rFonts w:eastAsia="Times New Roman"/>
      <w:color w:val="auto"/>
    </w:rPr>
  </w:style>
  <w:style w:type="paragraph" w:customStyle="1" w:styleId="CM7">
    <w:name w:val="CM7"/>
    <w:basedOn w:val="Default"/>
    <w:next w:val="Default"/>
    <w:uiPriority w:val="99"/>
    <w:rsid w:val="00E143E0"/>
    <w:pPr>
      <w:widowControl w:val="0"/>
      <w:adjustRightInd w:val="0"/>
    </w:pPr>
    <w:rPr>
      <w:rFonts w:eastAsia="Times New Roman"/>
      <w:color w:val="auto"/>
    </w:rPr>
  </w:style>
  <w:style w:type="paragraph" w:customStyle="1" w:styleId="CM8">
    <w:name w:val="CM8"/>
    <w:basedOn w:val="Default"/>
    <w:next w:val="Default"/>
    <w:uiPriority w:val="99"/>
    <w:rsid w:val="00E143E0"/>
    <w:pPr>
      <w:widowControl w:val="0"/>
      <w:adjustRightInd w:val="0"/>
      <w:spacing w:line="276" w:lineRule="atLeast"/>
    </w:pPr>
    <w:rPr>
      <w:rFonts w:eastAsia="Times New Roman"/>
      <w:color w:val="auto"/>
    </w:rPr>
  </w:style>
  <w:style w:type="paragraph" w:customStyle="1" w:styleId="CM4">
    <w:name w:val="CM4"/>
    <w:basedOn w:val="Default"/>
    <w:next w:val="Default"/>
    <w:uiPriority w:val="99"/>
    <w:rsid w:val="00E143E0"/>
    <w:pPr>
      <w:widowControl w:val="0"/>
      <w:adjustRightInd w:val="0"/>
      <w:spacing w:line="278" w:lineRule="atLeast"/>
    </w:pPr>
    <w:rPr>
      <w:rFonts w:eastAsia="Times New Roman"/>
      <w:color w:val="auto"/>
    </w:rPr>
  </w:style>
  <w:style w:type="paragraph" w:customStyle="1" w:styleId="CM39">
    <w:name w:val="CM39"/>
    <w:basedOn w:val="Default"/>
    <w:next w:val="Default"/>
    <w:uiPriority w:val="99"/>
    <w:rsid w:val="00E143E0"/>
    <w:pPr>
      <w:widowControl w:val="0"/>
      <w:adjustRightInd w:val="0"/>
    </w:pPr>
    <w:rPr>
      <w:rFonts w:eastAsia="Times New Roman"/>
      <w:color w:val="auto"/>
    </w:rPr>
  </w:style>
  <w:style w:type="paragraph" w:customStyle="1" w:styleId="CM37">
    <w:name w:val="CM37"/>
    <w:basedOn w:val="Default"/>
    <w:next w:val="Default"/>
    <w:uiPriority w:val="99"/>
    <w:rsid w:val="00E143E0"/>
    <w:pPr>
      <w:widowControl w:val="0"/>
      <w:adjustRightInd w:val="0"/>
    </w:pPr>
    <w:rPr>
      <w:rFonts w:eastAsia="Times New Roman"/>
      <w:color w:val="auto"/>
    </w:rPr>
  </w:style>
  <w:style w:type="paragraph" w:customStyle="1" w:styleId="CM2">
    <w:name w:val="CM2"/>
    <w:basedOn w:val="Default"/>
    <w:next w:val="Default"/>
    <w:uiPriority w:val="99"/>
    <w:rsid w:val="00E143E0"/>
    <w:pPr>
      <w:widowControl w:val="0"/>
      <w:adjustRightInd w:val="0"/>
      <w:spacing w:line="276" w:lineRule="atLeast"/>
    </w:pPr>
    <w:rPr>
      <w:rFonts w:eastAsia="Times New Roman"/>
      <w:color w:val="auto"/>
    </w:rPr>
  </w:style>
  <w:style w:type="character" w:styleId="CommentReference">
    <w:name w:val="annotation reference"/>
    <w:basedOn w:val="DefaultParagraphFont"/>
    <w:rsid w:val="00E143E0"/>
    <w:rPr>
      <w:sz w:val="16"/>
      <w:szCs w:val="16"/>
    </w:rPr>
  </w:style>
  <w:style w:type="paragraph" w:styleId="CommentText">
    <w:name w:val="annotation text"/>
    <w:basedOn w:val="Normal"/>
    <w:link w:val="CommentTextChar"/>
    <w:rsid w:val="00E143E0"/>
    <w:rPr>
      <w:sz w:val="20"/>
      <w:szCs w:val="20"/>
    </w:rPr>
  </w:style>
  <w:style w:type="character" w:customStyle="1" w:styleId="CommentTextChar">
    <w:name w:val="Comment Text Char"/>
    <w:basedOn w:val="DefaultParagraphFont"/>
    <w:link w:val="CommentText"/>
    <w:rsid w:val="00E143E0"/>
  </w:style>
  <w:style w:type="paragraph" w:styleId="CommentSubject">
    <w:name w:val="annotation subject"/>
    <w:basedOn w:val="CommentText"/>
    <w:next w:val="CommentText"/>
    <w:link w:val="CommentSubjectChar"/>
    <w:rsid w:val="00E143E0"/>
    <w:rPr>
      <w:b/>
      <w:bCs/>
    </w:rPr>
  </w:style>
  <w:style w:type="character" w:customStyle="1" w:styleId="CommentSubjectChar">
    <w:name w:val="Comment Subject Char"/>
    <w:basedOn w:val="CommentTextChar"/>
    <w:link w:val="CommentSubject"/>
    <w:rsid w:val="00E143E0"/>
    <w:rPr>
      <w:b/>
      <w:bCs/>
    </w:rPr>
  </w:style>
</w:styles>
</file>

<file path=word/webSettings.xml><?xml version="1.0" encoding="utf-8"?>
<w:webSettings xmlns:r="http://schemas.openxmlformats.org/officeDocument/2006/relationships" xmlns:w="http://schemas.openxmlformats.org/wordprocessingml/2006/main">
  <w:divs>
    <w:div w:id="20116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9788DE-2069-47FD-BA43-2684E3A3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2013-09-24T13:50:00Z</dcterms:created>
  <dcterms:modified xsi:type="dcterms:W3CDTF">2013-09-24T13:51:00Z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gFAA2RjfPKrF47hTLC5M5wofAKLJD+t8VuaD/11D9dhO8w9/x1DiLn/yQGLssF9Saiw6t19Ewgvj2Rs5
AGWGNmhPXa0P31a4lz5RyTT7se5TOYz6o6tJ25elp/mrXSFnfi8uWg/dp6rTzFQdCcmJ4t02hbPY
rxkzj8f7tY1YOE+mC9CTXhnY8p1RDsjqJu+d/LI0nf4zd7CIzvo0Fw8fLSl8kCOIndbQMasLp977
4c/QTNyl4xGOMKRWC</vt:lpwstr>
  </property>
  <property fmtid="{D5CDD505-2E9C-101B-9397-08002B2CF9AE}" pid="3" name="MAIL_MSG_ID2">
    <vt:lpwstr>MmgEmhNsxJQ07woTfJsOiWJsgtesQUdaMUZp4OtCuUDByo2hmp+LQnb4Bav
hZk+4AnU2qvbkptNF64kXLLVSmm5E/QCXiOHAQ==</vt:lpwstr>
  </property>
  <property fmtid="{D5CDD505-2E9C-101B-9397-08002B2CF9AE}" pid="4" name="RESPONSE_SENDER_NAME">
    <vt:lpwstr>sAAAE9kkUq3pEoKOGlRurCLDsY84hgMLUq58XveT0PQ+7Tg=</vt:lpwstr>
  </property>
  <property fmtid="{D5CDD505-2E9C-101B-9397-08002B2CF9AE}" pid="5" name="EMAIL_OWNER_ADDRESS">
    <vt:lpwstr>sAAAUYtyAkeNWR5mANIer0XvaqaQxC6fW8GfyJB8qvC1mtw=</vt:lpwstr>
  </property>
  <property fmtid="{D5CDD505-2E9C-101B-9397-08002B2CF9AE}" pid="6" name="_AdHocReviewCycleID">
    <vt:i4>957711503</vt:i4>
  </property>
  <property fmtid="{D5CDD505-2E9C-101B-9397-08002B2CF9AE}" pid="7" name="_NewReviewCycle">
    <vt:lpwstr/>
  </property>
</Properties>
</file>