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11" w:rsidRDefault="00610371">
      <w:pPr>
        <w:pStyle w:val="Heading2"/>
      </w:pPr>
      <w:bookmarkStart w:id="0" w:name="_DV_C9"/>
      <w:bookmarkStart w:id="1" w:name="_Toc263691882"/>
      <w:r>
        <w:t>26.14</w:t>
      </w:r>
      <w:r>
        <w:tab/>
      </w:r>
      <w:bookmarkEnd w:id="0"/>
      <w:r>
        <w:t>Material Adverse Change</w:t>
      </w:r>
      <w:bookmarkEnd w:id="1"/>
    </w:p>
    <w:p w:rsidR="006D1611" w:rsidRDefault="00610371">
      <w:pPr>
        <w:pStyle w:val="Bodypara"/>
      </w:pPr>
      <w:r>
        <w:t xml:space="preserve">The amount of Unsecured Credit granted to a Customer, if any, and the amount of the Customer’s Operating Requirement shall be subject to change, at the discretion of the ISO, in the event that there is a material adverse </w:t>
      </w:r>
      <w:r>
        <w:t xml:space="preserve">change affecting the risk of nonpayment by the Customer, which includes, but is not limited to:  (a) a material change in financial status pursuant to Section 26.2.1.4 of this Attachment K, (b) </w:t>
      </w:r>
      <w:r>
        <w:rPr>
          <w:bCs/>
        </w:rPr>
        <w:t xml:space="preserve">a downgrade of an Equivalency Rating, (c) </w:t>
      </w:r>
      <w:r>
        <w:t>a significant change</w:t>
      </w:r>
      <w:r>
        <w:t xml:space="preserve"> in the Customer’s “Expected Default Frequency (EDF)” as determined by Moody’s KMV CreditEdge, (d) a significant variation in the Customer’s Credit Assessment, (e) a significant increase in a Customer’s credit default swap (CDS) spreads, or (f) a significa</w:t>
      </w:r>
      <w:r>
        <w:t xml:space="preserve">nt decline in a Customer’s market capitalization.  In the event the ISO invokes its rights pursuant to this Section 26.14, the ISO will provide the affected Customer with a written explanation of the reasons the ISO declared a material adverse change. </w:t>
      </w:r>
    </w:p>
    <w:p w:rsidR="006D1611" w:rsidRDefault="00610371">
      <w:pPr>
        <w:ind w:left="720" w:hanging="720"/>
        <w:jc w:val="center"/>
        <w:rPr>
          <w:b/>
          <w:bCs/>
        </w:rPr>
      </w:pPr>
      <w:r>
        <w:rPr>
          <w:b/>
          <w:bCs/>
        </w:rPr>
        <w:t>Tab</w:t>
      </w:r>
      <w:r>
        <w:rPr>
          <w:b/>
          <w:bCs/>
        </w:rPr>
        <w:t>le K-1</w:t>
      </w:r>
      <w:r>
        <w:rPr>
          <w:b/>
          <w:bCs/>
        </w:rPr>
        <w:tab/>
        <w:t>Tangible Net Worth Credit Matrix</w:t>
      </w:r>
    </w:p>
    <w:p w:rsidR="006D1611" w:rsidRDefault="00610371">
      <w:pPr>
        <w:ind w:left="720" w:hanging="720"/>
        <w:jc w:val="center"/>
        <w:rPr>
          <w:b/>
          <w:bCs/>
        </w:rPr>
      </w:pP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680"/>
        <w:gridCol w:w="1980"/>
        <w:gridCol w:w="1710"/>
        <w:gridCol w:w="3630"/>
      </w:tblGrid>
      <w:tr w:rsidR="009A0334">
        <w:trPr>
          <w:trHeight w:val="530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D1611" w:rsidRDefault="00610371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</w:p>
          <w:p w:rsidR="006D1611" w:rsidRDefault="00610371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D1611" w:rsidRDefault="0061037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 Point for Determining</w:t>
            </w:r>
          </w:p>
          <w:p w:rsidR="006D1611" w:rsidRDefault="00610371">
            <w:pPr>
              <w:spacing w:before="6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Unsecured Credit </w:t>
            </w:r>
          </w:p>
        </w:tc>
      </w:tr>
      <w:tr w:rsidR="009A0334">
        <w:trPr>
          <w:cantSplit/>
          <w:trHeight w:val="5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Senior Long-term Unsecured Debt Rating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Issuer Rating or 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Equivalency Rating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  <w:u w:val="single"/>
              </w:rPr>
            </w:pPr>
          </w:p>
          <w:p w:rsidR="006D1611" w:rsidRDefault="00610371">
            <w:pPr>
              <w:jc w:val="center"/>
              <w:rPr>
                <w:szCs w:val="28"/>
                <w:u w:val="single"/>
              </w:rPr>
            </w:pPr>
          </w:p>
          <w:p w:rsidR="006D1611" w:rsidRDefault="00610371">
            <w:pPr>
              <w:jc w:val="center"/>
              <w:rPr>
                <w:szCs w:val="28"/>
                <w:u w:val="single"/>
              </w:rPr>
            </w:pPr>
            <w:r>
              <w:rPr>
                <w:szCs w:val="36"/>
              </w:rPr>
              <w:t>(% of Tangible Net Worth)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and Dominion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S&amp;P, </w:t>
            </w:r>
            <w:r>
              <w:rPr>
                <w:szCs w:val="28"/>
              </w:rPr>
              <w:t>Fitch, Dominion, and NYISO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611" w:rsidRDefault="00610371">
            <w:pPr>
              <w:jc w:val="center"/>
              <w:rPr>
                <w:szCs w:val="28"/>
              </w:rPr>
            </w:pP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AA-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Aa3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7.5%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6.5%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5.0%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4.0%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2.5%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1.5%</w:t>
            </w:r>
          </w:p>
        </w:tc>
      </w:tr>
      <w:tr w:rsidR="009A033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BB+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Ba1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11" w:rsidRDefault="006103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</w:tr>
    </w:tbl>
    <w:p w:rsidR="006D1611" w:rsidRDefault="00610371">
      <w:pPr>
        <w:tabs>
          <w:tab w:val="left" w:pos="4320"/>
        </w:tabs>
        <w:jc w:val="both"/>
      </w:pPr>
    </w:p>
    <w:sectPr w:rsidR="006D1611" w:rsidSect="006D1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34" w:rsidRDefault="009A0334" w:rsidP="009A0334">
      <w:r>
        <w:separator/>
      </w:r>
    </w:p>
  </w:endnote>
  <w:endnote w:type="continuationSeparator" w:id="0">
    <w:p w:rsidR="009A0334" w:rsidRDefault="009A0334" w:rsidP="009A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34" w:rsidRDefault="006103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9A03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9A033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34" w:rsidRDefault="006103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9A03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A033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34" w:rsidRDefault="006103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9A03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A033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34" w:rsidRDefault="009A0334" w:rsidP="009A0334">
      <w:r>
        <w:separator/>
      </w:r>
    </w:p>
  </w:footnote>
  <w:footnote w:type="continuationSeparator" w:id="0">
    <w:p w:rsidR="009A0334" w:rsidRDefault="009A0334" w:rsidP="009A0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34" w:rsidRDefault="006103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26 MST Attachment K - Creditworthiness Requirements For Cust --&gt; 26.14 MST Att K Material Adverse </w:t>
    </w:r>
    <w:r>
      <w:rPr>
        <w:rFonts w:ascii="Arial" w:eastAsia="Arial" w:hAnsi="Arial" w:cs="Arial"/>
        <w:color w:val="000000"/>
        <w:sz w:val="16"/>
      </w:rPr>
      <w:t>Change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34" w:rsidRDefault="006103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26.14 MST Att K Material Adverse Change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34" w:rsidRDefault="006103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26.14 MST Att K Material Adverse Chan</w:t>
    </w:r>
    <w:r>
      <w:rPr>
        <w:rFonts w:ascii="Arial" w:eastAsia="Arial" w:hAnsi="Arial" w:cs="Arial"/>
        <w:color w:val="000000"/>
        <w:sz w:val="16"/>
      </w:rPr>
      <w:t>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14EFC8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C5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86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62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C1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20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61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2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6B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9A0334"/>
    <w:rsid w:val="00610371"/>
    <w:rsid w:val="009A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6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161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161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161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161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161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161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161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161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161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1611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6D1611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6D1611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6D1611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6D1611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6D1611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6D161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6D1611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6D16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6D1611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6D1611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6D1611"/>
    <w:pPr>
      <w:jc w:val="both"/>
    </w:pPr>
    <w:rPr>
      <w:sz w:val="20"/>
    </w:rPr>
  </w:style>
  <w:style w:type="table" w:styleId="TableGrid">
    <w:name w:val="Table Grid"/>
    <w:basedOn w:val="TableNormal"/>
    <w:rsid w:val="006D16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6D1611"/>
    <w:rPr>
      <w:rFonts w:cs="Times New Roman"/>
    </w:rPr>
  </w:style>
  <w:style w:type="paragraph" w:customStyle="1" w:styleId="Definition">
    <w:name w:val="Definition"/>
    <w:basedOn w:val="Normal"/>
    <w:uiPriority w:val="99"/>
    <w:rsid w:val="006D161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D1611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6D161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D1611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6D1611"/>
  </w:style>
  <w:style w:type="paragraph" w:customStyle="1" w:styleId="TOCheading">
    <w:name w:val="TOC heading"/>
    <w:basedOn w:val="Normal"/>
    <w:uiPriority w:val="99"/>
    <w:rsid w:val="006D161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D1611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6D161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D161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6D1611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6D1611"/>
  </w:style>
  <w:style w:type="paragraph" w:customStyle="1" w:styleId="Tarifftitle">
    <w:name w:val="Tariff title"/>
    <w:basedOn w:val="Normal"/>
    <w:uiPriority w:val="99"/>
    <w:rsid w:val="006D1611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D1611"/>
    <w:pPr>
      <w:ind w:left="240"/>
    </w:pPr>
  </w:style>
  <w:style w:type="character" w:styleId="Hyperlink">
    <w:name w:val="Hyperlink"/>
    <w:basedOn w:val="DefaultParagraphFont"/>
    <w:uiPriority w:val="99"/>
    <w:rsid w:val="006D1611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6D161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D1611"/>
    <w:pPr>
      <w:ind w:left="720"/>
    </w:pPr>
  </w:style>
  <w:style w:type="paragraph" w:customStyle="1" w:styleId="Tablecaption">
    <w:name w:val="Table caption"/>
    <w:basedOn w:val="Bodypara"/>
    <w:rsid w:val="006D1611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6D1611"/>
    <w:pPr>
      <w:ind w:left="1890" w:hanging="720"/>
    </w:pPr>
  </w:style>
  <w:style w:type="paragraph" w:customStyle="1" w:styleId="Footers">
    <w:name w:val="Footers"/>
    <w:basedOn w:val="Heading1"/>
    <w:uiPriority w:val="99"/>
    <w:rsid w:val="006D161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6D161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161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161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D161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D161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D161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D161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D161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161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D1611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6D1611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161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161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D161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D161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D161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161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61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D1611"/>
    <w:rPr>
      <w:sz w:val="24"/>
      <w:szCs w:val="24"/>
    </w:rPr>
  </w:style>
  <w:style w:type="paragraph" w:styleId="Revision">
    <w:name w:val="Revision"/>
    <w:hidden/>
    <w:uiPriority w:val="99"/>
    <w:semiHidden/>
    <w:rsid w:val="006D161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2017-10-03T15:03:00Z</dcterms:created>
  <dcterms:modified xsi:type="dcterms:W3CDTF">2017-10-03T15:03:00Z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