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D03236">
      <w:pPr>
        <w:pStyle w:val="Heading2"/>
        <w:pageBreakBefore w:val="0"/>
      </w:pPr>
      <w:bookmarkStart w:id="0" w:name="_Toc261445997"/>
      <w:r>
        <w:t>2.5</w:t>
      </w:r>
      <w:r>
        <w:tab/>
        <w:t>Definitions - E</w:t>
      </w:r>
      <w:bookmarkEnd w:id="0"/>
    </w:p>
    <w:p w:rsidR="00BD4BAF" w:rsidRDefault="00D03236">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D03236">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D03236">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D03236">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D03236">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D03236">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D03236">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D03236">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D03236">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D03236">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D03236">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D03236">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D03236">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D03236">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D03236">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D03236">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D03236">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D03236">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BD4BAF" w:rsidRDefault="00D03236">
      <w:pPr>
        <w:pStyle w:val="Definition"/>
        <w:rPr>
          <w:caps/>
        </w:rPr>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 xml:space="preserve">. </w:t>
      </w:r>
    </w:p>
    <w:p w:rsidR="00BD4BAF" w:rsidRDefault="00D03236">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w:t>
      </w:r>
      <w:r>
        <w:t>om Special Case Resources, as established pursuant to ISO Procedures.</w:t>
      </w:r>
    </w:p>
    <w:p w:rsidR="00BD4BAF" w:rsidRDefault="00D03236">
      <w:pPr>
        <w:pStyle w:val="Definition"/>
      </w:pPr>
      <w:r>
        <w:rPr>
          <w:b/>
          <w:bCs/>
        </w:rPr>
        <w:t xml:space="preserve">Expedited Dispute Resolution Procedures: </w:t>
      </w:r>
      <w:r>
        <w:t>The dispute resolution procedures applicable to disputes arising out of the Installed Capacity provisions of this ISO Services Tariff (as set for</w:t>
      </w:r>
      <w:r>
        <w:t>th in Section 5.17) and the Customer settlements provisions of this ISO Services Tariff (as set forth in Section 7.4.3).</w:t>
      </w:r>
    </w:p>
    <w:p w:rsidR="00BD4BAF" w:rsidRDefault="00D03236">
      <w:pPr>
        <w:pStyle w:val="Definition"/>
      </w:pPr>
      <w:r>
        <w:rPr>
          <w:b/>
          <w:bCs/>
        </w:rPr>
        <w:t>Export</w:t>
      </w:r>
      <w:r>
        <w:t xml:space="preserve">: A Bilateral Transaction or purchase from the </w:t>
      </w:r>
      <w:r>
        <w:rPr>
          <w:bCs/>
          <w:iCs/>
        </w:rPr>
        <w:t>LBMP</w:t>
      </w:r>
      <w:r>
        <w:t xml:space="preserve"> Market where the Energy is delivered to an NYCA Interconnection with another </w:t>
      </w:r>
      <w:r>
        <w:t>Control Area.</w:t>
      </w:r>
    </w:p>
    <w:p w:rsidR="00BD4BAF" w:rsidRDefault="00D03236"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with Section 26.4.2 of Attachment K to this Services Tariff.</w:t>
      </w:r>
    </w:p>
    <w:p w:rsidR="00BD4BAF" w:rsidRDefault="00D03236">
      <w:pPr>
        <w:pStyle w:val="Definition"/>
      </w:pPr>
      <w:r>
        <w:rPr>
          <w:b/>
          <w:bCs/>
        </w:rPr>
        <w:t>External</w:t>
      </w:r>
      <w:r>
        <w:t>: An entity (</w:t>
      </w:r>
      <w:r>
        <w:rPr>
          <w:u w:val="single"/>
        </w:rPr>
        <w:t>e.g.</w:t>
      </w:r>
      <w:r>
        <w:t>, Supplier, Transmissio</w:t>
      </w:r>
      <w:r>
        <w:t xml:space="preserve">n Customer) or </w:t>
      </w:r>
      <w:r>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BD4BAF" w:rsidRDefault="00D03236" w:rsidP="00BD4BAF">
      <w:pPr>
        <w:pStyle w:val="Definition"/>
      </w:pPr>
      <w:r>
        <w:rPr>
          <w:b/>
        </w:rPr>
        <w:t>External Transaction Componen</w:t>
      </w:r>
      <w:r>
        <w:rPr>
          <w:b/>
        </w:rPr>
        <w:t>t</w:t>
      </w:r>
      <w:r>
        <w:t>:  A component of the Operating Requirement, calculated in accordance with Section 26.4.2 of Attachment K to this Services Tariff.</w:t>
      </w:r>
    </w:p>
    <w:p w:rsidR="00BD4BAF" w:rsidRDefault="00D03236">
      <w:pPr>
        <w:pStyle w:val="Definition"/>
      </w:pPr>
      <w:r>
        <w:rPr>
          <w:b/>
          <w:bCs/>
        </w:rPr>
        <w:t>External Transactions</w:t>
      </w:r>
      <w:r>
        <w:t>: Purchases, sales or exchanges of Energy, Capacity or Ancillary Services for which either the Point of</w:t>
      </w:r>
      <w:r>
        <w:t xml:space="preserve"> Injection (“POI”) or </w:t>
      </w:r>
      <w:r>
        <w:rPr>
          <w:bCs/>
          <w:iCs/>
        </w:rPr>
        <w:t>Point</w:t>
      </w:r>
      <w:r>
        <w:t xml:space="preserve"> of Withdrawal (“POW”) or both are located outside the NYCA (</w:t>
      </w:r>
      <w:r>
        <w:rPr>
          <w:u w:val="single"/>
        </w:rPr>
        <w:t>i.e.</w:t>
      </w:r>
      <w:r>
        <w:t>, Exports, Imports or Wheels Through).</w:t>
      </w:r>
    </w:p>
    <w:p w:rsidR="00BD4BAF" w:rsidRDefault="00D03236">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A3" w:rsidRDefault="00F432A3" w:rsidP="00F432A3">
      <w:r>
        <w:separator/>
      </w:r>
    </w:p>
  </w:endnote>
  <w:endnote w:type="continuationSeparator" w:id="0">
    <w:p w:rsidR="00F432A3" w:rsidRDefault="00F432A3" w:rsidP="00F43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jc w:val="right"/>
      <w:rPr>
        <w:rFonts w:ascii="Arial" w:eastAsia="Arial" w:hAnsi="Arial" w:cs="Arial"/>
        <w:color w:val="000000"/>
        <w:sz w:val="16"/>
      </w:rPr>
    </w:pPr>
    <w:r>
      <w:rPr>
        <w:rFonts w:ascii="Arial" w:eastAsia="Arial" w:hAnsi="Arial" w:cs="Arial"/>
        <w:color w:val="000000"/>
        <w:sz w:val="16"/>
      </w:rPr>
      <w:t>Effective Date: 6/18/2013 - Docket #: ER13-1199-001 - P</w:t>
    </w:r>
    <w:r>
      <w:rPr>
        <w:rFonts w:ascii="Arial" w:eastAsia="Arial" w:hAnsi="Arial" w:cs="Arial"/>
        <w:color w:val="000000"/>
        <w:sz w:val="16"/>
      </w:rPr>
      <w:t xml:space="preserve">age </w:t>
    </w:r>
    <w:r w:rsidR="00F432A3">
      <w:rPr>
        <w:rFonts w:ascii="Arial" w:eastAsia="Arial" w:hAnsi="Arial" w:cs="Arial"/>
        <w:color w:val="000000"/>
        <w:sz w:val="16"/>
      </w:rPr>
      <w:fldChar w:fldCharType="begin"/>
    </w:r>
    <w:r>
      <w:rPr>
        <w:rFonts w:ascii="Arial" w:eastAsia="Arial" w:hAnsi="Arial" w:cs="Arial"/>
        <w:color w:val="000000"/>
        <w:sz w:val="16"/>
      </w:rPr>
      <w:instrText>PAGE</w:instrText>
    </w:r>
    <w:r w:rsidR="00F432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432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32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432A3">
      <w:rPr>
        <w:rFonts w:ascii="Arial" w:eastAsia="Arial" w:hAnsi="Arial" w:cs="Arial"/>
        <w:color w:val="000000"/>
        <w:sz w:val="16"/>
      </w:rPr>
      <w:fldChar w:fldCharType="begin"/>
    </w:r>
    <w:r>
      <w:rPr>
        <w:rFonts w:ascii="Arial" w:eastAsia="Arial" w:hAnsi="Arial" w:cs="Arial"/>
        <w:color w:val="000000"/>
        <w:sz w:val="16"/>
      </w:rPr>
      <w:instrText>PAGE</w:instrText>
    </w:r>
    <w:r w:rsidR="00F432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A3" w:rsidRDefault="00F432A3" w:rsidP="00F432A3">
      <w:r>
        <w:separator/>
      </w:r>
    </w:p>
  </w:footnote>
  <w:footnote w:type="continuationSeparator" w:id="0">
    <w:p w:rsidR="00F432A3" w:rsidRDefault="00F432A3" w:rsidP="00F43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3" w:rsidRDefault="00D032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2A231CA">
      <w:start w:val="1"/>
      <w:numFmt w:val="bullet"/>
      <w:pStyle w:val="Bulletpara"/>
      <w:lvlText w:val=""/>
      <w:lvlJc w:val="left"/>
      <w:pPr>
        <w:tabs>
          <w:tab w:val="num" w:pos="720"/>
        </w:tabs>
        <w:ind w:left="720" w:hanging="360"/>
      </w:pPr>
      <w:rPr>
        <w:rFonts w:ascii="Symbol" w:hAnsi="Symbol" w:hint="default"/>
      </w:rPr>
    </w:lvl>
    <w:lvl w:ilvl="1" w:tplc="65E680B4" w:tentative="1">
      <w:start w:val="1"/>
      <w:numFmt w:val="bullet"/>
      <w:lvlText w:val="o"/>
      <w:lvlJc w:val="left"/>
      <w:pPr>
        <w:tabs>
          <w:tab w:val="num" w:pos="1440"/>
        </w:tabs>
        <w:ind w:left="1440" w:hanging="360"/>
      </w:pPr>
      <w:rPr>
        <w:rFonts w:ascii="Courier New" w:hAnsi="Courier New" w:hint="default"/>
      </w:rPr>
    </w:lvl>
    <w:lvl w:ilvl="2" w:tplc="E7123B34" w:tentative="1">
      <w:start w:val="1"/>
      <w:numFmt w:val="bullet"/>
      <w:lvlText w:val=""/>
      <w:lvlJc w:val="left"/>
      <w:pPr>
        <w:tabs>
          <w:tab w:val="num" w:pos="2160"/>
        </w:tabs>
        <w:ind w:left="2160" w:hanging="360"/>
      </w:pPr>
      <w:rPr>
        <w:rFonts w:ascii="Wingdings" w:hAnsi="Wingdings" w:hint="default"/>
      </w:rPr>
    </w:lvl>
    <w:lvl w:ilvl="3" w:tplc="9A5EB0A6" w:tentative="1">
      <w:start w:val="1"/>
      <w:numFmt w:val="bullet"/>
      <w:lvlText w:val=""/>
      <w:lvlJc w:val="left"/>
      <w:pPr>
        <w:tabs>
          <w:tab w:val="num" w:pos="2880"/>
        </w:tabs>
        <w:ind w:left="2880" w:hanging="360"/>
      </w:pPr>
      <w:rPr>
        <w:rFonts w:ascii="Symbol" w:hAnsi="Symbol" w:hint="default"/>
      </w:rPr>
    </w:lvl>
    <w:lvl w:ilvl="4" w:tplc="3F3C4D5E" w:tentative="1">
      <w:start w:val="1"/>
      <w:numFmt w:val="bullet"/>
      <w:lvlText w:val="o"/>
      <w:lvlJc w:val="left"/>
      <w:pPr>
        <w:tabs>
          <w:tab w:val="num" w:pos="3600"/>
        </w:tabs>
        <w:ind w:left="3600" w:hanging="360"/>
      </w:pPr>
      <w:rPr>
        <w:rFonts w:ascii="Courier New" w:hAnsi="Courier New" w:hint="default"/>
      </w:rPr>
    </w:lvl>
    <w:lvl w:ilvl="5" w:tplc="7E9A3AE0" w:tentative="1">
      <w:start w:val="1"/>
      <w:numFmt w:val="bullet"/>
      <w:lvlText w:val=""/>
      <w:lvlJc w:val="left"/>
      <w:pPr>
        <w:tabs>
          <w:tab w:val="num" w:pos="4320"/>
        </w:tabs>
        <w:ind w:left="4320" w:hanging="360"/>
      </w:pPr>
      <w:rPr>
        <w:rFonts w:ascii="Wingdings" w:hAnsi="Wingdings" w:hint="default"/>
      </w:rPr>
    </w:lvl>
    <w:lvl w:ilvl="6" w:tplc="2F3A190E" w:tentative="1">
      <w:start w:val="1"/>
      <w:numFmt w:val="bullet"/>
      <w:lvlText w:val=""/>
      <w:lvlJc w:val="left"/>
      <w:pPr>
        <w:tabs>
          <w:tab w:val="num" w:pos="5040"/>
        </w:tabs>
        <w:ind w:left="5040" w:hanging="360"/>
      </w:pPr>
      <w:rPr>
        <w:rFonts w:ascii="Symbol" w:hAnsi="Symbol" w:hint="default"/>
      </w:rPr>
    </w:lvl>
    <w:lvl w:ilvl="7" w:tplc="6F324AD4" w:tentative="1">
      <w:start w:val="1"/>
      <w:numFmt w:val="bullet"/>
      <w:lvlText w:val="o"/>
      <w:lvlJc w:val="left"/>
      <w:pPr>
        <w:tabs>
          <w:tab w:val="num" w:pos="5760"/>
        </w:tabs>
        <w:ind w:left="5760" w:hanging="360"/>
      </w:pPr>
      <w:rPr>
        <w:rFonts w:ascii="Courier New" w:hAnsi="Courier New" w:hint="default"/>
      </w:rPr>
    </w:lvl>
    <w:lvl w:ilvl="8" w:tplc="102EF8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432A3"/>
    <w:rsid w:val="00D03236"/>
    <w:rsid w:val="00F432A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2017-10-03T15:01:00Z</dcterms:created>
  <dcterms:modified xsi:type="dcterms:W3CDTF">2017-10-03T15:01:00Z</dcterms:modified>
</cp:coreProperties>
</file>