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42" w:rsidRDefault="00B225DF">
      <w:pPr>
        <w:pStyle w:val="Heading2"/>
        <w:pageBreakBefore w:val="0"/>
      </w:pPr>
      <w:bookmarkStart w:id="0" w:name="_Toc261445997"/>
      <w:bookmarkStart w:id="1" w:name="_GoBack"/>
      <w:bookmarkEnd w:id="1"/>
      <w:r>
        <w:t>2.5</w:t>
      </w:r>
      <w:r>
        <w:tab/>
        <w:t>Definitions - E</w:t>
      </w:r>
      <w:bookmarkEnd w:id="0"/>
    </w:p>
    <w:p w:rsidR="00C26942" w:rsidRDefault="00B225DF">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C26942" w:rsidRDefault="00B225DF">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C26942" w:rsidRDefault="00B225DF">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C26942" w:rsidRDefault="00B225DF">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C26942" w:rsidRDefault="00B225DF">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C26942" w:rsidRDefault="00B225DF">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C26942" w:rsidRDefault="00B225DF">
      <w:pPr>
        <w:pStyle w:val="Definition"/>
      </w:pPr>
      <w:r>
        <w:rPr>
          <w:b/>
        </w:rPr>
        <w:t>Emergency State</w:t>
      </w:r>
      <w:r>
        <w:t xml:space="preserve">: </w:t>
      </w:r>
      <w:bookmarkStart w:id="2" w:name="_DV_M40"/>
      <w:bookmarkEnd w:id="2"/>
      <w:r>
        <w:t>The state that the NYS Power System is in when an abnormal condition occurs th</w:t>
      </w:r>
      <w:r>
        <w:t>at requires automatic or immediate, manual action to prevent or limit loss of the NYS Transmission System or Generators that could adversely affect the reliability of the NYS Power System.</w:t>
      </w:r>
    </w:p>
    <w:p w:rsidR="00C26942" w:rsidRDefault="00B225DF">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w:t>
      </w:r>
      <w:r>
        <w:rPr>
          <w:bCs/>
          <w:iCs/>
        </w:rPr>
        <w:t xml:space="preserve">hat a Generator indicates it expects to be able to reach, or the </w:t>
      </w:r>
      <w:r>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C26942" w:rsidRDefault="00B225DF">
      <w:pPr>
        <w:pStyle w:val="Definition"/>
        <w:rPr>
          <w:strike/>
        </w:rPr>
      </w:pPr>
      <w:r>
        <w:rPr>
          <w:rFonts w:ascii="Times New Roman Bold" w:hAnsi="Times New Roman Bold"/>
          <w:b/>
        </w:rPr>
        <w:t xml:space="preserve">Energy (“MWh”): </w:t>
      </w:r>
      <w:bookmarkStart w:id="4" w:name="_DV_C45"/>
      <w:r>
        <w:t>A quantity of electricity that is bid, produced, purchased, consumed, sold, or transmitted over a period of time, and measured or calcul</w:t>
      </w:r>
      <w:r>
        <w:t>ated in megawatt hours.</w:t>
      </w:r>
      <w:bookmarkEnd w:id="4"/>
    </w:p>
    <w:p w:rsidR="00C26942" w:rsidRDefault="00B225DF">
      <w:pPr>
        <w:pStyle w:val="Definition"/>
        <w:rPr>
          <w:bCs/>
          <w:iCs/>
        </w:rPr>
      </w:pPr>
      <w:r>
        <w:rPr>
          <w:b/>
        </w:rPr>
        <w:lastRenderedPageBreak/>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C26942" w:rsidRDefault="00B225DF">
      <w:pPr>
        <w:pStyle w:val="Definition"/>
      </w:pPr>
      <w:r>
        <w:rPr>
          <w:b/>
          <w:iCs/>
        </w:rPr>
        <w:t xml:space="preserve">Energy </w:t>
      </w:r>
      <w:r>
        <w:rPr>
          <w:b/>
        </w:rPr>
        <w:t xml:space="preserve">Limited Resource: </w:t>
      </w:r>
      <w:bookmarkStart w:id="5" w:name="_DV_IPM54"/>
      <w:bookmarkStart w:id="6" w:name="_DV_C46"/>
      <w:bookmarkEnd w:id="5"/>
      <w:r>
        <w:t>Capacity resources that, due to enviro</w:t>
      </w:r>
      <w:r>
        <w:t>nmental restrictions on operations, cyclical requirements, such as the need to recharge or refill, or other non-economic reasons, are unable to operate continuously on a daily basis, but are able to operate for at least four consecutive hours each day.</w:t>
      </w:r>
      <w:bookmarkEnd w:id="6"/>
      <w:r>
        <w:t xml:space="preserve">  En</w:t>
      </w:r>
      <w:r>
        <w:t xml:space="preserve">ergy Limited Resources must register their Energy limiting characteristics with, and justify them to, the ISO </w:t>
      </w:r>
      <w:r>
        <w:rPr>
          <w:bCs/>
          <w:iCs/>
        </w:rPr>
        <w:t>consistent</w:t>
      </w:r>
      <w:r>
        <w:t xml:space="preserve"> with ISO Procedures.</w:t>
      </w:r>
    </w:p>
    <w:p w:rsidR="00C26942" w:rsidRDefault="00B225DF">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unavailable due to forced o</w:t>
      </w:r>
      <w:r>
        <w:t>utages.</w:t>
      </w:r>
    </w:p>
    <w:p w:rsidR="00C26942" w:rsidRDefault="00B225DF">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w:t>
      </w:r>
      <w:r>
        <w:t>nted to the Customer, if any, as provided in Table K-1 of Attachment K to this Services Tariff.</w:t>
      </w:r>
    </w:p>
    <w:p w:rsidR="00C26942" w:rsidRDefault="00B225DF">
      <w:pPr>
        <w:pStyle w:val="Definition"/>
        <w:rPr>
          <w:bCs/>
        </w:rPr>
      </w:pPr>
      <w:r>
        <w:rPr>
          <w:b/>
          <w:bCs/>
        </w:rPr>
        <w:t xml:space="preserve">ETA Agent: </w:t>
      </w:r>
      <w:r>
        <w:rPr>
          <w:bCs/>
        </w:rPr>
        <w:t xml:space="preserve">A Customer of the ISO that has been appointed by a Load Serving Entity and approved by the ISO in accordance with ISO Procedures for </w:t>
      </w:r>
      <w:r>
        <w:rPr>
          <w:bCs/>
          <w:iCs/>
        </w:rPr>
        <w:t>the</w:t>
      </w:r>
      <w:r>
        <w:rPr>
          <w:bCs/>
        </w:rPr>
        <w:t xml:space="preserve"> purpose of e</w:t>
      </w:r>
      <w:r>
        <w:rPr>
          <w:bCs/>
        </w:rPr>
        <w:t>nabling that Customer to hold all of the rights and obligations associated with Fixed Price TCCs, as provided for in this Services Tariff.</w:t>
      </w:r>
    </w:p>
    <w:p w:rsidR="00C26942" w:rsidRDefault="00B225DF">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19.4.1 of Attachment M of the OATT.</w:t>
      </w:r>
    </w:p>
    <w:p w:rsidR="00C26942" w:rsidRDefault="00B225DF">
      <w:pPr>
        <w:pStyle w:val="Definition"/>
        <w:rPr>
          <w:iCs/>
        </w:rPr>
      </w:pPr>
      <w:r>
        <w:rPr>
          <w:b/>
          <w:bCs/>
          <w:iCs/>
        </w:rPr>
        <w:t xml:space="preserve">Excess Amount: </w:t>
      </w:r>
      <w:r>
        <w:rPr>
          <w:iCs/>
        </w:rPr>
        <w:t>The difference, if any, between the dollar amounts charged to purchaser</w:t>
      </w:r>
      <w:r>
        <w:rPr>
          <w:iCs/>
        </w:rPr>
        <w:t>s of Unforced Capacity in an ISO–administered Unforced Capacity auction and the dollar amounts paid to sellers of Unforced Capacity in that ISO–administered Installed Capacity auction.</w:t>
      </w:r>
    </w:p>
    <w:p w:rsidR="00C26942" w:rsidRDefault="00B225DF">
      <w:pPr>
        <w:pStyle w:val="Definition"/>
      </w:pPr>
      <w:r>
        <w:rPr>
          <w:b/>
          <w:bCs/>
        </w:rPr>
        <w:t xml:space="preserve">Excess Congestion Rents: </w:t>
      </w:r>
      <w:r>
        <w:t>Congestion revenues in the Day</w:t>
      </w:r>
      <w:r>
        <w:noBreakHyphen/>
        <w:t>Ahead Market fo</w:t>
      </w:r>
      <w:r>
        <w:t>r Energy collected by the ISO that are in excess of its Day</w:t>
      </w:r>
      <w:r>
        <w:noBreakHyphen/>
        <w:t>Ahead payment obligations.  Excess Congestion Rents may arise if Congestion occurs in the Day</w:t>
      </w:r>
      <w:r>
        <w:noBreakHyphen/>
        <w:t>Ahead Market for Energy and if the Day</w:t>
      </w:r>
      <w:r>
        <w:noBreakHyphen/>
        <w:t>Ahead Transfer Capability of the transmission system is not exh</w:t>
      </w:r>
      <w:r>
        <w:t>austed by the set of TCCs and Grandfathered Rights that have been allocated at the completion of the last Centralized TCC Auction.</w:t>
      </w:r>
    </w:p>
    <w:p w:rsidR="00C26942" w:rsidRDefault="00B225DF">
      <w:pPr>
        <w:pStyle w:val="Definition"/>
      </w:pPr>
      <w:r>
        <w:rPr>
          <w:b/>
        </w:rPr>
        <w:t xml:space="preserve">Existing Transmission Capacity for Native Load ("ETCNL"): </w:t>
      </w:r>
      <w:r>
        <w:rPr>
          <w:bCs/>
          <w:iCs/>
        </w:rPr>
        <w:t>Transmission</w:t>
      </w:r>
      <w:r>
        <w:t xml:space="preserve"> Capacity reserved on a Transmission Owner’s transmissi</w:t>
      </w:r>
      <w:r>
        <w:t xml:space="preserve">on system to serve the Native Load Customers of the current Transmission Owners (as of the filing date of the original ISO Tariff </w:t>
      </w:r>
      <w:r>
        <w:noBreakHyphen/>
        <w:t xml:space="preserve"> January 31, 1997).  This includes transmission Capacity required:  (1) to deliver the output from operating facilities locat</w:t>
      </w:r>
      <w:r>
        <w:t>ed out of a Transmission Owner’s Transmission District; (2) to deliver power purchased under power supply contracts; and (3) to deliver power purchased under third party agreements (</w:t>
      </w:r>
      <w:r>
        <w:rPr>
          <w:u w:val="single"/>
        </w:rPr>
        <w:t>i.e.</w:t>
      </w:r>
      <w:r>
        <w:t>, Non</w:t>
      </w:r>
      <w:r>
        <w:noBreakHyphen/>
        <w:t xml:space="preserve">Utility Generators).  Existing Transmission Capacity for Native </w:t>
      </w:r>
      <w:r>
        <w:t>Load is listed in Attachment L of the ISO OATT.</w:t>
      </w:r>
    </w:p>
    <w:p w:rsidR="00C26942" w:rsidRDefault="00B225DF">
      <w:pPr>
        <w:pStyle w:val="Definition"/>
        <w:rPr>
          <w:caps/>
        </w:rPr>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w:t>
      </w:r>
      <w:r>
        <w:lastRenderedPageBreak/>
        <w:t>start-up and providing for t</w:t>
      </w:r>
      <w:r>
        <w:t>ransmission service by a Transmission Owner to another Transmission Owner or another entity.  Table 1A of Attachment L lists all ETAs.  ETAs include Transmission Wheeling Agreements (including MWAs and Third Party TWAs) and Transmission Facility Agreements</w:t>
      </w:r>
      <w:r>
        <w:t xml:space="preserve">. </w:t>
      </w:r>
    </w:p>
    <w:p w:rsidR="00C26942" w:rsidRDefault="00B225DF">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w:t>
      </w:r>
      <w:r>
        <w:t>om Special Case Resources, as established pursuant to ISO Procedures.</w:t>
      </w:r>
    </w:p>
    <w:p w:rsidR="00C26942" w:rsidRDefault="00B225DF">
      <w:pPr>
        <w:pStyle w:val="Definition"/>
      </w:pPr>
      <w:r>
        <w:rPr>
          <w:b/>
          <w:bCs/>
        </w:rPr>
        <w:t xml:space="preserve">Expedited Dispute Resolution Procedures: </w:t>
      </w:r>
      <w:r>
        <w:t>The dispute resolution procedures applicable to disputes arising out of the Installed Capacity provisions of this ISO Services Tariff (as set for</w:t>
      </w:r>
      <w:r>
        <w:t>th in Section 5.17) and the Customer settlements provisions of this ISO Services Tariff (as set forth in Section 7.4.3).</w:t>
      </w:r>
    </w:p>
    <w:p w:rsidR="00C26942" w:rsidRDefault="00B225DF">
      <w:pPr>
        <w:pStyle w:val="Definition"/>
        <w:rPr>
          <w:ins w:id="27" w:author="Author" w:date="2013-03-26T09:03:00Z"/>
        </w:rPr>
      </w:pPr>
      <w:r>
        <w:rPr>
          <w:b/>
          <w:bCs/>
        </w:rPr>
        <w:t>Export</w:t>
      </w:r>
      <w:r>
        <w:t xml:space="preserve">: A Bilateral Transaction or purchase from the </w:t>
      </w:r>
      <w:r>
        <w:rPr>
          <w:bCs/>
          <w:iCs/>
        </w:rPr>
        <w:t>LBMP</w:t>
      </w:r>
      <w:r>
        <w:t xml:space="preserve"> Market where the Energy is delivered to an NYCA Interconnection with another </w:t>
      </w:r>
      <w:r>
        <w:t>Control Area.</w:t>
      </w:r>
    </w:p>
    <w:p w:rsidR="00C26942" w:rsidRDefault="00B225DF">
      <w:pPr>
        <w:pStyle w:val="Definition"/>
        <w:pPrChange w:id="28" w:author="Author" w:date="2013-03-27T12:13:00Z">
          <w:pPr/>
        </w:pPrChange>
      </w:pPr>
      <w:ins w:id="29" w:author="Author" w:date="2013-03-26T09:03:00Z">
        <w:r>
          <w:rPr>
            <w:b/>
          </w:rPr>
          <w:t xml:space="preserve">Export Credit Requirement:  </w:t>
        </w:r>
        <w:r>
          <w:t>A component of the External Transaction Component of the Operating Requirement, calculated in accordance with Section 26.4.2 of Attachment K to this Services Tariff.</w:t>
        </w:r>
      </w:ins>
    </w:p>
    <w:p w:rsidR="00C26942" w:rsidRDefault="00B225DF">
      <w:pPr>
        <w:pStyle w:val="Definition"/>
        <w:rPr>
          <w:ins w:id="30" w:author="Author" w:date="2013-03-26T09:05:00Z"/>
        </w:rPr>
      </w:pPr>
      <w:r>
        <w:rPr>
          <w:b/>
          <w:bCs/>
        </w:rPr>
        <w:t>External</w:t>
      </w:r>
      <w:r>
        <w:t>: An entity (</w:t>
      </w:r>
      <w:r>
        <w:rPr>
          <w:u w:val="single"/>
        </w:rPr>
        <w:t>e.g.</w:t>
      </w:r>
      <w:r>
        <w:t>, Supplier, Transmissio</w:t>
      </w:r>
      <w:r>
        <w:t xml:space="preserve">n Customer) or </w:t>
      </w:r>
      <w:r>
        <w:rPr>
          <w:bCs/>
          <w:iCs/>
        </w:rPr>
        <w:t>facility</w:t>
      </w:r>
      <w:r>
        <w:t xml:space="preserve"> (</w:t>
      </w:r>
      <w:r>
        <w:rPr>
          <w:u w:val="single"/>
        </w:rPr>
        <w:t>e.g.</w:t>
      </w:r>
      <w:r>
        <w:t>, Generator, Interface) located outside the Control Area being referenced or between two or more Control Areas.  Where a specific Control Area is not referenced, the NYCA is the intended reference.</w:t>
      </w:r>
    </w:p>
    <w:p w:rsidR="00C26942" w:rsidRDefault="00B225DF">
      <w:pPr>
        <w:pStyle w:val="Definition"/>
        <w:pPrChange w:id="31" w:author="Author" w:date="2013-03-27T12:13:00Z">
          <w:pPr/>
        </w:pPrChange>
      </w:pPr>
      <w:ins w:id="32" w:author="Author" w:date="2013-03-26T09:05:00Z">
        <w:r>
          <w:rPr>
            <w:b/>
          </w:rPr>
          <w:t>External Transaction Componen</w:t>
        </w:r>
        <w:r>
          <w:rPr>
            <w:b/>
          </w:rPr>
          <w:t>t</w:t>
        </w:r>
        <w:r>
          <w:t>:  A component of the Operating Requirement, calculated in accordance with Section 26.4.2 of Attachment K to this Services Tariff.</w:t>
        </w:r>
      </w:ins>
    </w:p>
    <w:p w:rsidR="00C26942" w:rsidRDefault="00B225DF">
      <w:pPr>
        <w:pStyle w:val="Definition"/>
        <w:rPr>
          <w:ins w:id="33" w:author="Author" w:date="2013-03-26T09:04:00Z"/>
        </w:rPr>
      </w:pPr>
      <w:r>
        <w:rPr>
          <w:b/>
          <w:bCs/>
        </w:rPr>
        <w:t>External Transactions</w:t>
      </w:r>
      <w:r>
        <w:t>: Purchases, sales or exchanges of Energy, Capacity or Ancillary Services for which either the Point of</w:t>
      </w:r>
      <w:r>
        <w:t xml:space="preserve"> Injection (“POI”) or </w:t>
      </w:r>
      <w:r>
        <w:rPr>
          <w:bCs/>
          <w:iCs/>
        </w:rPr>
        <w:t>Point</w:t>
      </w:r>
      <w:r>
        <w:t xml:space="preserve"> of Withdrawal (“POW”) or both are located outside the NYCA (</w:t>
      </w:r>
      <w:r>
        <w:rPr>
          <w:u w:val="single"/>
        </w:rPr>
        <w:t>i.e.</w:t>
      </w:r>
      <w:r>
        <w:t>, Exports, Imports or Wheels Through).</w:t>
      </w:r>
    </w:p>
    <w:p w:rsidR="00C26942" w:rsidRDefault="00B225DF">
      <w:pPr>
        <w:pStyle w:val="Definition"/>
      </w:pPr>
    </w:p>
    <w:sectPr w:rsidR="00C2694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25DF">
      <w:r>
        <w:separator/>
      </w:r>
    </w:p>
  </w:endnote>
  <w:endnote w:type="continuationSeparator" w:id="0">
    <w:p w:rsidR="00000000" w:rsidRDefault="00B2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38" w:rsidRDefault="00B225DF">
    <w:pPr>
      <w:jc w:val="right"/>
    </w:pPr>
    <w:r>
      <w:rPr>
        <w:rFonts w:ascii="Arial" w:eastAsia="Arial" w:hAnsi="Arial" w:cs="Arial"/>
        <w:color w:val="000000"/>
        <w:sz w:val="16"/>
      </w:rPr>
      <w:t>Effective Date: 6/12/2013 - Docket #: ER13-1199-00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38" w:rsidRDefault="00B225DF">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38" w:rsidRDefault="00B225DF">
    <w:pPr>
      <w:jc w:val="right"/>
    </w:pPr>
    <w:r>
      <w:rPr>
        <w:rFonts w:ascii="Arial" w:eastAsia="Arial" w:hAnsi="Arial" w:cs="Arial"/>
        <w:color w:val="000000"/>
        <w:sz w:val="16"/>
      </w:rPr>
      <w:t>Effective Date: 6/12/2013 - Docket #: ER13-11</w:t>
    </w:r>
    <w:r>
      <w:rPr>
        <w:rFonts w:ascii="Arial" w:eastAsia="Arial" w:hAnsi="Arial" w:cs="Arial"/>
        <w:color w:val="000000"/>
        <w:sz w:val="16"/>
      </w:rPr>
      <w:t xml:space="preserve">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25DF">
      <w:r>
        <w:separator/>
      </w:r>
    </w:p>
  </w:footnote>
  <w:footnote w:type="continuationSeparator" w:id="0">
    <w:p w:rsidR="00000000" w:rsidRDefault="00B22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38" w:rsidRDefault="00B225DF">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38" w:rsidRDefault="00B225DF">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38" w:rsidRDefault="00B225DF">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56402B6">
      <w:start w:val="1"/>
      <w:numFmt w:val="bullet"/>
      <w:pStyle w:val="Bulletpara"/>
      <w:lvlText w:val=""/>
      <w:lvlJc w:val="left"/>
      <w:pPr>
        <w:tabs>
          <w:tab w:val="num" w:pos="720"/>
        </w:tabs>
        <w:ind w:left="720" w:hanging="360"/>
      </w:pPr>
      <w:rPr>
        <w:rFonts w:ascii="Symbol" w:hAnsi="Symbol" w:hint="default"/>
      </w:rPr>
    </w:lvl>
    <w:lvl w:ilvl="1" w:tplc="755E2126" w:tentative="1">
      <w:start w:val="1"/>
      <w:numFmt w:val="bullet"/>
      <w:lvlText w:val="o"/>
      <w:lvlJc w:val="left"/>
      <w:pPr>
        <w:tabs>
          <w:tab w:val="num" w:pos="1440"/>
        </w:tabs>
        <w:ind w:left="1440" w:hanging="360"/>
      </w:pPr>
      <w:rPr>
        <w:rFonts w:ascii="Courier New" w:hAnsi="Courier New" w:hint="default"/>
      </w:rPr>
    </w:lvl>
    <w:lvl w:ilvl="2" w:tplc="F87E866E" w:tentative="1">
      <w:start w:val="1"/>
      <w:numFmt w:val="bullet"/>
      <w:lvlText w:val=""/>
      <w:lvlJc w:val="left"/>
      <w:pPr>
        <w:tabs>
          <w:tab w:val="num" w:pos="2160"/>
        </w:tabs>
        <w:ind w:left="2160" w:hanging="360"/>
      </w:pPr>
      <w:rPr>
        <w:rFonts w:ascii="Wingdings" w:hAnsi="Wingdings" w:hint="default"/>
      </w:rPr>
    </w:lvl>
    <w:lvl w:ilvl="3" w:tplc="AA82CA7E" w:tentative="1">
      <w:start w:val="1"/>
      <w:numFmt w:val="bullet"/>
      <w:lvlText w:val=""/>
      <w:lvlJc w:val="left"/>
      <w:pPr>
        <w:tabs>
          <w:tab w:val="num" w:pos="2880"/>
        </w:tabs>
        <w:ind w:left="2880" w:hanging="360"/>
      </w:pPr>
      <w:rPr>
        <w:rFonts w:ascii="Symbol" w:hAnsi="Symbol" w:hint="default"/>
      </w:rPr>
    </w:lvl>
    <w:lvl w:ilvl="4" w:tplc="F7E2403C" w:tentative="1">
      <w:start w:val="1"/>
      <w:numFmt w:val="bullet"/>
      <w:lvlText w:val="o"/>
      <w:lvlJc w:val="left"/>
      <w:pPr>
        <w:tabs>
          <w:tab w:val="num" w:pos="3600"/>
        </w:tabs>
        <w:ind w:left="3600" w:hanging="360"/>
      </w:pPr>
      <w:rPr>
        <w:rFonts w:ascii="Courier New" w:hAnsi="Courier New" w:hint="default"/>
      </w:rPr>
    </w:lvl>
    <w:lvl w:ilvl="5" w:tplc="D326E6BA" w:tentative="1">
      <w:start w:val="1"/>
      <w:numFmt w:val="bullet"/>
      <w:lvlText w:val=""/>
      <w:lvlJc w:val="left"/>
      <w:pPr>
        <w:tabs>
          <w:tab w:val="num" w:pos="4320"/>
        </w:tabs>
        <w:ind w:left="4320" w:hanging="360"/>
      </w:pPr>
      <w:rPr>
        <w:rFonts w:ascii="Wingdings" w:hAnsi="Wingdings" w:hint="default"/>
      </w:rPr>
    </w:lvl>
    <w:lvl w:ilvl="6" w:tplc="2DF0BD12" w:tentative="1">
      <w:start w:val="1"/>
      <w:numFmt w:val="bullet"/>
      <w:lvlText w:val=""/>
      <w:lvlJc w:val="left"/>
      <w:pPr>
        <w:tabs>
          <w:tab w:val="num" w:pos="5040"/>
        </w:tabs>
        <w:ind w:left="5040" w:hanging="360"/>
      </w:pPr>
      <w:rPr>
        <w:rFonts w:ascii="Symbol" w:hAnsi="Symbol" w:hint="default"/>
      </w:rPr>
    </w:lvl>
    <w:lvl w:ilvl="7" w:tplc="DBB8A5FA" w:tentative="1">
      <w:start w:val="1"/>
      <w:numFmt w:val="bullet"/>
      <w:lvlText w:val="o"/>
      <w:lvlJc w:val="left"/>
      <w:pPr>
        <w:tabs>
          <w:tab w:val="num" w:pos="5760"/>
        </w:tabs>
        <w:ind w:left="5760" w:hanging="360"/>
      </w:pPr>
      <w:rPr>
        <w:rFonts w:ascii="Courier New" w:hAnsi="Courier New" w:hint="default"/>
      </w:rPr>
    </w:lvl>
    <w:lvl w:ilvl="8" w:tplc="0518CA1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38"/>
    <w:rsid w:val="00502B38"/>
    <w:rsid w:val="00B225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2023-01-03T19:00:00Z</dcterms:created>
  <dcterms:modified xsi:type="dcterms:W3CDTF">2023-01-03T19:00:00Z</dcterms:modified>
</cp:coreProperties>
</file>