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340" w:rsidRDefault="00BF2340">
      <w:pPr>
        <w:jc w:val="center"/>
        <w:rPr>
          <w:b/>
        </w:rPr>
      </w:pPr>
      <w:r>
        <w:rPr>
          <w:b/>
        </w:rPr>
        <w:t>UNITED STATES OF AMERICA</w:t>
      </w:r>
      <w:r>
        <w:rPr>
          <w:b/>
        </w:rPr>
        <w:br/>
        <w:t>BEFORE THE</w:t>
      </w:r>
      <w:r>
        <w:rPr>
          <w:b/>
        </w:rPr>
        <w:br/>
        <w:t>FEDERAL ENERGY REGULATORY COMMISSION</w:t>
      </w:r>
    </w:p>
    <w:p w:rsidR="00BF2340" w:rsidRDefault="00BF2340"/>
    <w:p w:rsidR="00BF2340" w:rsidRDefault="00221D66">
      <w:r>
        <w:t>North American Electric Reliability</w:t>
      </w:r>
      <w:r w:rsidR="00BF2340">
        <w:tab/>
      </w:r>
      <w:r w:rsidR="00BF2340">
        <w:tab/>
        <w:t>)</w:t>
      </w:r>
      <w:r w:rsidR="00BF2340">
        <w:tab/>
      </w:r>
      <w:r w:rsidR="00BF2340">
        <w:tab/>
        <w:t xml:space="preserve">Docket No. </w:t>
      </w:r>
      <w:r w:rsidR="00BE5A8E">
        <w:t>RD</w:t>
      </w:r>
      <w:r>
        <w:t>13-3-000</w:t>
      </w:r>
    </w:p>
    <w:p w:rsidR="00BF2340" w:rsidRDefault="00221D66">
      <w:r>
        <w:tab/>
        <w:t>Corporation</w:t>
      </w:r>
      <w:r>
        <w:tab/>
      </w:r>
      <w:r>
        <w:tab/>
      </w:r>
      <w:r>
        <w:tab/>
      </w:r>
      <w:r>
        <w:tab/>
        <w:t>)</w:t>
      </w:r>
    </w:p>
    <w:p w:rsidR="00356B36" w:rsidRDefault="00356B36"/>
    <w:p w:rsidR="00BF2340" w:rsidRDefault="00BF2340" w:rsidP="00AE0AFC">
      <w:pPr>
        <w:jc w:val="center"/>
        <w:rPr>
          <w:b/>
        </w:rPr>
      </w:pPr>
      <w:r>
        <w:rPr>
          <w:b/>
        </w:rPr>
        <w:t xml:space="preserve">MOTION TO INTERVENE OUT OF TIME </w:t>
      </w:r>
      <w:r w:rsidR="00221D66">
        <w:rPr>
          <w:b/>
        </w:rPr>
        <w:t xml:space="preserve">AND COMMENTS </w:t>
      </w:r>
      <w:r>
        <w:rPr>
          <w:b/>
        </w:rPr>
        <w:t>OF</w:t>
      </w:r>
    </w:p>
    <w:p w:rsidR="00BF2340" w:rsidRDefault="00AE0AFC" w:rsidP="00AE0AFC">
      <w:pPr>
        <w:jc w:val="center"/>
        <w:rPr>
          <w:b/>
        </w:rPr>
      </w:pPr>
      <w:r w:rsidRPr="00AE0AFC">
        <w:rPr>
          <w:b/>
        </w:rPr>
        <w:t>CALIFORNIA INDEPENDENT SYSTEM OPERATOR, ELECTRIC RELIABILITY COUNCIL OF TEXAS, THE INDEPENDENT ELECTRICITY SYSTEM OPERATOR OF ONTARIO, INC., ISO NEW ENGLAND INC., MIDWEST INDEPENDENT TRANSMISSION SYSTEM OPERATOR, INC., NEW YORK INDEPENDENT SYSTEM OPERATOR, INC., AND SOUTHWEST POWER POOL, INC.</w:t>
      </w:r>
    </w:p>
    <w:p w:rsidR="00AE0AFC" w:rsidRPr="00AE0AFC" w:rsidRDefault="00AE0AFC">
      <w:pPr>
        <w:rPr>
          <w:b/>
        </w:rPr>
      </w:pPr>
    </w:p>
    <w:p w:rsidR="00AC5273" w:rsidRDefault="00BF2340">
      <w:pPr>
        <w:spacing w:line="480" w:lineRule="auto"/>
      </w:pPr>
      <w:r>
        <w:tab/>
        <w:t>Pursuant to Rule 214(d) of the Commission’s Rules of Practice and Procedu</w:t>
      </w:r>
      <w:r w:rsidR="002A584E">
        <w:t>re, 18 C.F.R. § 385.214(d) (2012</w:t>
      </w:r>
      <w:r>
        <w:t xml:space="preserve">), </w:t>
      </w:r>
      <w:r w:rsidR="00AE0AFC" w:rsidRPr="00AC5273">
        <w:t>California Independent System Operator (“CAISO”), Electric Reliability Council of Texas (“ERCOT”), the Independent Electricity System Operator of Ontario, Inc. (“IESO”)</w:t>
      </w:r>
      <w:r w:rsidR="00AC5273" w:rsidRPr="0026349A">
        <w:rPr>
          <w:rStyle w:val="FootnoteReference"/>
          <w:sz w:val="20"/>
          <w:szCs w:val="20"/>
        </w:rPr>
        <w:footnoteReference w:id="1"/>
      </w:r>
      <w:r w:rsidR="00AE0AFC" w:rsidRPr="00AC5273">
        <w:t>, ISO New England Inc. (“ISO-NE”), Midwest Independent Transmission System Operator, Inc. (“MISO”), New York Independent System Operator, Inc. (“NYISO”), and Southwest Power Pool, Inc. (“SPP”</w:t>
      </w:r>
      <w:r w:rsidR="00AC5273" w:rsidRPr="00AC5273">
        <w:t>)</w:t>
      </w:r>
      <w:r w:rsidR="00AE0AFC" w:rsidRPr="00AC5273">
        <w:t xml:space="preserve"> (collectively, “Joint ISOs/RTOs”) </w:t>
      </w:r>
      <w:r w:rsidR="00AC5273">
        <w:t>submit</w:t>
      </w:r>
      <w:r w:rsidR="00221D66">
        <w:t xml:space="preserve"> this motion to intervene out of time and comments on </w:t>
      </w:r>
      <w:r w:rsidR="00221D66" w:rsidRPr="00221D66">
        <w:rPr>
          <w:i/>
        </w:rPr>
        <w:t xml:space="preserve">the Petition of the North American Electric Reliability Corporation for Approval of Proposed Reliability Standard EOP-004-2 – Event Reporting </w:t>
      </w:r>
      <w:r w:rsidR="00221D66">
        <w:t>(“Petition”)</w:t>
      </w:r>
      <w:r>
        <w:t xml:space="preserve">. </w:t>
      </w:r>
      <w:r w:rsidR="00057A74">
        <w:t xml:space="preserve"> </w:t>
      </w:r>
      <w:r w:rsidR="00951FFA">
        <w:t>T</w:t>
      </w:r>
      <w:r>
        <w:t xml:space="preserve">he </w:t>
      </w:r>
      <w:r w:rsidR="00AC5273" w:rsidRPr="00AC5273">
        <w:t>Joint ISOs/RTOs</w:t>
      </w:r>
      <w:r>
        <w:t xml:space="preserve"> should be permitted to </w:t>
      </w:r>
      <w:r w:rsidR="00AC5273">
        <w:t>intervene out of time because they have</w:t>
      </w:r>
      <w:r>
        <w:t xml:space="preserve"> a direct and substantial interest</w:t>
      </w:r>
      <w:r w:rsidR="00951FFA">
        <w:t xml:space="preserve"> that cannot be represented by any other party</w:t>
      </w:r>
      <w:r>
        <w:t xml:space="preserve">, and </w:t>
      </w:r>
      <w:r w:rsidR="00AC5273">
        <w:t>their</w:t>
      </w:r>
      <w:r>
        <w:t xml:space="preserve"> late intervention will not disrupt the proceeding or prejudice any party.</w:t>
      </w:r>
      <w:r>
        <w:br/>
      </w:r>
      <w:r>
        <w:tab/>
        <w:t xml:space="preserve">In support thereof, the </w:t>
      </w:r>
      <w:r w:rsidR="00AC5273" w:rsidRPr="00AC5273">
        <w:t>Joint ISOs/RTOs</w:t>
      </w:r>
      <w:r w:rsidR="00AC5273">
        <w:t xml:space="preserve"> state</w:t>
      </w:r>
      <w:r>
        <w:t>:</w:t>
      </w:r>
    </w:p>
    <w:p w:rsidR="00FA0316" w:rsidRDefault="00FA0316" w:rsidP="00713FF2">
      <w:pPr>
        <w:autoSpaceDE w:val="0"/>
        <w:autoSpaceDN w:val="0"/>
        <w:adjustRightInd w:val="0"/>
        <w:spacing w:line="480" w:lineRule="auto"/>
        <w:rPr>
          <w:b/>
          <w:color w:val="000000"/>
        </w:rPr>
      </w:pPr>
    </w:p>
    <w:p w:rsidR="00FA0316" w:rsidRDefault="00FA0316" w:rsidP="00713FF2">
      <w:pPr>
        <w:autoSpaceDE w:val="0"/>
        <w:autoSpaceDN w:val="0"/>
        <w:adjustRightInd w:val="0"/>
        <w:spacing w:line="480" w:lineRule="auto"/>
        <w:rPr>
          <w:b/>
          <w:color w:val="000000"/>
        </w:rPr>
      </w:pPr>
    </w:p>
    <w:p w:rsidR="00FA0316" w:rsidRDefault="00FA0316" w:rsidP="00713FF2">
      <w:pPr>
        <w:autoSpaceDE w:val="0"/>
        <w:autoSpaceDN w:val="0"/>
        <w:adjustRightInd w:val="0"/>
        <w:spacing w:line="480" w:lineRule="auto"/>
        <w:rPr>
          <w:b/>
          <w:color w:val="000000"/>
        </w:rPr>
      </w:pPr>
    </w:p>
    <w:p w:rsidR="00713FF2" w:rsidRPr="00594D32" w:rsidRDefault="00713FF2" w:rsidP="00713FF2">
      <w:pPr>
        <w:autoSpaceDE w:val="0"/>
        <w:autoSpaceDN w:val="0"/>
        <w:adjustRightInd w:val="0"/>
        <w:spacing w:line="480" w:lineRule="auto"/>
        <w:rPr>
          <w:b/>
          <w:color w:val="000000"/>
          <w:u w:val="single"/>
        </w:rPr>
      </w:pPr>
      <w:r w:rsidRPr="00594D32">
        <w:rPr>
          <w:b/>
          <w:color w:val="000000"/>
        </w:rPr>
        <w:lastRenderedPageBreak/>
        <w:t>I.</w:t>
      </w:r>
      <w:r w:rsidRPr="00594D32">
        <w:rPr>
          <w:b/>
          <w:color w:val="000000"/>
        </w:rPr>
        <w:tab/>
      </w:r>
      <w:r w:rsidR="00594D32" w:rsidRPr="00594D32">
        <w:rPr>
          <w:b/>
          <w:color w:val="000000"/>
          <w:u w:val="single"/>
        </w:rPr>
        <w:t>Communications</w:t>
      </w:r>
    </w:p>
    <w:tbl>
      <w:tblPr>
        <w:tblW w:w="0" w:type="auto"/>
        <w:tblInd w:w="-72" w:type="dxa"/>
        <w:tblLook w:val="01E0"/>
      </w:tblPr>
      <w:tblGrid>
        <w:gridCol w:w="5040"/>
        <w:gridCol w:w="4230"/>
      </w:tblGrid>
      <w:tr w:rsidR="00AE468B" w:rsidTr="00AE1992">
        <w:trPr>
          <w:cantSplit/>
        </w:trPr>
        <w:tc>
          <w:tcPr>
            <w:tcW w:w="5040" w:type="dxa"/>
          </w:tcPr>
          <w:p w:rsidR="00AE468B" w:rsidRPr="00AE1992" w:rsidRDefault="00713FF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Correspondence and communications regarding this filing should be addressed to the undersigned as follows:</w:t>
            </w:r>
          </w:p>
          <w:p w:rsidR="00AE468B" w:rsidRPr="00AE1992" w:rsidRDefault="00AE468B" w:rsidP="00AE1992">
            <w:pPr>
              <w:pStyle w:val="NoSpacing"/>
              <w:rPr>
                <w:rFonts w:ascii="Times New Roman" w:hAnsi="Times New Roman" w:cs="Times New Roman"/>
                <w:sz w:val="24"/>
                <w:szCs w:val="24"/>
              </w:rPr>
            </w:pPr>
          </w:p>
          <w:p w:rsidR="00AE1992" w:rsidRPr="00AE1992" w:rsidRDefault="00AE199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Nancy Saracino</w:t>
            </w:r>
          </w:p>
          <w:p w:rsidR="00AE1992" w:rsidRPr="00AE1992" w:rsidRDefault="00AE199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General Counsel</w:t>
            </w:r>
          </w:p>
          <w:p w:rsidR="00AE1992" w:rsidRPr="00AE1992" w:rsidRDefault="00AE199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Roger Collanton</w:t>
            </w:r>
          </w:p>
          <w:p w:rsidR="00AE1992" w:rsidRPr="00AE1992" w:rsidRDefault="00AE199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Deputy General Counsel - Legal</w:t>
            </w:r>
          </w:p>
          <w:p w:rsidR="00AE1992" w:rsidRPr="00AE1992" w:rsidRDefault="00AE199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Anna McKenna*</w:t>
            </w:r>
          </w:p>
          <w:p w:rsidR="00AE1992" w:rsidRPr="00AE1992" w:rsidRDefault="00AE199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Assistant General Counsel - Regulatory</w:t>
            </w:r>
          </w:p>
          <w:p w:rsidR="00AE1992" w:rsidRPr="00AE1992" w:rsidRDefault="00AE1992" w:rsidP="00AE1992">
            <w:pPr>
              <w:pStyle w:val="NoSpacing"/>
              <w:rPr>
                <w:rFonts w:ascii="Times New Roman" w:hAnsi="Times New Roman" w:cs="Times New Roman"/>
                <w:b/>
                <w:sz w:val="24"/>
                <w:szCs w:val="24"/>
              </w:rPr>
            </w:pPr>
            <w:r w:rsidRPr="00AE1992">
              <w:rPr>
                <w:rFonts w:ascii="Times New Roman" w:hAnsi="Times New Roman" w:cs="Times New Roman"/>
                <w:b/>
                <w:sz w:val="24"/>
                <w:szCs w:val="24"/>
              </w:rPr>
              <w:t>California Independent System Operator</w:t>
            </w:r>
          </w:p>
          <w:p w:rsidR="00AE1992" w:rsidRPr="00AE1992" w:rsidRDefault="00AE1992" w:rsidP="00AE1992">
            <w:pPr>
              <w:pStyle w:val="NoSpacing"/>
              <w:rPr>
                <w:rFonts w:ascii="Times New Roman" w:hAnsi="Times New Roman" w:cs="Times New Roman"/>
                <w:b/>
                <w:sz w:val="24"/>
                <w:szCs w:val="24"/>
              </w:rPr>
            </w:pPr>
            <w:r w:rsidRPr="00AE1992">
              <w:rPr>
                <w:rFonts w:ascii="Times New Roman" w:hAnsi="Times New Roman" w:cs="Times New Roman"/>
                <w:b/>
                <w:sz w:val="24"/>
                <w:szCs w:val="24"/>
              </w:rPr>
              <w:t>Corporation</w:t>
            </w:r>
          </w:p>
          <w:p w:rsidR="00AE1992" w:rsidRPr="00AE1992" w:rsidRDefault="00AE199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151 Blue Ravine Road</w:t>
            </w:r>
          </w:p>
          <w:p w:rsidR="00AE1992" w:rsidRDefault="00AE1992" w:rsidP="00AE1992">
            <w:pPr>
              <w:pStyle w:val="NoSpacing"/>
              <w:rPr>
                <w:rFonts w:ascii="Times New Roman" w:hAnsi="Times New Roman" w:cs="Times New Roman"/>
                <w:sz w:val="24"/>
                <w:szCs w:val="24"/>
              </w:rPr>
            </w:pPr>
            <w:r w:rsidRPr="00AE1992">
              <w:rPr>
                <w:rFonts w:ascii="Times New Roman" w:hAnsi="Times New Roman" w:cs="Times New Roman"/>
                <w:sz w:val="24"/>
                <w:szCs w:val="24"/>
              </w:rPr>
              <w:t>Folsom, California 95630</w:t>
            </w:r>
          </w:p>
          <w:p w:rsidR="00AE1992" w:rsidRDefault="0095362B" w:rsidP="00AE1992">
            <w:pPr>
              <w:pStyle w:val="NoSpacing"/>
              <w:rPr>
                <w:rFonts w:ascii="Times New Roman" w:hAnsi="Times New Roman" w:cs="Times New Roman"/>
                <w:sz w:val="24"/>
                <w:szCs w:val="24"/>
              </w:rPr>
            </w:pPr>
            <w:hyperlink r:id="rId8" w:history="1">
              <w:r w:rsidR="00AE1992" w:rsidRPr="00405F39">
                <w:rPr>
                  <w:rStyle w:val="Hyperlink"/>
                  <w:rFonts w:ascii="Times New Roman" w:hAnsi="Times New Roman" w:cs="Times New Roman"/>
                  <w:sz w:val="24"/>
                  <w:szCs w:val="24"/>
                </w:rPr>
                <w:t>amckenna@caiso.com</w:t>
              </w:r>
            </w:hyperlink>
          </w:p>
          <w:p w:rsidR="00AE1992" w:rsidRPr="00AE1992" w:rsidRDefault="00AE1992" w:rsidP="00AE1992">
            <w:pPr>
              <w:pStyle w:val="NoSpacing"/>
              <w:rPr>
                <w:rFonts w:ascii="Times New Roman" w:hAnsi="Times New Roman" w:cs="Times New Roman"/>
                <w:sz w:val="24"/>
                <w:szCs w:val="24"/>
              </w:rPr>
            </w:pPr>
          </w:p>
          <w:p w:rsidR="00AE468B" w:rsidRPr="00AE1992" w:rsidRDefault="00AE468B" w:rsidP="00AE1992">
            <w:pPr>
              <w:pStyle w:val="NoSpacing"/>
              <w:rPr>
                <w:rFonts w:ascii="Times New Roman" w:hAnsi="Times New Roman" w:cs="Times New Roman"/>
                <w:sz w:val="24"/>
                <w:szCs w:val="24"/>
              </w:rPr>
            </w:pPr>
          </w:p>
        </w:tc>
        <w:tc>
          <w:tcPr>
            <w:tcW w:w="4230" w:type="dxa"/>
          </w:tcPr>
          <w:p w:rsidR="00AE468B" w:rsidRDefault="00AE468B" w:rsidP="001D2719">
            <w:pPr>
              <w:pStyle w:val="NoSpacing"/>
              <w:rPr>
                <w:rFonts w:ascii="Times New Roman" w:hAnsi="Times New Roman" w:cs="Times New Roman"/>
                <w:bCs/>
                <w:iCs/>
                <w:sz w:val="24"/>
                <w:szCs w:val="24"/>
                <w:lang w:val="pt-BR"/>
              </w:rPr>
            </w:pPr>
          </w:p>
          <w:p w:rsidR="00AE468B" w:rsidRDefault="00AE468B" w:rsidP="001D2719">
            <w:pPr>
              <w:pStyle w:val="NoSpacing"/>
              <w:rPr>
                <w:rFonts w:ascii="Times New Roman" w:hAnsi="Times New Roman" w:cs="Times New Roman"/>
                <w:bCs/>
                <w:iCs/>
                <w:sz w:val="24"/>
                <w:szCs w:val="24"/>
                <w:lang w:val="pt-BR"/>
              </w:rPr>
            </w:pPr>
          </w:p>
          <w:p w:rsidR="00AE468B" w:rsidRDefault="00AE468B" w:rsidP="001D2719">
            <w:pPr>
              <w:pStyle w:val="NoSpacing"/>
              <w:rPr>
                <w:rFonts w:ascii="Times New Roman" w:hAnsi="Times New Roman" w:cs="Times New Roman"/>
                <w:bCs/>
                <w:iCs/>
                <w:sz w:val="24"/>
                <w:szCs w:val="24"/>
                <w:lang w:val="pt-BR"/>
              </w:rPr>
            </w:pPr>
          </w:p>
          <w:p w:rsidR="00AE468B" w:rsidRDefault="00AE468B" w:rsidP="001D2719">
            <w:pPr>
              <w:pStyle w:val="NoSpacing"/>
              <w:rPr>
                <w:rFonts w:ascii="Times New Roman" w:hAnsi="Times New Roman" w:cs="Times New Roman"/>
                <w:bCs/>
                <w:iCs/>
                <w:sz w:val="24"/>
                <w:szCs w:val="24"/>
                <w:lang w:val="pt-BR"/>
              </w:rPr>
            </w:pPr>
          </w:p>
          <w:p w:rsidR="00AE468B" w:rsidRDefault="00AE468B" w:rsidP="001D2719">
            <w:pPr>
              <w:pStyle w:val="NoSpacing"/>
              <w:rPr>
                <w:rFonts w:ascii="Times New Roman" w:hAnsi="Times New Roman" w:cs="Times New Roman"/>
                <w:bCs/>
                <w:iCs/>
                <w:sz w:val="24"/>
                <w:szCs w:val="24"/>
                <w:lang w:val="pt-BR"/>
              </w:rPr>
            </w:pPr>
            <w:r>
              <w:rPr>
                <w:rFonts w:ascii="Times New Roman" w:hAnsi="Times New Roman" w:cs="Times New Roman"/>
                <w:bCs/>
                <w:iCs/>
                <w:sz w:val="24"/>
                <w:szCs w:val="24"/>
                <w:lang w:val="pt-BR"/>
              </w:rPr>
              <w:t>Matthew Morais*</w:t>
            </w:r>
          </w:p>
          <w:p w:rsidR="00AE468B" w:rsidRDefault="00AE468B" w:rsidP="001D2719">
            <w:pPr>
              <w:pStyle w:val="NoSpacing"/>
              <w:rPr>
                <w:rFonts w:ascii="Times New Roman" w:hAnsi="Times New Roman" w:cs="Times New Roman"/>
                <w:bCs/>
                <w:iCs/>
                <w:sz w:val="24"/>
                <w:szCs w:val="24"/>
                <w:lang w:val="pt-BR"/>
              </w:rPr>
            </w:pPr>
            <w:r>
              <w:rPr>
                <w:rFonts w:ascii="Times New Roman" w:hAnsi="Times New Roman" w:cs="Times New Roman"/>
                <w:bCs/>
                <w:iCs/>
                <w:sz w:val="24"/>
                <w:szCs w:val="24"/>
                <w:lang w:val="pt-BR"/>
              </w:rPr>
              <w:t>Assistant General Counsel</w:t>
            </w:r>
          </w:p>
          <w:p w:rsidR="00AE468B" w:rsidRDefault="00AE468B" w:rsidP="001D2719">
            <w:pPr>
              <w:pStyle w:val="NoSpacing"/>
              <w:rPr>
                <w:rFonts w:ascii="Times New Roman" w:hAnsi="Times New Roman" w:cs="Times New Roman"/>
                <w:b/>
                <w:bCs/>
                <w:iCs/>
                <w:sz w:val="24"/>
                <w:szCs w:val="24"/>
                <w:lang w:val="pt-BR"/>
              </w:rPr>
            </w:pPr>
            <w:r>
              <w:rPr>
                <w:rFonts w:ascii="Times New Roman" w:hAnsi="Times New Roman" w:cs="Times New Roman"/>
                <w:b/>
                <w:bCs/>
                <w:iCs/>
                <w:sz w:val="24"/>
                <w:szCs w:val="24"/>
                <w:lang w:val="pt-BR"/>
              </w:rPr>
              <w:t xml:space="preserve">Electric Reliability Council of Texas,    </w:t>
            </w:r>
          </w:p>
          <w:p w:rsidR="00AE468B" w:rsidRDefault="00AE468B" w:rsidP="001D2719">
            <w:pPr>
              <w:pStyle w:val="NoSpacing"/>
              <w:rPr>
                <w:rFonts w:ascii="Times New Roman" w:hAnsi="Times New Roman" w:cs="Times New Roman"/>
                <w:b/>
                <w:bCs/>
                <w:iCs/>
                <w:sz w:val="24"/>
                <w:szCs w:val="24"/>
                <w:lang w:val="pt-BR"/>
              </w:rPr>
            </w:pPr>
            <w:r>
              <w:rPr>
                <w:rFonts w:ascii="Times New Roman" w:hAnsi="Times New Roman" w:cs="Times New Roman"/>
                <w:b/>
                <w:bCs/>
                <w:iCs/>
                <w:sz w:val="24"/>
                <w:szCs w:val="24"/>
                <w:lang w:val="pt-BR"/>
              </w:rPr>
              <w:t>Inc.</w:t>
            </w:r>
          </w:p>
          <w:p w:rsidR="00AE468B" w:rsidRDefault="00FC6FC9" w:rsidP="001D2719">
            <w:pPr>
              <w:pStyle w:val="NoSpacing"/>
              <w:rPr>
                <w:rFonts w:ascii="Times New Roman" w:hAnsi="Times New Roman" w:cs="Times New Roman"/>
                <w:bCs/>
                <w:iCs/>
                <w:sz w:val="24"/>
                <w:szCs w:val="24"/>
                <w:lang w:val="pt-BR"/>
              </w:rPr>
            </w:pPr>
            <w:r>
              <w:rPr>
                <w:rFonts w:ascii="Times New Roman" w:hAnsi="Times New Roman" w:cs="Times New Roman"/>
                <w:bCs/>
                <w:iCs/>
                <w:sz w:val="24"/>
                <w:szCs w:val="24"/>
                <w:lang w:val="pt-BR"/>
              </w:rPr>
              <w:t>7620 Metro Center Drive</w:t>
            </w:r>
          </w:p>
          <w:p w:rsidR="00AE468B" w:rsidRDefault="00FC6FC9" w:rsidP="001D2719">
            <w:pPr>
              <w:pStyle w:val="NoSpacing"/>
              <w:rPr>
                <w:rFonts w:ascii="Times New Roman" w:hAnsi="Times New Roman" w:cs="Times New Roman"/>
                <w:bCs/>
                <w:iCs/>
                <w:sz w:val="24"/>
                <w:szCs w:val="24"/>
                <w:lang w:val="pt-BR"/>
              </w:rPr>
            </w:pPr>
            <w:r>
              <w:rPr>
                <w:rFonts w:ascii="Times New Roman" w:hAnsi="Times New Roman" w:cs="Times New Roman"/>
                <w:bCs/>
                <w:iCs/>
                <w:sz w:val="24"/>
                <w:szCs w:val="24"/>
                <w:lang w:val="pt-BR"/>
              </w:rPr>
              <w:t>Austin</w:t>
            </w:r>
            <w:r w:rsidR="00AE468B">
              <w:rPr>
                <w:rFonts w:ascii="Times New Roman" w:hAnsi="Times New Roman" w:cs="Times New Roman"/>
                <w:bCs/>
                <w:iCs/>
                <w:sz w:val="24"/>
                <w:szCs w:val="24"/>
                <w:lang w:val="pt-BR"/>
              </w:rPr>
              <w:t xml:space="preserve">, Texas </w:t>
            </w:r>
            <w:r>
              <w:rPr>
                <w:rFonts w:ascii="Times New Roman" w:hAnsi="Times New Roman" w:cs="Times New Roman"/>
                <w:bCs/>
                <w:iCs/>
                <w:sz w:val="24"/>
                <w:szCs w:val="24"/>
                <w:lang w:val="pt-BR"/>
              </w:rPr>
              <w:t>78744</w:t>
            </w:r>
          </w:p>
          <w:p w:rsidR="00AE468B" w:rsidRDefault="0095362B" w:rsidP="001D2719">
            <w:pPr>
              <w:pStyle w:val="NoSpacing"/>
              <w:rPr>
                <w:rFonts w:ascii="Times New Roman" w:hAnsi="Times New Roman" w:cs="Times New Roman"/>
                <w:bCs/>
                <w:iCs/>
                <w:sz w:val="24"/>
                <w:szCs w:val="24"/>
                <w:lang w:val="pt-BR"/>
              </w:rPr>
            </w:pPr>
            <w:hyperlink r:id="rId9" w:history="1">
              <w:r w:rsidR="00AE468B">
                <w:rPr>
                  <w:rStyle w:val="Hyperlink"/>
                  <w:rFonts w:ascii="Times New Roman" w:hAnsi="Times New Roman" w:cs="Times New Roman"/>
                  <w:bCs/>
                  <w:iCs/>
                  <w:sz w:val="24"/>
                  <w:szCs w:val="24"/>
                  <w:lang w:val="pt-BR"/>
                </w:rPr>
                <w:t>mmorais@ercot.com</w:t>
              </w:r>
            </w:hyperlink>
          </w:p>
          <w:p w:rsidR="00AE468B" w:rsidRDefault="00AE468B" w:rsidP="001D2719">
            <w:pPr>
              <w:autoSpaceDE w:val="0"/>
              <w:autoSpaceDN w:val="0"/>
              <w:adjustRightInd w:val="0"/>
              <w:rPr>
                <w:b/>
                <w:bCs/>
                <w:i/>
                <w:iCs/>
              </w:rPr>
            </w:pPr>
          </w:p>
          <w:p w:rsidR="00AE468B" w:rsidRDefault="00AE468B" w:rsidP="001D2719">
            <w:pPr>
              <w:rPr>
                <w:b/>
                <w:bCs/>
                <w:i/>
                <w:iCs/>
              </w:rPr>
            </w:pPr>
          </w:p>
        </w:tc>
      </w:tr>
      <w:tr w:rsidR="00AE468B" w:rsidTr="00AE1992">
        <w:trPr>
          <w:cantSplit/>
        </w:trPr>
        <w:tc>
          <w:tcPr>
            <w:tcW w:w="5040" w:type="dxa"/>
          </w:tcPr>
          <w:p w:rsidR="00AE468B" w:rsidRDefault="00AE468B" w:rsidP="001D2719">
            <w:pPr>
              <w:autoSpaceDE w:val="0"/>
              <w:autoSpaceDN w:val="0"/>
              <w:adjustRightInd w:val="0"/>
            </w:pPr>
            <w:r>
              <w:t>Raymond W. Hepper</w:t>
            </w:r>
          </w:p>
          <w:p w:rsidR="00AE468B" w:rsidRDefault="00AE468B" w:rsidP="001D2719">
            <w:pPr>
              <w:autoSpaceDE w:val="0"/>
              <w:autoSpaceDN w:val="0"/>
              <w:adjustRightInd w:val="0"/>
            </w:pPr>
            <w:r>
              <w:t>Vice President, General Counsel, and        Secretary</w:t>
            </w:r>
          </w:p>
          <w:p w:rsidR="00AE468B" w:rsidRDefault="00AE468B" w:rsidP="001D2719">
            <w:pPr>
              <w:autoSpaceDE w:val="0"/>
              <w:autoSpaceDN w:val="0"/>
              <w:adjustRightInd w:val="0"/>
            </w:pPr>
            <w:r>
              <w:t>Theodore J. Paradise*</w:t>
            </w:r>
          </w:p>
          <w:p w:rsidR="00AE468B" w:rsidRDefault="00AE468B" w:rsidP="001D2719">
            <w:pPr>
              <w:autoSpaceDE w:val="0"/>
              <w:autoSpaceDN w:val="0"/>
              <w:adjustRightInd w:val="0"/>
            </w:pPr>
            <w:r>
              <w:t>Assistant General Counsel, Operations and Planning</w:t>
            </w:r>
          </w:p>
          <w:p w:rsidR="00AE468B" w:rsidRDefault="00AE468B" w:rsidP="001D2719">
            <w:pPr>
              <w:autoSpaceDE w:val="0"/>
              <w:autoSpaceDN w:val="0"/>
              <w:adjustRightInd w:val="0"/>
              <w:rPr>
                <w:b/>
                <w:bCs/>
              </w:rPr>
            </w:pPr>
            <w:r>
              <w:rPr>
                <w:b/>
                <w:bCs/>
              </w:rPr>
              <w:t>ISO New England Inc.</w:t>
            </w:r>
          </w:p>
          <w:p w:rsidR="00AE468B" w:rsidRDefault="00AE468B" w:rsidP="001D2719">
            <w:pPr>
              <w:autoSpaceDE w:val="0"/>
              <w:autoSpaceDN w:val="0"/>
              <w:adjustRightInd w:val="0"/>
            </w:pPr>
            <w:r>
              <w:t>One Sullivan Road</w:t>
            </w:r>
          </w:p>
          <w:p w:rsidR="00AE468B" w:rsidRDefault="00AE468B" w:rsidP="001D2719">
            <w:pPr>
              <w:autoSpaceDE w:val="0"/>
              <w:autoSpaceDN w:val="0"/>
              <w:adjustRightInd w:val="0"/>
            </w:pPr>
            <w:r>
              <w:t>Holyoke, Massachusetts 01040</w:t>
            </w:r>
          </w:p>
          <w:p w:rsidR="00AE468B" w:rsidRDefault="0095362B" w:rsidP="001D2719">
            <w:pPr>
              <w:autoSpaceDE w:val="0"/>
              <w:autoSpaceDN w:val="0"/>
              <w:adjustRightInd w:val="0"/>
            </w:pPr>
            <w:hyperlink r:id="rId10" w:history="1">
              <w:r w:rsidR="00AE468B">
                <w:rPr>
                  <w:rStyle w:val="Hyperlink"/>
                </w:rPr>
                <w:t>tparadise@iso-ne.com</w:t>
              </w:r>
            </w:hyperlink>
            <w:r w:rsidR="00AE468B">
              <w:t xml:space="preserve"> </w:t>
            </w:r>
          </w:p>
          <w:p w:rsidR="00AE468B" w:rsidRDefault="00AE468B" w:rsidP="001D2719">
            <w:pPr>
              <w:autoSpaceDE w:val="0"/>
              <w:autoSpaceDN w:val="0"/>
              <w:adjustRightInd w:val="0"/>
              <w:rPr>
                <w:b/>
                <w:bCs/>
                <w:i/>
                <w:iCs/>
              </w:rPr>
            </w:pPr>
          </w:p>
        </w:tc>
        <w:tc>
          <w:tcPr>
            <w:tcW w:w="4230" w:type="dxa"/>
          </w:tcPr>
          <w:p w:rsidR="00AE468B" w:rsidRDefault="00AE468B" w:rsidP="001D2719">
            <w:pPr>
              <w:autoSpaceDE w:val="0"/>
              <w:autoSpaceDN w:val="0"/>
              <w:adjustRightInd w:val="0"/>
            </w:pPr>
            <w:r>
              <w:t>Stephen G. Kozey*</w:t>
            </w:r>
          </w:p>
          <w:p w:rsidR="00AE468B" w:rsidRDefault="00AE468B" w:rsidP="001D2719">
            <w:pPr>
              <w:autoSpaceDE w:val="0"/>
              <w:autoSpaceDN w:val="0"/>
              <w:adjustRightInd w:val="0"/>
            </w:pPr>
            <w:r>
              <w:t>Vice President, General Counsel, and Secretary</w:t>
            </w:r>
          </w:p>
          <w:p w:rsidR="00AE468B" w:rsidRDefault="00AE468B" w:rsidP="001D2719">
            <w:pPr>
              <w:autoSpaceDE w:val="0"/>
              <w:autoSpaceDN w:val="0"/>
              <w:adjustRightInd w:val="0"/>
              <w:rPr>
                <w:b/>
                <w:bCs/>
              </w:rPr>
            </w:pPr>
            <w:r>
              <w:rPr>
                <w:b/>
                <w:bCs/>
              </w:rPr>
              <w:t>Midwest Independent Transmission</w:t>
            </w:r>
          </w:p>
          <w:p w:rsidR="00AE468B" w:rsidRDefault="00AE468B" w:rsidP="001D2719">
            <w:pPr>
              <w:autoSpaceDE w:val="0"/>
              <w:autoSpaceDN w:val="0"/>
              <w:adjustRightInd w:val="0"/>
              <w:rPr>
                <w:b/>
                <w:bCs/>
              </w:rPr>
            </w:pPr>
            <w:r>
              <w:rPr>
                <w:b/>
                <w:bCs/>
              </w:rPr>
              <w:t>System Operator, Inc.</w:t>
            </w:r>
          </w:p>
          <w:p w:rsidR="00AE468B" w:rsidRDefault="00AE468B" w:rsidP="001D2719">
            <w:pPr>
              <w:autoSpaceDE w:val="0"/>
              <w:autoSpaceDN w:val="0"/>
              <w:adjustRightInd w:val="0"/>
            </w:pPr>
            <w:r>
              <w:t>P.O. Box 4202</w:t>
            </w:r>
          </w:p>
          <w:p w:rsidR="00AE468B" w:rsidRDefault="00AE468B" w:rsidP="001D2719">
            <w:pPr>
              <w:autoSpaceDE w:val="0"/>
              <w:autoSpaceDN w:val="0"/>
              <w:adjustRightInd w:val="0"/>
            </w:pPr>
            <w:r>
              <w:t>Carmel, Indiana 46082-4202</w:t>
            </w:r>
          </w:p>
          <w:p w:rsidR="00AE468B" w:rsidRDefault="0095362B" w:rsidP="001D2719">
            <w:pPr>
              <w:autoSpaceDE w:val="0"/>
              <w:autoSpaceDN w:val="0"/>
              <w:adjustRightInd w:val="0"/>
            </w:pPr>
            <w:hyperlink r:id="rId11" w:history="1">
              <w:r w:rsidR="00AE468B">
                <w:rPr>
                  <w:rStyle w:val="Hyperlink"/>
                </w:rPr>
                <w:t>skozey@midwestiso.org</w:t>
              </w:r>
            </w:hyperlink>
            <w:r w:rsidR="00AE468B">
              <w:t xml:space="preserve"> </w:t>
            </w:r>
          </w:p>
          <w:p w:rsidR="00AE468B" w:rsidRDefault="00AE468B" w:rsidP="001D2719">
            <w:pPr>
              <w:autoSpaceDE w:val="0"/>
              <w:autoSpaceDN w:val="0"/>
              <w:adjustRightInd w:val="0"/>
              <w:rPr>
                <w:b/>
                <w:bCs/>
                <w:i/>
                <w:iCs/>
              </w:rPr>
            </w:pPr>
          </w:p>
        </w:tc>
      </w:tr>
      <w:tr w:rsidR="00AE468B" w:rsidTr="00AE1992">
        <w:trPr>
          <w:cantSplit/>
        </w:trPr>
        <w:tc>
          <w:tcPr>
            <w:tcW w:w="5040" w:type="dxa"/>
          </w:tcPr>
          <w:p w:rsidR="00C2253D" w:rsidRDefault="00C2253D" w:rsidP="001D2719">
            <w:pPr>
              <w:autoSpaceDE w:val="0"/>
              <w:autoSpaceDN w:val="0"/>
              <w:adjustRightInd w:val="0"/>
            </w:pPr>
          </w:p>
          <w:p w:rsidR="00AE468B" w:rsidRDefault="00AE468B" w:rsidP="001D2719">
            <w:pPr>
              <w:autoSpaceDE w:val="0"/>
              <w:autoSpaceDN w:val="0"/>
              <w:adjustRightInd w:val="0"/>
            </w:pPr>
            <w:r>
              <w:t>Carl F. Patka*</w:t>
            </w:r>
          </w:p>
          <w:p w:rsidR="00AE468B" w:rsidRDefault="00AE468B" w:rsidP="001D2719">
            <w:pPr>
              <w:autoSpaceDE w:val="0"/>
              <w:autoSpaceDN w:val="0"/>
              <w:adjustRightInd w:val="0"/>
            </w:pPr>
            <w:r>
              <w:t>Assistant General Counsel</w:t>
            </w:r>
          </w:p>
          <w:p w:rsidR="00DA609A" w:rsidRDefault="00DA609A" w:rsidP="001D2719">
            <w:pPr>
              <w:autoSpaceDE w:val="0"/>
              <w:autoSpaceDN w:val="0"/>
              <w:adjustRightInd w:val="0"/>
            </w:pPr>
            <w:r>
              <w:t>Kristin A. Bluvas</w:t>
            </w:r>
          </w:p>
          <w:p w:rsidR="00DA609A" w:rsidRDefault="00DA609A" w:rsidP="001D2719">
            <w:pPr>
              <w:autoSpaceDE w:val="0"/>
              <w:autoSpaceDN w:val="0"/>
              <w:adjustRightInd w:val="0"/>
            </w:pPr>
            <w:r>
              <w:t>Attorney</w:t>
            </w:r>
          </w:p>
          <w:p w:rsidR="00AE468B" w:rsidRDefault="00AE468B" w:rsidP="001D2719">
            <w:pPr>
              <w:autoSpaceDE w:val="0"/>
              <w:autoSpaceDN w:val="0"/>
              <w:adjustRightInd w:val="0"/>
            </w:pPr>
            <w:r>
              <w:t>Raymond Stalter</w:t>
            </w:r>
          </w:p>
          <w:p w:rsidR="00AE468B" w:rsidRDefault="00AE468B" w:rsidP="001D2719">
            <w:pPr>
              <w:autoSpaceDE w:val="0"/>
              <w:autoSpaceDN w:val="0"/>
              <w:adjustRightInd w:val="0"/>
            </w:pPr>
            <w:r>
              <w:t>Director of Regulatory Affairs</w:t>
            </w:r>
          </w:p>
          <w:p w:rsidR="00AE468B" w:rsidRDefault="00AE468B" w:rsidP="001D2719">
            <w:pPr>
              <w:autoSpaceDE w:val="0"/>
              <w:autoSpaceDN w:val="0"/>
              <w:adjustRightInd w:val="0"/>
              <w:rPr>
                <w:b/>
                <w:bCs/>
              </w:rPr>
            </w:pPr>
            <w:r>
              <w:rPr>
                <w:b/>
                <w:bCs/>
              </w:rPr>
              <w:t>New York Independent System Operator, Inc.</w:t>
            </w:r>
          </w:p>
          <w:p w:rsidR="00AE468B" w:rsidRDefault="00AE468B" w:rsidP="001D2719">
            <w:pPr>
              <w:autoSpaceDE w:val="0"/>
              <w:autoSpaceDN w:val="0"/>
              <w:adjustRightInd w:val="0"/>
            </w:pPr>
            <w:r>
              <w:t>10 Krey Blvd</w:t>
            </w:r>
            <w:r w:rsidR="00BF7072">
              <w:t>.</w:t>
            </w:r>
          </w:p>
          <w:p w:rsidR="00AE468B" w:rsidRDefault="00AE468B" w:rsidP="001D2719">
            <w:pPr>
              <w:autoSpaceDE w:val="0"/>
              <w:autoSpaceDN w:val="0"/>
              <w:adjustRightInd w:val="0"/>
            </w:pPr>
            <w:r>
              <w:t>Rensselaer, New York 12144</w:t>
            </w:r>
          </w:p>
          <w:p w:rsidR="00AE468B" w:rsidRDefault="0095362B" w:rsidP="00AE468B">
            <w:pPr>
              <w:autoSpaceDE w:val="0"/>
              <w:autoSpaceDN w:val="0"/>
              <w:adjustRightInd w:val="0"/>
            </w:pPr>
            <w:hyperlink r:id="rId12" w:history="1">
              <w:r w:rsidR="00AE468B">
                <w:rPr>
                  <w:rStyle w:val="Hyperlink"/>
                </w:rPr>
                <w:t>cpatka@nyiso.com</w:t>
              </w:r>
            </w:hyperlink>
            <w:r w:rsidR="00AE468B">
              <w:t xml:space="preserve"> </w:t>
            </w:r>
          </w:p>
          <w:p w:rsidR="00AE468B" w:rsidRDefault="00AE468B" w:rsidP="00AE468B">
            <w:pPr>
              <w:autoSpaceDE w:val="0"/>
              <w:autoSpaceDN w:val="0"/>
              <w:adjustRightInd w:val="0"/>
              <w:rPr>
                <w:b/>
                <w:bCs/>
                <w:i/>
                <w:iCs/>
              </w:rPr>
            </w:pPr>
          </w:p>
        </w:tc>
        <w:tc>
          <w:tcPr>
            <w:tcW w:w="4230" w:type="dxa"/>
          </w:tcPr>
          <w:p w:rsidR="00C2253D" w:rsidRDefault="00C2253D" w:rsidP="001D2719">
            <w:pPr>
              <w:autoSpaceDE w:val="0"/>
              <w:autoSpaceDN w:val="0"/>
              <w:adjustRightInd w:val="0"/>
              <w:rPr>
                <w:lang w:val="en-CA" w:eastAsia="en-CA"/>
              </w:rPr>
            </w:pPr>
          </w:p>
          <w:p w:rsidR="00AE468B" w:rsidRDefault="00AE468B" w:rsidP="001D2719">
            <w:pPr>
              <w:autoSpaceDE w:val="0"/>
              <w:autoSpaceDN w:val="0"/>
              <w:adjustRightInd w:val="0"/>
              <w:rPr>
                <w:lang w:val="en-CA" w:eastAsia="en-CA"/>
              </w:rPr>
            </w:pPr>
            <w:r>
              <w:rPr>
                <w:lang w:val="en-CA" w:eastAsia="en-CA"/>
              </w:rPr>
              <w:t>Brian Rivard*</w:t>
            </w:r>
          </w:p>
          <w:p w:rsidR="00AE468B" w:rsidRDefault="00AE468B" w:rsidP="001D2719">
            <w:pPr>
              <w:autoSpaceDE w:val="0"/>
              <w:autoSpaceDN w:val="0"/>
              <w:adjustRightInd w:val="0"/>
              <w:rPr>
                <w:lang w:val="en-CA" w:eastAsia="en-CA"/>
              </w:rPr>
            </w:pPr>
            <w:r>
              <w:rPr>
                <w:lang w:val="en-CA" w:eastAsia="en-CA"/>
              </w:rPr>
              <w:t>Manager – Regulatory Affairs &amp; Sector Policy Analysis</w:t>
            </w:r>
          </w:p>
          <w:p w:rsidR="00AE468B" w:rsidRDefault="00AE468B" w:rsidP="001D2719">
            <w:pPr>
              <w:autoSpaceDE w:val="0"/>
              <w:autoSpaceDN w:val="0"/>
              <w:adjustRightInd w:val="0"/>
              <w:rPr>
                <w:b/>
                <w:bCs/>
                <w:lang w:val="en-CA" w:eastAsia="en-CA"/>
              </w:rPr>
            </w:pPr>
            <w:r>
              <w:rPr>
                <w:b/>
                <w:bCs/>
                <w:lang w:val="en-CA" w:eastAsia="en-CA"/>
              </w:rPr>
              <w:t>Ontario’s Independent Electricity</w:t>
            </w:r>
          </w:p>
          <w:p w:rsidR="00AE468B" w:rsidRDefault="00AE468B" w:rsidP="001D2719">
            <w:pPr>
              <w:autoSpaceDE w:val="0"/>
              <w:autoSpaceDN w:val="0"/>
              <w:adjustRightInd w:val="0"/>
              <w:rPr>
                <w:b/>
                <w:bCs/>
                <w:lang w:val="en-CA" w:eastAsia="en-CA"/>
              </w:rPr>
            </w:pPr>
            <w:r>
              <w:rPr>
                <w:b/>
                <w:bCs/>
                <w:lang w:val="en-CA" w:eastAsia="en-CA"/>
              </w:rPr>
              <w:t xml:space="preserve">    System Operator</w:t>
            </w:r>
          </w:p>
          <w:p w:rsidR="00AE468B" w:rsidRDefault="00AE468B" w:rsidP="001D2719">
            <w:pPr>
              <w:autoSpaceDE w:val="0"/>
              <w:autoSpaceDN w:val="0"/>
              <w:adjustRightInd w:val="0"/>
              <w:rPr>
                <w:lang w:val="en-CA" w:eastAsia="en-CA"/>
              </w:rPr>
            </w:pPr>
            <w:r>
              <w:rPr>
                <w:lang w:val="en-CA" w:eastAsia="en-CA"/>
              </w:rPr>
              <w:t>655 Bay Street, Suite 410</w:t>
            </w:r>
          </w:p>
          <w:p w:rsidR="00AE468B" w:rsidRDefault="00AE468B" w:rsidP="001D2719">
            <w:pPr>
              <w:rPr>
                <w:lang w:val="en-CA" w:eastAsia="en-CA"/>
              </w:rPr>
            </w:pPr>
            <w:r>
              <w:rPr>
                <w:lang w:val="en-CA" w:eastAsia="en-CA"/>
              </w:rPr>
              <w:t>Toronto, Ontario M5G 2K4</w:t>
            </w:r>
          </w:p>
          <w:p w:rsidR="00AE468B" w:rsidRDefault="0095362B" w:rsidP="001D2719">
            <w:pPr>
              <w:rPr>
                <w:lang w:val="en-CA" w:eastAsia="en-CA"/>
              </w:rPr>
            </w:pPr>
            <w:hyperlink r:id="rId13" w:history="1">
              <w:r w:rsidR="00AE468B">
                <w:rPr>
                  <w:rStyle w:val="Hyperlink"/>
                  <w:lang w:val="en-CA" w:eastAsia="en-CA"/>
                </w:rPr>
                <w:t>brian.rivard@ieso.ca</w:t>
              </w:r>
            </w:hyperlink>
            <w:r w:rsidR="00AE468B">
              <w:rPr>
                <w:lang w:val="en-CA" w:eastAsia="en-CA"/>
              </w:rPr>
              <w:t xml:space="preserve"> </w:t>
            </w:r>
          </w:p>
          <w:p w:rsidR="00AE468B" w:rsidRDefault="00AE468B" w:rsidP="001D2719">
            <w:pPr>
              <w:autoSpaceDE w:val="0"/>
              <w:autoSpaceDN w:val="0"/>
              <w:adjustRightInd w:val="0"/>
              <w:rPr>
                <w:b/>
                <w:bCs/>
                <w:i/>
                <w:iCs/>
              </w:rPr>
            </w:pPr>
          </w:p>
        </w:tc>
      </w:tr>
      <w:tr w:rsidR="00AE1992" w:rsidTr="00AE1992">
        <w:trPr>
          <w:cantSplit/>
        </w:trPr>
        <w:tc>
          <w:tcPr>
            <w:tcW w:w="5040" w:type="dxa"/>
          </w:tcPr>
          <w:p w:rsidR="00AE1992" w:rsidRDefault="00AE1992" w:rsidP="00916B27">
            <w:pPr>
              <w:autoSpaceDE w:val="0"/>
              <w:autoSpaceDN w:val="0"/>
              <w:adjustRightInd w:val="0"/>
            </w:pPr>
            <w:r>
              <w:lastRenderedPageBreak/>
              <w:t>Paul Suskie*</w:t>
            </w:r>
          </w:p>
          <w:p w:rsidR="00AE1992" w:rsidRDefault="00AE1992" w:rsidP="00916B27">
            <w:pPr>
              <w:autoSpaceDE w:val="0"/>
              <w:autoSpaceDN w:val="0"/>
              <w:adjustRightInd w:val="0"/>
            </w:pPr>
            <w:r>
              <w:t>Senior Vice President, Regulatory Policy and General Counsel</w:t>
            </w:r>
          </w:p>
          <w:p w:rsidR="00AE1992" w:rsidRDefault="00AE1992" w:rsidP="00916B27">
            <w:pPr>
              <w:autoSpaceDE w:val="0"/>
              <w:autoSpaceDN w:val="0"/>
              <w:adjustRightInd w:val="0"/>
              <w:rPr>
                <w:b/>
                <w:bCs/>
              </w:rPr>
            </w:pPr>
            <w:r>
              <w:rPr>
                <w:b/>
                <w:bCs/>
              </w:rPr>
              <w:t>Southwest Power Pool, Inc.</w:t>
            </w:r>
          </w:p>
          <w:p w:rsidR="00AE1992" w:rsidRDefault="00AE1992" w:rsidP="00916B27">
            <w:pPr>
              <w:autoSpaceDE w:val="0"/>
              <w:autoSpaceDN w:val="0"/>
              <w:adjustRightInd w:val="0"/>
            </w:pPr>
            <w:r>
              <w:t>415 North McKinley, Suite 140</w:t>
            </w:r>
          </w:p>
          <w:p w:rsidR="00AE1992" w:rsidRDefault="00AE1992" w:rsidP="00916B27">
            <w:pPr>
              <w:autoSpaceDE w:val="0"/>
              <w:autoSpaceDN w:val="0"/>
              <w:adjustRightInd w:val="0"/>
            </w:pPr>
            <w:r>
              <w:t>Little Rock, Arkansas 72205</w:t>
            </w:r>
          </w:p>
          <w:p w:rsidR="00AE1992" w:rsidRDefault="0095362B" w:rsidP="00916B27">
            <w:pPr>
              <w:autoSpaceDE w:val="0"/>
              <w:autoSpaceDN w:val="0"/>
              <w:adjustRightInd w:val="0"/>
            </w:pPr>
            <w:hyperlink r:id="rId14" w:history="1">
              <w:r w:rsidR="00AE1992">
                <w:rPr>
                  <w:rStyle w:val="Hyperlink"/>
                </w:rPr>
                <w:t>psuskie@spp.org</w:t>
              </w:r>
            </w:hyperlink>
            <w:r w:rsidR="00AE1992">
              <w:t xml:space="preserve"> </w:t>
            </w:r>
          </w:p>
          <w:p w:rsidR="00AE1992" w:rsidRDefault="00AE1992" w:rsidP="00916B27">
            <w:pPr>
              <w:autoSpaceDE w:val="0"/>
              <w:autoSpaceDN w:val="0"/>
              <w:adjustRightInd w:val="0"/>
              <w:rPr>
                <w:b/>
                <w:bCs/>
                <w:iCs/>
              </w:rPr>
            </w:pPr>
          </w:p>
        </w:tc>
        <w:tc>
          <w:tcPr>
            <w:tcW w:w="4230" w:type="dxa"/>
          </w:tcPr>
          <w:p w:rsidR="00AE1992" w:rsidRDefault="00AE1992" w:rsidP="001D2719">
            <w:pPr>
              <w:autoSpaceDE w:val="0"/>
              <w:autoSpaceDN w:val="0"/>
              <w:adjustRightInd w:val="0"/>
              <w:rPr>
                <w:b/>
                <w:bCs/>
                <w:iCs/>
              </w:rPr>
            </w:pPr>
          </w:p>
        </w:tc>
      </w:tr>
    </w:tbl>
    <w:p w:rsidR="00BF2340" w:rsidRDefault="00AE468B" w:rsidP="00F518F4">
      <w:pPr>
        <w:pStyle w:val="00BodyText1"/>
        <w:ind w:firstLine="0"/>
      </w:pPr>
      <w:r>
        <w:t>* = persons designated to receive service</w:t>
      </w:r>
    </w:p>
    <w:p w:rsidR="003B0965" w:rsidRDefault="00BF2340" w:rsidP="008E62B0">
      <w:pPr>
        <w:spacing w:before="120" w:line="480" w:lineRule="auto"/>
        <w:rPr>
          <w:b/>
          <w:u w:val="single"/>
        </w:rPr>
      </w:pPr>
      <w:r>
        <w:rPr>
          <w:b/>
        </w:rPr>
        <w:t>II.</w:t>
      </w:r>
      <w:r>
        <w:rPr>
          <w:b/>
        </w:rPr>
        <w:tab/>
      </w:r>
      <w:r w:rsidRPr="008E62B0">
        <w:rPr>
          <w:b/>
          <w:u w:val="single"/>
        </w:rPr>
        <w:t xml:space="preserve">Motion </w:t>
      </w:r>
      <w:r>
        <w:rPr>
          <w:b/>
          <w:u w:val="single"/>
        </w:rPr>
        <w:t>to Intervene Out of Time</w:t>
      </w:r>
    </w:p>
    <w:p w:rsidR="005B6B7F" w:rsidRDefault="00AC5273" w:rsidP="00226BAD">
      <w:pPr>
        <w:spacing w:line="480" w:lineRule="auto"/>
        <w:ind w:firstLine="720"/>
      </w:pPr>
      <w:r w:rsidRPr="00AC5273">
        <w:t>Joint ISOs/RTOs</w:t>
      </w:r>
      <w:r>
        <w:t xml:space="preserve"> </w:t>
      </w:r>
      <w:r w:rsidR="003B0965">
        <w:t xml:space="preserve">operate the bulk power system, administer the organized wholesale electricity markets, and act as the planning authorities within their respective regions. </w:t>
      </w:r>
      <w:r>
        <w:t xml:space="preserve"> </w:t>
      </w:r>
      <w:r w:rsidR="003B0965">
        <w:t xml:space="preserve">The </w:t>
      </w:r>
      <w:r w:rsidRPr="00AC5273">
        <w:t>Joint ISOs/RTOs</w:t>
      </w:r>
      <w:r w:rsidR="003B0965">
        <w:t xml:space="preserve"> </w:t>
      </w:r>
      <w:r>
        <w:t>submit</w:t>
      </w:r>
      <w:r w:rsidR="00BF2340">
        <w:t xml:space="preserve"> that good cause exists for the Commission to grant this motion to intervene out of time in accordance with Rule 214(d), 18 C.F.R. § 385.214(d).  </w:t>
      </w:r>
    </w:p>
    <w:p w:rsidR="00B842CE" w:rsidRDefault="00951FFA" w:rsidP="00226BAD">
      <w:pPr>
        <w:spacing w:line="480" w:lineRule="auto"/>
        <w:ind w:firstLine="720"/>
      </w:pPr>
      <w:r w:rsidRPr="00951FFA">
        <w:t xml:space="preserve">The </w:t>
      </w:r>
      <w:r w:rsidR="00AC5273" w:rsidRPr="00AC5273">
        <w:t>Joint ISOs/RTOs</w:t>
      </w:r>
      <w:r w:rsidR="00AC5273">
        <w:t xml:space="preserve">’ </w:t>
      </w:r>
      <w:r w:rsidRPr="00951FFA">
        <w:t xml:space="preserve">members conduct their operations in compliance with the NERC Reliability Standards and are subject to penalties for non-compliance.  </w:t>
      </w:r>
      <w:r>
        <w:t xml:space="preserve">Consistent with recent NERC initiatives, the </w:t>
      </w:r>
      <w:r w:rsidR="00AC5273" w:rsidRPr="00AC5273">
        <w:t>Joint ISOs/RTOs</w:t>
      </w:r>
      <w:r w:rsidR="00AC5273">
        <w:t xml:space="preserve"> believe</w:t>
      </w:r>
      <w:r>
        <w:t xml:space="preserve"> that reliability standards should be focused on issues that have a direct relationship to </w:t>
      </w:r>
      <w:r w:rsidR="00D65961">
        <w:t>Bulk Electric System (“</w:t>
      </w:r>
      <w:r>
        <w:t>BES</w:t>
      </w:r>
      <w:r w:rsidR="00D65961">
        <w:t>”)</w:t>
      </w:r>
      <w:r>
        <w:t xml:space="preserve"> reliability</w:t>
      </w:r>
      <w:r w:rsidR="00FA0316">
        <w:t>.  A</w:t>
      </w:r>
      <w:r>
        <w:t xml:space="preserve">ccordingly, </w:t>
      </w:r>
      <w:r w:rsidR="00B842CE">
        <w:t xml:space="preserve">registered entities </w:t>
      </w:r>
      <w:r>
        <w:t xml:space="preserve">should only be subject to </w:t>
      </w:r>
      <w:r w:rsidR="005B6B7F">
        <w:t>potential</w:t>
      </w:r>
      <w:r>
        <w:t xml:space="preserve"> liability </w:t>
      </w:r>
      <w:r w:rsidR="005B6B7F">
        <w:t>for failure to comply with standards/requirements that</w:t>
      </w:r>
      <w:r w:rsidR="00F518F4">
        <w:t xml:space="preserve"> are consistent with Section 215 of the Federal Power Act</w:t>
      </w:r>
      <w:r w:rsidR="00FA0316">
        <w:t xml:space="preserve">.  Section 215 </w:t>
      </w:r>
      <w:r w:rsidR="00F518F4">
        <w:t>defines reliability standards in terms of requirements that</w:t>
      </w:r>
      <w:r w:rsidR="005B6B7F">
        <w:t xml:space="preserve"> </w:t>
      </w:r>
      <w:r w:rsidR="00546879">
        <w:t>“provide for reliable operation of the bulk-power system</w:t>
      </w:r>
      <w:r w:rsidR="00F77F5E">
        <w:t>,</w:t>
      </w:r>
      <w:r w:rsidR="00546879">
        <w:t>” which</w:t>
      </w:r>
      <w:r w:rsidR="004C6881">
        <w:t xml:space="preserve"> implicates real-time operational actions to respect applicable equipment operating limits to avoid prevent specific system conditions.</w:t>
      </w:r>
      <w:r w:rsidR="004C6881">
        <w:rPr>
          <w:rStyle w:val="FootnoteReference"/>
        </w:rPr>
        <w:footnoteReference w:id="2"/>
      </w:r>
      <w:r w:rsidR="005B6B7F">
        <w:t xml:space="preserve">  </w:t>
      </w:r>
    </w:p>
    <w:p w:rsidR="00BF2340" w:rsidRDefault="00B842CE" w:rsidP="00226BAD">
      <w:pPr>
        <w:spacing w:line="480" w:lineRule="auto"/>
        <w:ind w:firstLine="720"/>
      </w:pPr>
      <w:r>
        <w:t>E</w:t>
      </w:r>
      <w:r w:rsidR="00951FFA">
        <w:t>vent reporting</w:t>
      </w:r>
      <w:r w:rsidR="005B6B7F">
        <w:t xml:space="preserve"> is an </w:t>
      </w:r>
      <w:r w:rsidR="005B6B7F" w:rsidRPr="00FB3737">
        <w:rPr>
          <w:i/>
        </w:rPr>
        <w:t>ex-post</w:t>
      </w:r>
      <w:r w:rsidR="005B6B7F">
        <w:t xml:space="preserve"> activity that does not </w:t>
      </w:r>
      <w:r w:rsidR="00F518F4">
        <w:t xml:space="preserve">support reliable operation of the </w:t>
      </w:r>
      <w:r w:rsidR="00D65961">
        <w:t>Bulk Power System (“</w:t>
      </w:r>
      <w:r w:rsidR="00F518F4">
        <w:t>BPS</w:t>
      </w:r>
      <w:r w:rsidR="00D65961">
        <w:t>”)</w:t>
      </w:r>
      <w:r w:rsidR="00F518F4">
        <w:t>,</w:t>
      </w:r>
      <w:r w:rsidR="005B6B7F">
        <w:t xml:space="preserve"> and, therefore, should not be part of the reliability standards</w:t>
      </w:r>
      <w:r>
        <w:t>.  Incorporating this activity in the standards merely</w:t>
      </w:r>
      <w:r w:rsidR="005B6B7F">
        <w:t xml:space="preserve"> subjects registered entities to</w:t>
      </w:r>
      <w:r w:rsidR="00FB3737">
        <w:t xml:space="preserve"> potential</w:t>
      </w:r>
      <w:r w:rsidR="005B6B7F">
        <w:t xml:space="preserve"> </w:t>
      </w:r>
      <w:r w:rsidR="005B6B7F">
        <w:lastRenderedPageBreak/>
        <w:t xml:space="preserve">penalties with </w:t>
      </w:r>
      <w:r w:rsidR="005B6B7F" w:rsidRPr="00F518F4">
        <w:t>no reliability benefits</w:t>
      </w:r>
      <w:r w:rsidR="005B6B7F">
        <w:t xml:space="preserve">.  </w:t>
      </w:r>
      <w:r w:rsidR="00BF2340">
        <w:t xml:space="preserve">Because the </w:t>
      </w:r>
      <w:r w:rsidR="00AC5273" w:rsidRPr="00AC5273">
        <w:t>Joint ISOs/RTOs</w:t>
      </w:r>
      <w:r w:rsidR="00AC5273">
        <w:t>’</w:t>
      </w:r>
      <w:r w:rsidR="003B0965">
        <w:t xml:space="preserve"> member organizations will be </w:t>
      </w:r>
      <w:r w:rsidR="005B6B7F">
        <w:t xml:space="preserve">subject to </w:t>
      </w:r>
      <w:r>
        <w:t xml:space="preserve">this </w:t>
      </w:r>
      <w:r w:rsidR="005B6B7F">
        <w:t xml:space="preserve">unnecessary penalty exposure, they are </w:t>
      </w:r>
      <w:r w:rsidR="003B0965">
        <w:t xml:space="preserve">directly affected by </w:t>
      </w:r>
      <w:r w:rsidR="005B6B7F">
        <w:t>EOP-004-2.  Accordingly,</w:t>
      </w:r>
      <w:r w:rsidR="002A584E">
        <w:t xml:space="preserve"> the </w:t>
      </w:r>
      <w:r w:rsidR="00AC5273" w:rsidRPr="00AC5273">
        <w:t>Joint ISOs/RTOs</w:t>
      </w:r>
      <w:r w:rsidR="00AC5273">
        <w:t xml:space="preserve"> have</w:t>
      </w:r>
      <w:r w:rsidR="00BF2340">
        <w:t xml:space="preserve"> a direct and substantial interest in this proceeding that cannot be adequately represented by any other party.  </w:t>
      </w:r>
    </w:p>
    <w:p w:rsidR="006E48BA" w:rsidRDefault="00BF2340" w:rsidP="00226BAD">
      <w:pPr>
        <w:spacing w:line="480" w:lineRule="auto"/>
        <w:ind w:firstLine="720"/>
      </w:pPr>
      <w:r>
        <w:t xml:space="preserve">The </w:t>
      </w:r>
      <w:r w:rsidR="00AC5273" w:rsidRPr="00AC5273">
        <w:t>Joint ISOs/RTOs</w:t>
      </w:r>
      <w:r>
        <w:t xml:space="preserve"> did not previously intervene in this proceeding</w:t>
      </w:r>
      <w:r w:rsidR="005B6B7F">
        <w:t>, but t</w:t>
      </w:r>
      <w:r w:rsidR="003B0965">
        <w:t xml:space="preserve">he </w:t>
      </w:r>
      <w:r w:rsidR="00AC5273" w:rsidRPr="00AC5273">
        <w:t>Joint ISOs/RTOs</w:t>
      </w:r>
      <w:r w:rsidR="00AC5273">
        <w:t>’</w:t>
      </w:r>
      <w:r w:rsidR="002A584E">
        <w:t xml:space="preserve"> </w:t>
      </w:r>
      <w:r w:rsidR="00675F1C">
        <w:t xml:space="preserve">member organizations </w:t>
      </w:r>
      <w:r w:rsidR="002A584E">
        <w:t>did participate</w:t>
      </w:r>
      <w:r w:rsidR="003B0965">
        <w:t xml:space="preserve"> in the standards development process at NERC</w:t>
      </w:r>
      <w:r w:rsidR="00675F1C">
        <w:t xml:space="preserve"> and offered similar comments </w:t>
      </w:r>
      <w:r w:rsidR="006E48BA">
        <w:t xml:space="preserve">individually and </w:t>
      </w:r>
      <w:r w:rsidR="00713FF2">
        <w:t xml:space="preserve">through </w:t>
      </w:r>
      <w:r w:rsidR="00AC5273">
        <w:t>the</w:t>
      </w:r>
      <w:r w:rsidR="00675F1C">
        <w:t xml:space="preserve"> technical subcommittee </w:t>
      </w:r>
      <w:r w:rsidR="00AC5273">
        <w:t>of the ISO/RTO Council</w:t>
      </w:r>
      <w:r w:rsidR="006E48BA">
        <w:t>.  Additionally, it is noteworthy that</w:t>
      </w:r>
      <w:r w:rsidR="00D75565">
        <w:t xml:space="preserve"> </w:t>
      </w:r>
      <w:r w:rsidR="006E48BA">
        <w:t>certain</w:t>
      </w:r>
      <w:r w:rsidR="00713FF2">
        <w:t xml:space="preserve"> regional entities</w:t>
      </w:r>
      <w:r w:rsidR="004322AB">
        <w:t xml:space="preserve"> also filed similar </w:t>
      </w:r>
      <w:r w:rsidR="006E48BA">
        <w:t>comments on the proposed standard</w:t>
      </w:r>
      <w:r w:rsidR="00FB3737">
        <w:t>.</w:t>
      </w:r>
      <w:r w:rsidR="00AD7ACC">
        <w:rPr>
          <w:rStyle w:val="FootnoteReference"/>
        </w:rPr>
        <w:footnoteReference w:id="3"/>
      </w:r>
      <w:r w:rsidR="00713FF2">
        <w:t xml:space="preserve">  </w:t>
      </w:r>
    </w:p>
    <w:p w:rsidR="00AA1904" w:rsidRDefault="003B0965" w:rsidP="00226BAD">
      <w:pPr>
        <w:spacing w:line="480" w:lineRule="auto"/>
        <w:ind w:firstLine="720"/>
      </w:pPr>
      <w:r>
        <w:t xml:space="preserve">EOP-004-2 was adopted by the NERC Board of trustees on November 7, 2012 and filed with FERC on December 31, 2012.  It was </w:t>
      </w:r>
      <w:r w:rsidR="00FC6FC9">
        <w:t xml:space="preserve">noticed by the Commission, </w:t>
      </w:r>
      <w:r>
        <w:t>with motions to intervene, comments and protests d</w:t>
      </w:r>
      <w:r w:rsidR="00EB6B1E">
        <w:t>ue on or before January 30, 2013</w:t>
      </w:r>
      <w:r>
        <w:t xml:space="preserve">.  </w:t>
      </w:r>
      <w:r w:rsidR="002A584E">
        <w:t xml:space="preserve">After the comment period had closed, </w:t>
      </w:r>
      <w:r w:rsidR="000E01DC">
        <w:t xml:space="preserve">the </w:t>
      </w:r>
      <w:r w:rsidR="00AC5273" w:rsidRPr="00AC5273">
        <w:t>Joint ISOs/RTOs</w:t>
      </w:r>
      <w:r w:rsidR="000E01DC">
        <w:t xml:space="preserve"> learned that a N</w:t>
      </w:r>
      <w:r w:rsidR="004322AB">
        <w:t>otice of Proposed Rule Making (“N</w:t>
      </w:r>
      <w:r w:rsidR="000E01DC">
        <w:t>OPR</w:t>
      </w:r>
      <w:r w:rsidR="004322AB">
        <w:t xml:space="preserve">”) </w:t>
      </w:r>
      <w:r w:rsidR="000E01DC">
        <w:t xml:space="preserve">would not be issued </w:t>
      </w:r>
      <w:r w:rsidR="002A584E">
        <w:t>in</w:t>
      </w:r>
      <w:r w:rsidR="000E01DC">
        <w:t xml:space="preserve"> this docket</w:t>
      </w:r>
      <w:r w:rsidR="002A584E">
        <w:t xml:space="preserve"> and that </w:t>
      </w:r>
      <w:r w:rsidR="00675F1C">
        <w:t xml:space="preserve">there </w:t>
      </w:r>
      <w:r w:rsidR="002A584E">
        <w:t xml:space="preserve">would be no further opportunity to </w:t>
      </w:r>
      <w:r w:rsidR="00675F1C">
        <w:t>comment</w:t>
      </w:r>
      <w:r w:rsidR="000E01DC">
        <w:t xml:space="preserve">.  </w:t>
      </w:r>
    </w:p>
    <w:p w:rsidR="00B410A0" w:rsidRDefault="000E01DC" w:rsidP="00B410A0">
      <w:pPr>
        <w:spacing w:line="480" w:lineRule="auto"/>
        <w:ind w:firstLine="720"/>
      </w:pPr>
      <w:r>
        <w:t xml:space="preserve">The </w:t>
      </w:r>
      <w:r w:rsidR="00AC5273" w:rsidRPr="00AC5273">
        <w:t>Joint ISOs/RTOs</w:t>
      </w:r>
      <w:r w:rsidR="00AC5273">
        <w:t xml:space="preserve"> respectfully submit</w:t>
      </w:r>
      <w:r>
        <w:t xml:space="preserve"> </w:t>
      </w:r>
      <w:r w:rsidR="00AC5273">
        <w:t>their</w:t>
      </w:r>
      <w:r>
        <w:t xml:space="preserve"> late comments for the Commission’s consideration.  </w:t>
      </w:r>
      <w:r w:rsidR="007208B4">
        <w:t xml:space="preserve">The </w:t>
      </w:r>
      <w:r w:rsidR="007208B4" w:rsidRPr="00AC5273">
        <w:t>Joint</w:t>
      </w:r>
      <w:r w:rsidR="00AC5273" w:rsidRPr="00AC5273">
        <w:t xml:space="preserve"> ISOs/RTOs</w:t>
      </w:r>
      <w:r w:rsidR="00BF2340">
        <w:t xml:space="preserve"> untimely intervention </w:t>
      </w:r>
      <w:r w:rsidR="006F1638">
        <w:t>does not prejudice NERC because similar comments were raised by the ISOs and RTOs during the s</w:t>
      </w:r>
      <w:r w:rsidR="004322AB">
        <w:t xml:space="preserve">tandards drafting process.  </w:t>
      </w:r>
      <w:r w:rsidR="00FC6FC9">
        <w:t>Similarly, t</w:t>
      </w:r>
      <w:r w:rsidR="006F1638">
        <w:t>his intervention and comments</w:t>
      </w:r>
      <w:r w:rsidR="00BF2340">
        <w:t xml:space="preserve"> </w:t>
      </w:r>
      <w:r w:rsidR="00DA609A">
        <w:t xml:space="preserve">will </w:t>
      </w:r>
      <w:r w:rsidR="004322AB">
        <w:t xml:space="preserve">neither </w:t>
      </w:r>
      <w:r w:rsidR="00BF2340">
        <w:t xml:space="preserve">prejudice any other party </w:t>
      </w:r>
      <w:r w:rsidR="004322AB">
        <w:t>n</w:t>
      </w:r>
      <w:r w:rsidR="006F1638">
        <w:t xml:space="preserve">or </w:t>
      </w:r>
      <w:r w:rsidR="00BF2340">
        <w:t xml:space="preserve">otherwise disrupt this proceeding.  </w:t>
      </w:r>
      <w:r w:rsidR="000512DF">
        <w:t>The</w:t>
      </w:r>
      <w:r w:rsidR="00BF2340">
        <w:t xml:space="preserve"> Commission has not yet issued a dispositive order on </w:t>
      </w:r>
      <w:r>
        <w:t>NERC</w:t>
      </w:r>
      <w:r w:rsidR="00BF2340">
        <w:t xml:space="preserve">’s </w:t>
      </w:r>
      <w:r w:rsidR="00F518F4">
        <w:t>filing.</w:t>
      </w:r>
      <w:r w:rsidR="002150EF">
        <w:t xml:space="preserve">  As</w:t>
      </w:r>
      <w:r w:rsidR="000512DF">
        <w:t xml:space="preserve"> such, </w:t>
      </w:r>
      <w:r w:rsidR="000512DF" w:rsidRPr="000512DF">
        <w:t xml:space="preserve">there </w:t>
      </w:r>
      <w:r w:rsidR="000512DF">
        <w:t xml:space="preserve">is </w:t>
      </w:r>
      <w:r w:rsidR="000512DF" w:rsidRPr="000512DF">
        <w:t>time for the Commission</w:t>
      </w:r>
      <w:r w:rsidR="000512DF">
        <w:t xml:space="preserve"> to consider these comments, which the </w:t>
      </w:r>
      <w:r w:rsidR="00AC5273" w:rsidRPr="00AC5273">
        <w:t xml:space="preserve">Joint </w:t>
      </w:r>
      <w:r w:rsidR="00AC5273" w:rsidRPr="00AC5273">
        <w:lastRenderedPageBreak/>
        <w:t>ISOs/RTOs</w:t>
      </w:r>
      <w:r w:rsidR="00AC5273">
        <w:t xml:space="preserve"> submit</w:t>
      </w:r>
      <w:r w:rsidR="000512DF">
        <w:t xml:space="preserve"> will assist the Commission in taking appropriate action on the petition</w:t>
      </w:r>
      <w:r w:rsidR="000512DF" w:rsidRPr="000512DF">
        <w:t xml:space="preserve">. </w:t>
      </w:r>
      <w:r w:rsidR="000512DF">
        <w:t xml:space="preserve">  </w:t>
      </w:r>
      <w:r w:rsidR="00BF2340">
        <w:t xml:space="preserve">Accordingly, the Commission should grant the </w:t>
      </w:r>
      <w:r w:rsidR="00AC5273" w:rsidRPr="00AC5273">
        <w:t>Joint ISOs/RTOs</w:t>
      </w:r>
      <w:r w:rsidR="00BF2340">
        <w:t xml:space="preserve"> motion to intervene out of time and grant it all the rights of a party</w:t>
      </w:r>
      <w:r w:rsidR="006F1638">
        <w:t>.</w:t>
      </w:r>
    </w:p>
    <w:p w:rsidR="005B6B7F" w:rsidRDefault="00BF2340" w:rsidP="008E62B0">
      <w:pPr>
        <w:spacing w:before="120" w:line="480" w:lineRule="auto"/>
        <w:rPr>
          <w:b/>
          <w:u w:val="single"/>
        </w:rPr>
      </w:pPr>
      <w:r w:rsidRPr="00E64DCF">
        <w:rPr>
          <w:b/>
        </w:rPr>
        <w:t>III</w:t>
      </w:r>
      <w:r w:rsidR="00492ACF" w:rsidRPr="00E64DCF">
        <w:rPr>
          <w:b/>
        </w:rPr>
        <w:t>.</w:t>
      </w:r>
      <w:r w:rsidR="00492ACF" w:rsidRPr="00E64DCF">
        <w:rPr>
          <w:b/>
        </w:rPr>
        <w:tab/>
      </w:r>
      <w:r w:rsidR="00492ACF" w:rsidRPr="00594D32">
        <w:rPr>
          <w:b/>
          <w:u w:val="single"/>
        </w:rPr>
        <w:t>Comments</w:t>
      </w:r>
    </w:p>
    <w:p w:rsidR="00AA1904" w:rsidRDefault="00AA1904" w:rsidP="00F518F4">
      <w:pPr>
        <w:numPr>
          <w:ilvl w:val="0"/>
          <w:numId w:val="9"/>
        </w:numPr>
        <w:rPr>
          <w:i/>
          <w:u w:val="single"/>
        </w:rPr>
      </w:pPr>
      <w:r>
        <w:rPr>
          <w:i/>
          <w:u w:val="single"/>
        </w:rPr>
        <w:t xml:space="preserve">Event Reporting Does Not </w:t>
      </w:r>
      <w:r w:rsidR="00FB4011">
        <w:rPr>
          <w:i/>
          <w:u w:val="single"/>
        </w:rPr>
        <w:t>Provide for “</w:t>
      </w:r>
      <w:r w:rsidR="00F518F4">
        <w:rPr>
          <w:i/>
          <w:u w:val="single"/>
        </w:rPr>
        <w:t>Reliable</w:t>
      </w:r>
      <w:r w:rsidR="004362C1">
        <w:rPr>
          <w:i/>
          <w:u w:val="single"/>
        </w:rPr>
        <w:t xml:space="preserve"> Operations”</w:t>
      </w:r>
      <w:r>
        <w:rPr>
          <w:i/>
          <w:u w:val="single"/>
        </w:rPr>
        <w:t xml:space="preserve"> and Should Not be Incorporated in the Reliability Standards.</w:t>
      </w:r>
    </w:p>
    <w:p w:rsidR="00F518F4" w:rsidRPr="00F518F4" w:rsidRDefault="00F518F4" w:rsidP="00F518F4">
      <w:pPr>
        <w:ind w:left="720"/>
        <w:rPr>
          <w:i/>
          <w:u w:val="single"/>
        </w:rPr>
      </w:pPr>
    </w:p>
    <w:p w:rsidR="00777F62" w:rsidRPr="00AC5273" w:rsidRDefault="00777F62" w:rsidP="00F518F4">
      <w:pPr>
        <w:numPr>
          <w:ilvl w:val="0"/>
          <w:numId w:val="11"/>
        </w:numPr>
        <w:rPr>
          <w:i/>
        </w:rPr>
      </w:pPr>
      <w:r w:rsidRPr="00AC5273">
        <w:rPr>
          <w:i/>
        </w:rPr>
        <w:t xml:space="preserve">The Reliability Value of Event Reporting is Prospective and </w:t>
      </w:r>
      <w:r w:rsidR="004362C1" w:rsidRPr="00AC5273">
        <w:rPr>
          <w:i/>
        </w:rPr>
        <w:t>is not Directly Related to</w:t>
      </w:r>
      <w:r w:rsidR="00FF4F58">
        <w:rPr>
          <w:i/>
        </w:rPr>
        <w:t xml:space="preserve"> and/or Support</w:t>
      </w:r>
      <w:r w:rsidR="004362C1" w:rsidRPr="00AC5273">
        <w:rPr>
          <w:i/>
        </w:rPr>
        <w:t xml:space="preserve"> “Reliable Operations” </w:t>
      </w:r>
    </w:p>
    <w:p w:rsidR="00777F62" w:rsidRPr="001408F8" w:rsidRDefault="00777F62" w:rsidP="00F518F4">
      <w:pPr>
        <w:ind w:left="1440"/>
        <w:rPr>
          <w:i/>
          <w:u w:val="single"/>
        </w:rPr>
      </w:pPr>
    </w:p>
    <w:p w:rsidR="00F518F4" w:rsidRDefault="00AA1904" w:rsidP="007208B4">
      <w:pPr>
        <w:spacing w:line="480" w:lineRule="auto"/>
        <w:ind w:firstLine="720"/>
      </w:pPr>
      <w:r>
        <w:t xml:space="preserve">The </w:t>
      </w:r>
      <w:r w:rsidR="00AC5273" w:rsidRPr="00AC5273">
        <w:t>Joint ISOs/RTOs</w:t>
      </w:r>
      <w:r w:rsidR="00AC5273">
        <w:t xml:space="preserve"> appreciate</w:t>
      </w:r>
      <w:r>
        <w:t xml:space="preserve"> the value of event reporting and analysis and, therefore, commend NERC and the Commission for their efforts to facilitate system reliability via event reporting and critical review</w:t>
      </w:r>
      <w:r w:rsidR="002150EF">
        <w:t xml:space="preserve"> of</w:t>
      </w:r>
      <w:r>
        <w:t xml:space="preserve"> system events as a means to</w:t>
      </w:r>
      <w:r w:rsidR="00FF4F58">
        <w:t xml:space="preserve"> prospectively</w:t>
      </w:r>
      <w:r>
        <w:t xml:space="preserve"> improve </w:t>
      </w:r>
      <w:r w:rsidR="00FF4F58">
        <w:t xml:space="preserve">existing </w:t>
      </w:r>
      <w:r>
        <w:t>operational and planning rules, practices and procedures</w:t>
      </w:r>
      <w:r w:rsidR="00FF4F58">
        <w:t xml:space="preserve"> – </w:t>
      </w:r>
      <w:r w:rsidR="00FF4F58" w:rsidRPr="00FB3737">
        <w:rPr>
          <w:i/>
        </w:rPr>
        <w:t>i.e.</w:t>
      </w:r>
      <w:r w:rsidR="00FB3737">
        <w:rPr>
          <w:i/>
        </w:rPr>
        <w:t>,</w:t>
      </w:r>
      <w:r w:rsidR="00FF4F58">
        <w:t xml:space="preserve"> those functional actions that do support reliable operations</w:t>
      </w:r>
      <w:r>
        <w:t xml:space="preserve">.  </w:t>
      </w:r>
    </w:p>
    <w:p w:rsidR="00D43C19" w:rsidRDefault="00AA1904" w:rsidP="007208B4">
      <w:pPr>
        <w:spacing w:line="480" w:lineRule="auto"/>
        <w:ind w:firstLine="720"/>
      </w:pPr>
      <w:r>
        <w:t xml:space="preserve">However, with respect to matters that should be addressed in reliability standards, it is important to </w:t>
      </w:r>
      <w:r w:rsidR="00FF4F58">
        <w:t>distinguish</w:t>
      </w:r>
      <w:r>
        <w:t xml:space="preserve"> between </w:t>
      </w:r>
      <w:r w:rsidR="00E25F5E">
        <w:t xml:space="preserve">an </w:t>
      </w:r>
      <w:r w:rsidR="000F1CB5">
        <w:t xml:space="preserve">obligation that </w:t>
      </w:r>
      <w:r w:rsidR="00E25F5E">
        <w:t>is a “requirement… to provide for reliable operation of the bulk-power system</w:t>
      </w:r>
      <w:r w:rsidR="00F77F5E">
        <w:t>,</w:t>
      </w:r>
      <w:r w:rsidR="00E25F5E">
        <w:t>” as those terms are defined in Section 215</w:t>
      </w:r>
      <w:r w:rsidR="00B410A0">
        <w:t>,</w:t>
      </w:r>
      <w:r w:rsidR="00E25F5E">
        <w:t xml:space="preserve"> </w:t>
      </w:r>
      <w:r w:rsidR="000F1CB5">
        <w:t xml:space="preserve">and those </w:t>
      </w:r>
      <w:r w:rsidR="00E25F5E">
        <w:t xml:space="preserve">obligations </w:t>
      </w:r>
      <w:r w:rsidR="000F1CB5">
        <w:t xml:space="preserve">that do not, such as administrative </w:t>
      </w:r>
      <w:r w:rsidR="00E25F5E">
        <w:t xml:space="preserve">record-keeping </w:t>
      </w:r>
      <w:r w:rsidR="000F1CB5">
        <w:t>and ex-post reporting</w:t>
      </w:r>
      <w:r w:rsidR="00E25F5E">
        <w:t xml:space="preserve"> tasks</w:t>
      </w:r>
      <w:r w:rsidR="000F1CB5">
        <w:t>.  The former are candidates for inclusion in standards</w:t>
      </w:r>
      <w:r w:rsidR="00D43C19">
        <w:t>,</w:t>
      </w:r>
      <w:r w:rsidR="000F1CB5">
        <w:t xml:space="preserve"> while the latter </w:t>
      </w:r>
      <w:r w:rsidR="00D43C19">
        <w:t>are not</w:t>
      </w:r>
      <w:r w:rsidR="002150EF">
        <w:t xml:space="preserve"> and</w:t>
      </w:r>
      <w:r w:rsidR="00D43C19">
        <w:t xml:space="preserve"> should not be included in </w:t>
      </w:r>
      <w:r w:rsidR="002150EF">
        <w:t xml:space="preserve">reliability </w:t>
      </w:r>
      <w:r w:rsidR="00D43C19">
        <w:t>standards, which should focus on actionable obligations that affect reliability</w:t>
      </w:r>
      <w:r w:rsidR="000F1CB5">
        <w:t>.</w:t>
      </w:r>
      <w:r w:rsidR="00E25F5E">
        <w:t xml:space="preserve">  </w:t>
      </w:r>
      <w:r w:rsidR="00E25F5E" w:rsidRPr="00E25F5E">
        <w:t>As the Commission recognized in its FFT Order, “some current requirements likely provide little protection for Bulk-Power System reliability or may be redundant.”</w:t>
      </w:r>
      <w:r w:rsidR="00F518F4">
        <w:rPr>
          <w:rStyle w:val="FootnoteReference"/>
        </w:rPr>
        <w:footnoteReference w:id="4"/>
      </w:r>
      <w:r w:rsidR="00E25F5E" w:rsidRPr="00E25F5E">
        <w:t xml:space="preserve">  </w:t>
      </w:r>
    </w:p>
    <w:p w:rsidR="000F1CB5" w:rsidRDefault="000F1CB5" w:rsidP="007208B4">
      <w:pPr>
        <w:spacing w:line="480" w:lineRule="auto"/>
        <w:ind w:firstLine="720"/>
      </w:pPr>
      <w:r>
        <w:lastRenderedPageBreak/>
        <w:t>Event reporting falls into the category</w:t>
      </w:r>
      <w:r w:rsidR="00E25F5E">
        <w:t xml:space="preserve"> of requirements that provide little protection and, in this case, </w:t>
      </w:r>
      <w:r w:rsidR="00FB3737">
        <w:t xml:space="preserve">is </w:t>
      </w:r>
      <w:r w:rsidR="00E25F5E">
        <w:t xml:space="preserve">redundant to other federal regulations and NERC programs.  </w:t>
      </w:r>
      <w:r w:rsidR="00D43C19">
        <w:t xml:space="preserve">Establishing reporting obligations in the NERC standards </w:t>
      </w:r>
      <w:r w:rsidR="00053064">
        <w:t xml:space="preserve">that carry penalties </w:t>
      </w:r>
      <w:r>
        <w:t>only serve</w:t>
      </w:r>
      <w:r w:rsidR="00D43C19">
        <w:t>s</w:t>
      </w:r>
      <w:r>
        <w:t xml:space="preserve"> to expose registered entities to </w:t>
      </w:r>
      <w:r w:rsidR="00E25F5E">
        <w:t xml:space="preserve">unnecessary </w:t>
      </w:r>
      <w:r>
        <w:t>liability</w:t>
      </w:r>
      <w:r w:rsidR="00E25F5E">
        <w:t xml:space="preserve">, potentially burden operating personnel during critical system events, and </w:t>
      </w:r>
      <w:r w:rsidR="00053064">
        <w:t>would burden</w:t>
      </w:r>
      <w:r w:rsidR="00E25F5E">
        <w:t xml:space="preserve"> enforcement and monitoring resources,</w:t>
      </w:r>
      <w:r>
        <w:t xml:space="preserve"> with</w:t>
      </w:r>
      <w:r w:rsidR="00D43C19">
        <w:t xml:space="preserve">out </w:t>
      </w:r>
      <w:r w:rsidR="00E25F5E">
        <w:t xml:space="preserve">a </w:t>
      </w:r>
      <w:r>
        <w:t>corre</w:t>
      </w:r>
      <w:r w:rsidR="00B410A0">
        <w:t xml:space="preserve">sponding reliability benefit.  </w:t>
      </w:r>
      <w:r w:rsidR="00FF4F58">
        <w:t>M</w:t>
      </w:r>
      <w:r w:rsidR="0030613B">
        <w:t xml:space="preserve">itigation of </w:t>
      </w:r>
      <w:r>
        <w:t xml:space="preserve">BES events comes from the operational actions of functional entities pursuant to </w:t>
      </w:r>
      <w:r w:rsidR="0030613B">
        <w:t xml:space="preserve">execution of their duties </w:t>
      </w:r>
      <w:r w:rsidR="00777F62">
        <w:t>under</w:t>
      </w:r>
      <w:r>
        <w:t xml:space="preserve"> applicable rules and procedures</w:t>
      </w:r>
      <w:r w:rsidR="0030613B">
        <w:t xml:space="preserve"> (</w:t>
      </w:r>
      <w:r w:rsidR="0030613B" w:rsidRPr="001408F8">
        <w:rPr>
          <w:i/>
        </w:rPr>
        <w:t>e.g</w:t>
      </w:r>
      <w:r w:rsidR="0030613B">
        <w:t>.</w:t>
      </w:r>
      <w:r w:rsidR="00885B2B">
        <w:t>,</w:t>
      </w:r>
      <w:r w:rsidR="0030613B">
        <w:t xml:space="preserve"> NERC standards</w:t>
      </w:r>
      <w:r w:rsidR="005B48AB">
        <w:t xml:space="preserve">, </w:t>
      </w:r>
      <w:r w:rsidR="0030613B">
        <w:t>relevant regional rules</w:t>
      </w:r>
      <w:r w:rsidR="005B48AB">
        <w:t xml:space="preserve"> and Tariffs</w:t>
      </w:r>
      <w:r w:rsidR="0030613B">
        <w:t>)</w:t>
      </w:r>
      <w:r>
        <w:t xml:space="preserve"> – it does not come from </w:t>
      </w:r>
      <w:r w:rsidR="0030613B">
        <w:t>event reporting</w:t>
      </w:r>
      <w:r>
        <w:t xml:space="preserve"> or event analysis.  </w:t>
      </w:r>
    </w:p>
    <w:p w:rsidR="00B410A0" w:rsidRDefault="000F1CB5" w:rsidP="007208B4">
      <w:pPr>
        <w:spacing w:line="480" w:lineRule="auto"/>
        <w:ind w:firstLine="720"/>
      </w:pPr>
      <w:r>
        <w:t xml:space="preserve">This is not to say that event reporting and analysis </w:t>
      </w:r>
      <w:r w:rsidR="009F33C1">
        <w:t xml:space="preserve">is not </w:t>
      </w:r>
      <w:r w:rsidR="00E25F5E">
        <w:t xml:space="preserve">important or </w:t>
      </w:r>
      <w:r w:rsidR="009F33C1">
        <w:t xml:space="preserve">worthwhile.  To the contrary, it offers interested </w:t>
      </w:r>
      <w:r w:rsidR="00E25F5E">
        <w:t xml:space="preserve">industry and governmental entities </w:t>
      </w:r>
      <w:r w:rsidR="009F33C1">
        <w:t xml:space="preserve">the opportunity to improve existing operational and planning rules based on the information developed in reviewing </w:t>
      </w:r>
      <w:r w:rsidR="00777F62">
        <w:t xml:space="preserve">system events.  This </w:t>
      </w:r>
      <w:r w:rsidR="006E6A02" w:rsidRPr="006E6A02">
        <w:rPr>
          <w:i/>
        </w:rPr>
        <w:t>ex post</w:t>
      </w:r>
      <w:r w:rsidR="00777F62">
        <w:t xml:space="preserve"> activity facilitates</w:t>
      </w:r>
      <w:r w:rsidR="00D779C8" w:rsidRPr="00D779C8">
        <w:t xml:space="preserve"> a reliable electric grid by informing</w:t>
      </w:r>
      <w:r w:rsidR="008B33D5">
        <w:t xml:space="preserve"> </w:t>
      </w:r>
      <w:r w:rsidR="00D779C8" w:rsidRPr="00D779C8">
        <w:t xml:space="preserve">prospective actions related to </w:t>
      </w:r>
      <w:r w:rsidR="00777F62">
        <w:t>future proposals to enhance system reliability</w:t>
      </w:r>
      <w:r w:rsidR="00D779C8">
        <w:t xml:space="preserve">.  </w:t>
      </w:r>
      <w:r w:rsidR="009F33C1">
        <w:t xml:space="preserve">However, </w:t>
      </w:r>
      <w:r w:rsidR="00777F62">
        <w:t xml:space="preserve">because </w:t>
      </w:r>
      <w:r w:rsidR="009F33C1">
        <w:t xml:space="preserve">this is an </w:t>
      </w:r>
      <w:r w:rsidR="009F33C1" w:rsidRPr="00FB3737">
        <w:rPr>
          <w:i/>
        </w:rPr>
        <w:t>ex</w:t>
      </w:r>
      <w:r w:rsidR="00FB3737" w:rsidRPr="00FB3737">
        <w:rPr>
          <w:i/>
        </w:rPr>
        <w:t xml:space="preserve"> </w:t>
      </w:r>
      <w:r w:rsidR="009F33C1" w:rsidRPr="00FB3737">
        <w:rPr>
          <w:i/>
        </w:rPr>
        <w:t>post</w:t>
      </w:r>
      <w:r w:rsidR="009F33C1">
        <w:t xml:space="preserve"> activity</w:t>
      </w:r>
      <w:r w:rsidR="00FB3737">
        <w:t>,</w:t>
      </w:r>
      <w:r w:rsidR="002D6A27">
        <w:t xml:space="preserve"> </w:t>
      </w:r>
      <w:r w:rsidR="009F33C1">
        <w:t>the</w:t>
      </w:r>
      <w:r w:rsidR="005B6B7F" w:rsidRPr="009F33C1">
        <w:t xml:space="preserve"> reliability benefits are prospective in nature</w:t>
      </w:r>
      <w:r w:rsidR="00777F62">
        <w:t>,</w:t>
      </w:r>
      <w:r w:rsidR="005B6B7F" w:rsidRPr="009F33C1">
        <w:t xml:space="preserve"> and are related to </w:t>
      </w:r>
      <w:r w:rsidR="009F33C1">
        <w:t xml:space="preserve">analyzing </w:t>
      </w:r>
      <w:r w:rsidR="005B6B7F" w:rsidRPr="009F33C1">
        <w:t xml:space="preserve">how </w:t>
      </w:r>
      <w:r w:rsidR="009F33C1">
        <w:t>the</w:t>
      </w:r>
      <w:r w:rsidR="005B6B7F" w:rsidRPr="009F33C1">
        <w:t xml:space="preserve"> information </w:t>
      </w:r>
      <w:r w:rsidR="009F33C1">
        <w:t xml:space="preserve">developed in </w:t>
      </w:r>
      <w:r w:rsidR="0030613B">
        <w:t>the</w:t>
      </w:r>
      <w:r w:rsidR="009F33C1">
        <w:t xml:space="preserve"> analysis </w:t>
      </w:r>
      <w:r w:rsidR="005B6B7F" w:rsidRPr="009F33C1">
        <w:t xml:space="preserve">can </w:t>
      </w:r>
      <w:r w:rsidR="009F33C1">
        <w:t>inform</w:t>
      </w:r>
      <w:r w:rsidR="005B6B7F" w:rsidRPr="009F33C1">
        <w:t xml:space="preserve"> future reliability </w:t>
      </w:r>
      <w:r w:rsidR="009F33C1">
        <w:t>discussions and</w:t>
      </w:r>
      <w:r w:rsidR="005B6B7F" w:rsidRPr="009F33C1">
        <w:t xml:space="preserve"> initiatives</w:t>
      </w:r>
      <w:r w:rsidR="009F33C1">
        <w:t>,</w:t>
      </w:r>
      <w:r w:rsidR="005B6B7F" w:rsidRPr="009F33C1">
        <w:t xml:space="preserve"> such as standards development, best practices and lessons learned.</w:t>
      </w:r>
      <w:r w:rsidR="00B410A0">
        <w:t xml:space="preserve">  T</w:t>
      </w:r>
      <w:r w:rsidR="00D43C19">
        <w:t xml:space="preserve">he </w:t>
      </w:r>
      <w:r w:rsidR="005B48AB">
        <w:t xml:space="preserve">actual </w:t>
      </w:r>
      <w:r w:rsidR="00D43C19">
        <w:t>reliability value</w:t>
      </w:r>
      <w:r w:rsidR="00B410A0">
        <w:t xml:space="preserve"> of these efforts</w:t>
      </w:r>
      <w:r w:rsidR="00D43C19">
        <w:t xml:space="preserve"> is </w:t>
      </w:r>
      <w:r w:rsidR="005B48AB">
        <w:t>clear only after</w:t>
      </w:r>
      <w:r w:rsidR="00D43C19">
        <w:t xml:space="preserve"> </w:t>
      </w:r>
      <w:r w:rsidR="00530B92">
        <w:t>they</w:t>
      </w:r>
      <w:r w:rsidR="00D43C19">
        <w:t xml:space="preserve"> result in a concrete proposal </w:t>
      </w:r>
      <w:r w:rsidR="0030613B">
        <w:t>that is formally implemented</w:t>
      </w:r>
      <w:r w:rsidR="00D43C19">
        <w:t xml:space="preserve">. </w:t>
      </w:r>
      <w:r w:rsidR="00E25F5E">
        <w:t xml:space="preserve"> </w:t>
      </w:r>
    </w:p>
    <w:p w:rsidR="00777F62" w:rsidRDefault="00777F62" w:rsidP="00B410A0">
      <w:pPr>
        <w:numPr>
          <w:ilvl w:val="0"/>
          <w:numId w:val="11"/>
        </w:numPr>
        <w:rPr>
          <w:i/>
        </w:rPr>
      </w:pPr>
      <w:r w:rsidRPr="00B410A0">
        <w:rPr>
          <w:i/>
        </w:rPr>
        <w:lastRenderedPageBreak/>
        <w:t>Event Reporting Should be Addressed in Other Forums Outside of the Reliability Standards</w:t>
      </w:r>
    </w:p>
    <w:p w:rsidR="00777F62" w:rsidRPr="00B410A0" w:rsidRDefault="00777F62" w:rsidP="00B410A0">
      <w:pPr>
        <w:ind w:left="1440"/>
        <w:rPr>
          <w:i/>
        </w:rPr>
      </w:pPr>
    </w:p>
    <w:p w:rsidR="00777F62" w:rsidRDefault="0030613B" w:rsidP="007208B4">
      <w:pPr>
        <w:spacing w:line="480" w:lineRule="auto"/>
        <w:ind w:firstLine="720"/>
      </w:pPr>
      <w:r w:rsidRPr="0030613B">
        <w:t>There are several alternative means of realizing the value of event reporting and analysis, such as the NERC Event Analysis Program and the DOE reporting program.</w:t>
      </w:r>
      <w:r w:rsidR="006A1385">
        <w:rPr>
          <w:rStyle w:val="FootnoteReference"/>
        </w:rPr>
        <w:footnoteReference w:id="5"/>
      </w:r>
      <w:r w:rsidRPr="0030613B">
        <w:t xml:space="preserve">  Because these programs are based on after</w:t>
      </w:r>
      <w:r w:rsidR="00FB3737">
        <w:t>-</w:t>
      </w:r>
      <w:r w:rsidRPr="0030613B">
        <w:t>the</w:t>
      </w:r>
      <w:r w:rsidR="00FB3737">
        <w:t>-</w:t>
      </w:r>
      <w:r w:rsidRPr="0030613B">
        <w:t>fact analysis</w:t>
      </w:r>
      <w:r>
        <w:t xml:space="preserve"> that does not </w:t>
      </w:r>
      <w:r w:rsidR="00FB3737">
        <w:t>needlessly</w:t>
      </w:r>
      <w:r>
        <w:t xml:space="preserve"> subject registered entities</w:t>
      </w:r>
      <w:r w:rsidRPr="0030613B">
        <w:t xml:space="preserve"> </w:t>
      </w:r>
      <w:r>
        <w:t>to liability</w:t>
      </w:r>
      <w:r w:rsidR="005B48AB">
        <w:t>,</w:t>
      </w:r>
      <w:r>
        <w:t xml:space="preserve"> </w:t>
      </w:r>
      <w:r w:rsidRPr="0030613B">
        <w:t>they are better suited to add</w:t>
      </w:r>
      <w:r w:rsidR="00D779C8">
        <w:t xml:space="preserve">ress and manage event reporting.  </w:t>
      </w:r>
    </w:p>
    <w:p w:rsidR="00CA0B25" w:rsidRDefault="00D779C8" w:rsidP="007208B4">
      <w:pPr>
        <w:spacing w:line="480" w:lineRule="auto"/>
        <w:ind w:firstLine="720"/>
      </w:pPr>
      <w:r>
        <w:t>T</w:t>
      </w:r>
      <w:r w:rsidRPr="00D779C8">
        <w:t xml:space="preserve">he </w:t>
      </w:r>
      <w:r w:rsidR="00AC5273" w:rsidRPr="00AC5273">
        <w:t>Joint ISOs/RTOs</w:t>
      </w:r>
      <w:r w:rsidR="00AC5273">
        <w:t xml:space="preserve"> are </w:t>
      </w:r>
      <w:r w:rsidRPr="00D779C8">
        <w:t xml:space="preserve">committed to providing </w:t>
      </w:r>
      <w:r>
        <w:t xml:space="preserve">all </w:t>
      </w:r>
      <w:r w:rsidRPr="00D779C8">
        <w:t xml:space="preserve">relevant system operations data </w:t>
      </w:r>
      <w:r>
        <w:t>in these forums</w:t>
      </w:r>
      <w:r w:rsidRPr="00D779C8">
        <w:t xml:space="preserve"> and </w:t>
      </w:r>
      <w:r w:rsidR="00530B92">
        <w:t>are</w:t>
      </w:r>
      <w:r w:rsidR="00530B92" w:rsidRPr="00D779C8">
        <w:t xml:space="preserve"> </w:t>
      </w:r>
      <w:r w:rsidRPr="00D779C8">
        <w:t xml:space="preserve">active in </w:t>
      </w:r>
      <w:r>
        <w:t>these</w:t>
      </w:r>
      <w:r w:rsidRPr="00D779C8">
        <w:t xml:space="preserve"> programs, </w:t>
      </w:r>
      <w:r>
        <w:t>particularly</w:t>
      </w:r>
      <w:r w:rsidRPr="00D779C8">
        <w:t xml:space="preserve"> NERC’s Event Analysis program. </w:t>
      </w:r>
      <w:r w:rsidR="006A1385">
        <w:t xml:space="preserve">  The NERC Operating Committee Event Analysis Program already receives and analyzes the same data and information required to be reported under the proposed EOP-004-2.  That environment lends itself to the “collaborative approach in which registered entities, Regional Entities and NERC work together to achieve a common goal”</w:t>
      </w:r>
      <w:r w:rsidR="00776600">
        <w:rPr>
          <w:rStyle w:val="FootnoteReference"/>
        </w:rPr>
        <w:footnoteReference w:id="6"/>
      </w:r>
      <w:r w:rsidR="00776600">
        <w:t xml:space="preserve"> </w:t>
      </w:r>
      <w:r w:rsidR="006A1385">
        <w:t xml:space="preserve">that NERC seeks and further allows all entities the time necessary to fully gather and assimilate all necessary data.    </w:t>
      </w:r>
    </w:p>
    <w:p w:rsidR="00D43C19" w:rsidRDefault="006A1385" w:rsidP="007208B4">
      <w:pPr>
        <w:spacing w:line="480" w:lineRule="auto"/>
        <w:ind w:firstLine="720"/>
      </w:pPr>
      <w:r>
        <w:t>The unnecessary compliance and enforcement risk</w:t>
      </w:r>
      <w:r w:rsidR="00FB3737">
        <w:t>,</w:t>
      </w:r>
      <w:r>
        <w:t xml:space="preserve"> </w:t>
      </w:r>
      <w:r w:rsidR="005B48AB">
        <w:t xml:space="preserve">and </w:t>
      </w:r>
      <w:r w:rsidR="00FB3737">
        <w:t xml:space="preserve">the </w:t>
      </w:r>
      <w:r w:rsidR="005B48AB">
        <w:t xml:space="preserve">burden </w:t>
      </w:r>
      <w:r>
        <w:t xml:space="preserve">related to requiring timely reporting for many of the events in </w:t>
      </w:r>
      <w:r w:rsidR="00000039">
        <w:t xml:space="preserve">EOP-004-2 </w:t>
      </w:r>
      <w:r>
        <w:t>Attachment 1</w:t>
      </w:r>
      <w:r w:rsidR="00FB3737">
        <w:t>,</w:t>
      </w:r>
      <w:r>
        <w:t xml:space="preserve"> should be </w:t>
      </w:r>
      <w:r w:rsidR="00B410A0">
        <w:t>addressed</w:t>
      </w:r>
      <w:r>
        <w:t xml:space="preserve"> by </w:t>
      </w:r>
      <w:r w:rsidR="00000039">
        <w:t xml:space="preserve">removing event reporting from the reliability standards </w:t>
      </w:r>
      <w:r>
        <w:t xml:space="preserve">and focusing on </w:t>
      </w:r>
      <w:r w:rsidR="00530B92">
        <w:t xml:space="preserve">it </w:t>
      </w:r>
      <w:r>
        <w:t xml:space="preserve">in the post-event </w:t>
      </w:r>
      <w:r w:rsidR="00CA0B25">
        <w:t>programs, such as</w:t>
      </w:r>
      <w:r>
        <w:t xml:space="preserve"> the Events Analysis Program.  The same </w:t>
      </w:r>
      <w:r w:rsidR="00000039">
        <w:t xml:space="preserve">prospective reliability </w:t>
      </w:r>
      <w:r>
        <w:t xml:space="preserve">value will be realized </w:t>
      </w:r>
      <w:r w:rsidR="00B410A0">
        <w:t>and there will be no impact to reliable operations</w:t>
      </w:r>
      <w:r>
        <w:t xml:space="preserve"> because</w:t>
      </w:r>
      <w:r w:rsidR="00CA0B25">
        <w:t>, as discussed,</w:t>
      </w:r>
      <w:r w:rsidR="00B410A0">
        <w:t xml:space="preserve"> </w:t>
      </w:r>
      <w:r w:rsidR="00FB3737">
        <w:t xml:space="preserve">after-the-fact </w:t>
      </w:r>
      <w:r w:rsidR="00000039">
        <w:t xml:space="preserve">event </w:t>
      </w:r>
      <w:r>
        <w:t xml:space="preserve">reporting </w:t>
      </w:r>
      <w:r w:rsidR="00B410A0">
        <w:t>does not support reliable operations</w:t>
      </w:r>
      <w:r w:rsidR="00CD4B3E">
        <w:t>.  R</w:t>
      </w:r>
      <w:r w:rsidR="00B410A0">
        <w:t xml:space="preserve">eliable </w:t>
      </w:r>
      <w:r w:rsidR="00CC3912">
        <w:t xml:space="preserve">operations, including mitigating </w:t>
      </w:r>
      <w:r w:rsidR="00CC3912">
        <w:lastRenderedPageBreak/>
        <w:t>actions related to system events, are</w:t>
      </w:r>
      <w:r w:rsidR="00B410A0">
        <w:t xml:space="preserve"> achieved</w:t>
      </w:r>
      <w:r>
        <w:t xml:space="preserve"> </w:t>
      </w:r>
      <w:r w:rsidR="00B410A0">
        <w:t>by the operating actions of</w:t>
      </w:r>
      <w:r>
        <w:t xml:space="preserve"> the </w:t>
      </w:r>
      <w:r w:rsidR="00B410A0">
        <w:t xml:space="preserve">relevant </w:t>
      </w:r>
      <w:r w:rsidR="00CA0B25">
        <w:t>functional entities</w:t>
      </w:r>
      <w:r w:rsidR="00CD4B3E">
        <w:t>.  T</w:t>
      </w:r>
      <w:r w:rsidR="00CC3912">
        <w:t xml:space="preserve">here </w:t>
      </w:r>
      <w:r w:rsidR="00D65961">
        <w:t>are</w:t>
      </w:r>
      <w:r w:rsidR="00CC3912">
        <w:t xml:space="preserve"> no immediate operational reliability benefits that </w:t>
      </w:r>
      <w:r w:rsidR="00D43C19">
        <w:t xml:space="preserve">can be gained from including event reporting requirements in the </w:t>
      </w:r>
      <w:r w:rsidR="0030613B">
        <w:t>NERC</w:t>
      </w:r>
      <w:r w:rsidR="00D43C19">
        <w:t xml:space="preserve"> standards,</w:t>
      </w:r>
      <w:r w:rsidR="00CD4B3E">
        <w:t xml:space="preserve"> because event reporting does not provide for the reliab</w:t>
      </w:r>
      <w:r w:rsidR="007E0A82">
        <w:t>ility</w:t>
      </w:r>
      <w:r w:rsidR="00CD4B3E">
        <w:t xml:space="preserve"> of the BPS</w:t>
      </w:r>
      <w:r w:rsidR="00FB3737">
        <w:t>.  R</w:t>
      </w:r>
      <w:r w:rsidR="00D43C19">
        <w:t xml:space="preserve">egistered entities should not be subject to penalty exposure for </w:t>
      </w:r>
      <w:r w:rsidR="00CD4B3E">
        <w:t xml:space="preserve">such </w:t>
      </w:r>
      <w:r w:rsidR="00D43C19">
        <w:t xml:space="preserve">an illusory benefit.  </w:t>
      </w:r>
    </w:p>
    <w:p w:rsidR="00CA0B25" w:rsidRDefault="001E2101" w:rsidP="007208B4">
      <w:pPr>
        <w:spacing w:line="480" w:lineRule="auto"/>
        <w:ind w:firstLine="720"/>
      </w:pPr>
      <w:r>
        <w:t xml:space="preserve">Accordingly, the </w:t>
      </w:r>
      <w:r w:rsidR="00776600" w:rsidRPr="00AC5273">
        <w:t>Joint ISOs/RTOs</w:t>
      </w:r>
      <w:r w:rsidR="00776600">
        <w:t xml:space="preserve"> respectfully request</w:t>
      </w:r>
      <w:r>
        <w:t xml:space="preserve"> that the Commission give due consideration to these comments in determining whether the proposed standard is necessary </w:t>
      </w:r>
      <w:r w:rsidR="00CA0B25">
        <w:t>to support reliable operations as part of the NERC reliability standards and, therefore,</w:t>
      </w:r>
      <w:r>
        <w:t xml:space="preserve">  whether there is a real reliability benefit that justifies subjecting registered entities to potential penalties.  </w:t>
      </w:r>
    </w:p>
    <w:p w:rsidR="00AA425E" w:rsidRPr="009F33C1" w:rsidRDefault="001E2101" w:rsidP="007208B4">
      <w:pPr>
        <w:spacing w:line="480" w:lineRule="auto"/>
        <w:ind w:firstLine="720"/>
      </w:pPr>
      <w:r>
        <w:t xml:space="preserve">Although </w:t>
      </w:r>
      <w:r w:rsidR="00C60359">
        <w:t>EOP-004-2</w:t>
      </w:r>
      <w:r>
        <w:t xml:space="preserve"> is at issue in this proceeding, its approval or disapproval would either retire or maintain, respectively, two existing standards – CIP-001-2a and EOP-004-1.  Because these standards pose the same issues as the proposed standard, any consideration that event reporting is not an appropriate obligation for the NERC standards would necessarily require </w:t>
      </w:r>
      <w:r w:rsidR="00C60359">
        <w:t xml:space="preserve">consideration of </w:t>
      </w:r>
      <w:r>
        <w:t xml:space="preserve">whether the </w:t>
      </w:r>
      <w:r w:rsidR="00C60359">
        <w:t xml:space="preserve">need for the </w:t>
      </w:r>
      <w:r>
        <w:t xml:space="preserve">existing </w:t>
      </w:r>
      <w:r w:rsidR="00C60359">
        <w:t xml:space="preserve">standards should </w:t>
      </w:r>
      <w:r w:rsidR="004F6674">
        <w:t xml:space="preserve">also </w:t>
      </w:r>
      <w:r w:rsidR="00C60359">
        <w:t xml:space="preserve">be revisited if </w:t>
      </w:r>
      <w:r w:rsidR="00CA0B25">
        <w:t xml:space="preserve">the </w:t>
      </w:r>
      <w:r w:rsidR="004F6674">
        <w:t>premise for inclusion in reliability standards</w:t>
      </w:r>
      <w:r w:rsidR="00CA0B25">
        <w:t xml:space="preserve"> – </w:t>
      </w:r>
      <w:r w:rsidR="00CA0B25" w:rsidRPr="00355F21">
        <w:rPr>
          <w:i/>
        </w:rPr>
        <w:t>i.e</w:t>
      </w:r>
      <w:r w:rsidR="004F6674">
        <w:t>.</w:t>
      </w:r>
      <w:r w:rsidR="00FB3737">
        <w:t>,</w:t>
      </w:r>
      <w:r w:rsidR="004F6674">
        <w:t xml:space="preserve"> </w:t>
      </w:r>
      <w:r w:rsidR="00FB3737">
        <w:t>whether</w:t>
      </w:r>
      <w:r w:rsidR="004F6674">
        <w:t xml:space="preserve"> a requirement</w:t>
      </w:r>
      <w:r w:rsidR="00CA0B25">
        <w:t xml:space="preserve"> support</w:t>
      </w:r>
      <w:r w:rsidR="00FB3737">
        <w:t>s</w:t>
      </w:r>
      <w:r w:rsidR="00CA0B25">
        <w:t xml:space="preserve"> reliable operations under Section 215</w:t>
      </w:r>
      <w:r w:rsidR="004F6674">
        <w:t xml:space="preserve"> – does not apply to event reporting.  </w:t>
      </w:r>
      <w:r w:rsidR="00C60359">
        <w:t xml:space="preserve">  </w:t>
      </w:r>
    </w:p>
    <w:p w:rsidR="00E8333F" w:rsidRPr="00530B92" w:rsidRDefault="00C60359" w:rsidP="00530B92">
      <w:pPr>
        <w:pStyle w:val="Default"/>
        <w:numPr>
          <w:ilvl w:val="0"/>
          <w:numId w:val="9"/>
        </w:numPr>
        <w:spacing w:before="120" w:after="240"/>
        <w:rPr>
          <w:i/>
        </w:rPr>
      </w:pPr>
      <w:r>
        <w:rPr>
          <w:i/>
        </w:rPr>
        <w:t>If the Commission Believes Event Reporting is Appropriate for Inclusion in the Reliability Standards, the Proposed Standard Would</w:t>
      </w:r>
      <w:r w:rsidR="00530B92">
        <w:rPr>
          <w:i/>
        </w:rPr>
        <w:t xml:space="preserve"> Benefit From Certain Revisions</w:t>
      </w:r>
    </w:p>
    <w:p w:rsidR="00C60359" w:rsidRDefault="00C60359" w:rsidP="004F6674">
      <w:pPr>
        <w:pStyle w:val="Default"/>
        <w:spacing w:line="480" w:lineRule="auto"/>
        <w:ind w:firstLine="720"/>
      </w:pPr>
      <w:r>
        <w:t xml:space="preserve">If the Commission disagrees with the </w:t>
      </w:r>
      <w:r w:rsidR="00776600" w:rsidRPr="00AC5273">
        <w:t>Joint ISOs/RTOs</w:t>
      </w:r>
      <w:r w:rsidR="00776600">
        <w:t xml:space="preserve">’ </w:t>
      </w:r>
      <w:r>
        <w:t>position that event reporting should not be included in the Reliability Standards and approves EOP-004-2</w:t>
      </w:r>
      <w:r w:rsidR="004F6674">
        <w:t xml:space="preserve"> </w:t>
      </w:r>
      <w:r w:rsidR="00FB3737">
        <w:t>to mandate such</w:t>
      </w:r>
      <w:r w:rsidR="004F6674">
        <w:t xml:space="preserve"> reporting</w:t>
      </w:r>
      <w:r w:rsidR="00FB3737">
        <w:t xml:space="preserve"> in the enforcement regime</w:t>
      </w:r>
      <w:r w:rsidR="004F6674">
        <w:t xml:space="preserve">, </w:t>
      </w:r>
      <w:r w:rsidR="00F243F7">
        <w:t>the proposed standard EOP-004-2 is a</w:t>
      </w:r>
      <w:r w:rsidR="004F6674">
        <w:t>n</w:t>
      </w:r>
      <w:r w:rsidR="00F243F7">
        <w:t xml:space="preserve"> improvement over the two </w:t>
      </w:r>
      <w:r w:rsidR="00CC3912">
        <w:t>events</w:t>
      </w:r>
      <w:r w:rsidR="00F243F7">
        <w:t xml:space="preserve"> reporting standards it would replace – </w:t>
      </w:r>
      <w:r w:rsidR="00F243F7" w:rsidRPr="00CC3912">
        <w:rPr>
          <w:i/>
        </w:rPr>
        <w:t>i.e</w:t>
      </w:r>
      <w:r w:rsidR="00CC3912">
        <w:t>.</w:t>
      </w:r>
      <w:r w:rsidR="00885B2B">
        <w:t>,</w:t>
      </w:r>
      <w:r w:rsidR="00CC3912">
        <w:t xml:space="preserve"> CIP-001-2a and EOP-004-1</w:t>
      </w:r>
      <w:r w:rsidR="00F243F7">
        <w:t xml:space="preserve">.  However, </w:t>
      </w:r>
      <w:r w:rsidR="004F6674">
        <w:t>if the Commission moves forward with EOP-004-2, it</w:t>
      </w:r>
      <w:r w:rsidR="00F243F7">
        <w:t xml:space="preserve"> should</w:t>
      </w:r>
      <w:r>
        <w:t xml:space="preserve"> consider the following comments regarding particular revisions that would </w:t>
      </w:r>
      <w:r w:rsidR="005B48AB">
        <w:t xml:space="preserve">improve </w:t>
      </w:r>
      <w:r>
        <w:t>the standard in terms of mit</w:t>
      </w:r>
      <w:r w:rsidR="005C0D4F">
        <w:t xml:space="preserve">igating the impact </w:t>
      </w:r>
      <w:r w:rsidR="005C0D4F">
        <w:lastRenderedPageBreak/>
        <w:t>of establishing</w:t>
      </w:r>
      <w:r>
        <w:t xml:space="preserve"> requirements that have little to no reliability value</w:t>
      </w:r>
      <w:r w:rsidR="005C0D4F">
        <w:t xml:space="preserve">, and clarifying particular events included in Attachment 1 to EOP-004-2.  </w:t>
      </w:r>
    </w:p>
    <w:p w:rsidR="00D779C8" w:rsidRPr="00530B92" w:rsidRDefault="005C0D4F" w:rsidP="00530B92">
      <w:pPr>
        <w:pStyle w:val="Default"/>
        <w:numPr>
          <w:ilvl w:val="0"/>
          <w:numId w:val="10"/>
        </w:numPr>
        <w:spacing w:before="120" w:after="240"/>
        <w:rPr>
          <w:i/>
        </w:rPr>
      </w:pPr>
      <w:r>
        <w:rPr>
          <w:i/>
        </w:rPr>
        <w:t xml:space="preserve">The Events Listed in EOP-004-2 Attachment 1 Should be Limited to </w:t>
      </w:r>
      <w:r w:rsidR="00CC3912">
        <w:rPr>
          <w:i/>
        </w:rPr>
        <w:t>Those</w:t>
      </w:r>
      <w:r w:rsidR="00D779C8">
        <w:rPr>
          <w:i/>
        </w:rPr>
        <w:t xml:space="preserve"> That Give Third Parties the Ability to Act to Mitigate the Impact of the Event</w:t>
      </w:r>
    </w:p>
    <w:p w:rsidR="0014631E" w:rsidRDefault="00FC4FD3" w:rsidP="00B15289">
      <w:pPr>
        <w:spacing w:line="480" w:lineRule="auto"/>
        <w:ind w:firstLine="720"/>
      </w:pPr>
      <w:r>
        <w:t xml:space="preserve">The </w:t>
      </w:r>
      <w:r w:rsidR="00776600" w:rsidRPr="00AC5273">
        <w:t>Joint ISOs/RTOs</w:t>
      </w:r>
      <w:r w:rsidR="00776600">
        <w:t xml:space="preserve"> believe</w:t>
      </w:r>
      <w:r>
        <w:t xml:space="preserve"> that all mitigation of system events results from operational actions taken by functional entities in the execution of their duties pursuant to relevant rules and procedures.  </w:t>
      </w:r>
      <w:r w:rsidR="0014631E">
        <w:t xml:space="preserve">Assuming, for </w:t>
      </w:r>
      <w:r w:rsidR="00CD4B3E">
        <w:t xml:space="preserve">the sake of </w:t>
      </w:r>
      <w:r w:rsidR="0014631E">
        <w:t>argument</w:t>
      </w:r>
      <w:r w:rsidR="00B05C61">
        <w:t>,</w:t>
      </w:r>
      <w:r w:rsidR="00CD4B3E">
        <w:t xml:space="preserve"> that </w:t>
      </w:r>
      <w:r>
        <w:t xml:space="preserve">there </w:t>
      </w:r>
      <w:r w:rsidR="001408F8">
        <w:t>are</w:t>
      </w:r>
      <w:r>
        <w:t xml:space="preserve"> any reliability benefits that could result from event reporting</w:t>
      </w:r>
      <w:r w:rsidR="0014631E">
        <w:t>,</w:t>
      </w:r>
      <w:r w:rsidR="00F243F7">
        <w:t xml:space="preserve"> they</w:t>
      </w:r>
      <w:r>
        <w:t xml:space="preserve"> would only be realized where tim</w:t>
      </w:r>
      <w:r w:rsidR="00776600">
        <w:t>ely reporting facilitates third-</w:t>
      </w:r>
      <w:r>
        <w:t xml:space="preserve">party actions that could potentially mitigate reliability impacts from an event.  </w:t>
      </w:r>
      <w:r w:rsidR="0014631E">
        <w:t xml:space="preserve">Otherwise, as noted, all reliability benefits in support of reliable operations are being realized by the actions of functional entities.  </w:t>
      </w:r>
    </w:p>
    <w:p w:rsidR="00CC3912" w:rsidRDefault="00FC4FD3" w:rsidP="00B15289">
      <w:pPr>
        <w:spacing w:line="480" w:lineRule="auto"/>
        <w:ind w:firstLine="720"/>
      </w:pPr>
      <w:r>
        <w:t xml:space="preserve">For example, where there is deliberate </w:t>
      </w:r>
      <w:r w:rsidR="005B48AB">
        <w:t xml:space="preserve">and ongoing </w:t>
      </w:r>
      <w:r>
        <w:t>third party vandalism/destru</w:t>
      </w:r>
      <w:r w:rsidR="00B05C61">
        <w:t xml:space="preserve">ction of BES equipment, </w:t>
      </w:r>
      <w:r>
        <w:t xml:space="preserve">timely reporting could give law enforcement the ability to mitigate the event.   </w:t>
      </w:r>
      <w:r w:rsidR="008D618E">
        <w:t xml:space="preserve">Another example </w:t>
      </w:r>
      <w:r w:rsidR="0014631E">
        <w:t xml:space="preserve">may </w:t>
      </w:r>
      <w:r w:rsidR="008D618E">
        <w:t>be reporting deliberate load shedding so relevant officials are aware and can take appropriate actions related to their functions</w:t>
      </w:r>
      <w:r w:rsidR="00B05C61">
        <w:t xml:space="preserve">.  </w:t>
      </w:r>
      <w:r w:rsidR="00CD4B3E">
        <w:t>T</w:t>
      </w:r>
      <w:r w:rsidR="0014631E">
        <w:t>h</w:t>
      </w:r>
      <w:r w:rsidR="00CC3912">
        <w:t xml:space="preserve">e </w:t>
      </w:r>
      <w:r w:rsidR="00776600" w:rsidRPr="00AC5273">
        <w:t>Joint ISOs/RTOs</w:t>
      </w:r>
      <w:r w:rsidR="00776600">
        <w:t xml:space="preserve"> note</w:t>
      </w:r>
      <w:r w:rsidR="00B05C61">
        <w:t>, however,</w:t>
      </w:r>
      <w:r w:rsidR="00CC3912">
        <w:t xml:space="preserve"> that </w:t>
      </w:r>
      <w:r w:rsidR="0014631E">
        <w:t xml:space="preserve">reporting </w:t>
      </w:r>
      <w:r w:rsidR="00B05C61">
        <w:t xml:space="preserve">of such events </w:t>
      </w:r>
      <w:r w:rsidR="0014631E">
        <w:t xml:space="preserve">and resulting actions by </w:t>
      </w:r>
      <w:r w:rsidR="00B05C61">
        <w:t>law enforcement and other officials</w:t>
      </w:r>
      <w:r w:rsidR="00F25B77">
        <w:t xml:space="preserve"> </w:t>
      </w:r>
      <w:r w:rsidR="0014631E">
        <w:t xml:space="preserve">are </w:t>
      </w:r>
      <w:r w:rsidR="00F25B77">
        <w:t xml:space="preserve">typically </w:t>
      </w:r>
      <w:r w:rsidR="0014631E">
        <w:t>related</w:t>
      </w:r>
      <w:r w:rsidR="00F25B77">
        <w:t xml:space="preserve"> </w:t>
      </w:r>
      <w:r w:rsidR="00B15289">
        <w:t xml:space="preserve">to </w:t>
      </w:r>
      <w:r w:rsidR="005B48AB">
        <w:t xml:space="preserve">health, welfare and safety </w:t>
      </w:r>
      <w:r w:rsidR="00053064">
        <w:t xml:space="preserve">issues, </w:t>
      </w:r>
      <w:r w:rsidR="00F25B77">
        <w:t xml:space="preserve">matters </w:t>
      </w:r>
      <w:r w:rsidR="00053064">
        <w:t xml:space="preserve">which are </w:t>
      </w:r>
      <w:r w:rsidR="00F25B77">
        <w:t xml:space="preserve">outside the scope of </w:t>
      </w:r>
      <w:r w:rsidR="00053064">
        <w:t xml:space="preserve">reliable </w:t>
      </w:r>
      <w:r w:rsidR="00F25B77">
        <w:t xml:space="preserve">bulk-power system </w:t>
      </w:r>
      <w:r w:rsidR="00053064">
        <w:t xml:space="preserve">operation. </w:t>
      </w:r>
    </w:p>
    <w:p w:rsidR="00D779C8" w:rsidRDefault="0014631E" w:rsidP="00B15289">
      <w:pPr>
        <w:spacing w:line="480" w:lineRule="auto"/>
        <w:ind w:firstLine="720"/>
      </w:pPr>
      <w:r>
        <w:t>Accordingly, t</w:t>
      </w:r>
      <w:r w:rsidR="008D618E">
        <w:t xml:space="preserve">o the extent the Commission moves forward with the proposed standard, </w:t>
      </w:r>
      <w:r w:rsidR="00A056EB">
        <w:t>it</w:t>
      </w:r>
      <w:r w:rsidR="00F25B77">
        <w:t xml:space="preserve"> </w:t>
      </w:r>
      <w:r w:rsidR="00F243F7">
        <w:t>should be revised</w:t>
      </w:r>
      <w:r w:rsidR="00FC4FD3">
        <w:t xml:space="preserve"> </w:t>
      </w:r>
      <w:r w:rsidR="00F243F7">
        <w:t>using</w:t>
      </w:r>
      <w:r w:rsidR="00FC4FD3">
        <w:t xml:space="preserve"> appropriate metrics for determining whether an event should be subject to a mandatory, timely reporting obligation.  The petition correctly notes that </w:t>
      </w:r>
      <w:r w:rsidR="00F243F7">
        <w:t xml:space="preserve">the </w:t>
      </w:r>
      <w:r w:rsidR="00015ED8">
        <w:t xml:space="preserve">NERC standard drafting team </w:t>
      </w:r>
      <w:r w:rsidR="00FC4FD3">
        <w:t xml:space="preserve">considered events that do, or could, impact system reliability.  While that is an important consideration, the inquiry cannot end there. </w:t>
      </w:r>
      <w:r>
        <w:t xml:space="preserve"> </w:t>
      </w:r>
      <w:r w:rsidR="00F25B77">
        <w:t xml:space="preserve">The </w:t>
      </w:r>
      <w:r>
        <w:t xml:space="preserve">next </w:t>
      </w:r>
      <w:r w:rsidR="00FC4FD3">
        <w:t>question that must be answered is whether the event can be mitigated by the action of third par</w:t>
      </w:r>
      <w:r w:rsidR="008D618E">
        <w:t>ties</w:t>
      </w:r>
      <w:r>
        <w:t xml:space="preserve"> and whether, consistent with </w:t>
      </w:r>
      <w:r>
        <w:lastRenderedPageBreak/>
        <w:t>Section 215, that third party action supports reliable system operations</w:t>
      </w:r>
      <w:r w:rsidR="008D618E">
        <w:t xml:space="preserve"> (</w:t>
      </w:r>
      <w:r w:rsidR="008D618E" w:rsidRPr="00B05C61">
        <w:rPr>
          <w:i/>
        </w:rPr>
        <w:t>e.g.</w:t>
      </w:r>
      <w:r w:rsidR="00B05C61" w:rsidRPr="00B05C61">
        <w:rPr>
          <w:i/>
        </w:rPr>
        <w:t>,</w:t>
      </w:r>
      <w:r w:rsidR="008D618E">
        <w:t xml:space="preserve"> law enforcement)</w:t>
      </w:r>
      <w:r w:rsidR="00B05C61">
        <w:t xml:space="preserve">.  Conversely, the question must also be asked </w:t>
      </w:r>
      <w:r w:rsidR="00FC4FD3">
        <w:t xml:space="preserve">whether the event can only be mitigated by the operational actions of the relevant functional entities executing their operational </w:t>
      </w:r>
      <w:r w:rsidR="00F243F7">
        <w:t>duties</w:t>
      </w:r>
      <w:r w:rsidR="00FC4FD3">
        <w:t xml:space="preserve"> under the NERC </w:t>
      </w:r>
      <w:r w:rsidR="008D618E">
        <w:t>standards and other relevant rules and</w:t>
      </w:r>
      <w:r w:rsidR="00FC4FD3">
        <w:t xml:space="preserve"> procedures.  </w:t>
      </w:r>
      <w:r w:rsidR="00E8333F">
        <w:t>Where</w:t>
      </w:r>
      <w:r w:rsidR="00D377A0">
        <w:t xml:space="preserve"> the only benefit from reporting an event is prospective based on the information derived from the event analysis, and all event mitigation</w:t>
      </w:r>
      <w:r w:rsidR="00EB4589">
        <w:t xml:space="preserve"> (</w:t>
      </w:r>
      <w:r w:rsidR="00EB4589" w:rsidRPr="00B05C61">
        <w:rPr>
          <w:i/>
        </w:rPr>
        <w:t>i.e.</w:t>
      </w:r>
      <w:r w:rsidR="00B05C61" w:rsidRPr="00B05C61">
        <w:rPr>
          <w:i/>
        </w:rPr>
        <w:t>,</w:t>
      </w:r>
      <w:r w:rsidR="00EB4589">
        <w:t xml:space="preserve"> actions that support reliable operations)</w:t>
      </w:r>
      <w:r w:rsidR="00D377A0">
        <w:t xml:space="preserve"> is being achieved by the operational actions of functional entities, such events should not be </w:t>
      </w:r>
      <w:r w:rsidR="00E121BE">
        <w:t>subject to reporting obligations in the context of</w:t>
      </w:r>
      <w:r w:rsidR="00D377A0">
        <w:t xml:space="preserve"> the reliability standards</w:t>
      </w:r>
      <w:r w:rsidR="00E8333F">
        <w:t>, and any such events should be removed from EOP-004-2 Attachment 1</w:t>
      </w:r>
      <w:r w:rsidR="00D377A0">
        <w:t>.</w:t>
      </w:r>
    </w:p>
    <w:p w:rsidR="00D377A0" w:rsidRDefault="00D377A0" w:rsidP="001408F8">
      <w:pPr>
        <w:pStyle w:val="Default"/>
        <w:numPr>
          <w:ilvl w:val="0"/>
          <w:numId w:val="10"/>
        </w:numPr>
        <w:rPr>
          <w:i/>
        </w:rPr>
      </w:pPr>
      <w:r w:rsidRPr="001408F8">
        <w:rPr>
          <w:i/>
        </w:rPr>
        <w:t>The Scope of Entities to Which the Reports Are Submitted Should be Limited to Those Entities That Can Act to Mitigate the Actual Event</w:t>
      </w:r>
    </w:p>
    <w:p w:rsidR="00D377A0" w:rsidRDefault="00D377A0" w:rsidP="001408F8">
      <w:pPr>
        <w:pStyle w:val="Default"/>
        <w:ind w:left="1440"/>
        <w:rPr>
          <w:i/>
        </w:rPr>
      </w:pPr>
    </w:p>
    <w:p w:rsidR="00E8333F" w:rsidRDefault="00D377A0" w:rsidP="00B15289">
      <w:pPr>
        <w:spacing w:line="480" w:lineRule="auto"/>
        <w:ind w:firstLine="720"/>
      </w:pPr>
      <w:r>
        <w:t xml:space="preserve">As </w:t>
      </w:r>
      <w:r w:rsidR="00E8333F">
        <w:t>discussed,</w:t>
      </w:r>
      <w:r>
        <w:t xml:space="preserve"> if the Commission believes event reporting is appropriate for inclusion in mandatory standards, the type of events should be limited to those where third parties can act to mitigate the actual event.</w:t>
      </w:r>
      <w:r w:rsidR="0076198B">
        <w:t xml:space="preserve">  Consistent with this limitation, the scope of entities to which reports must be submitted should </w:t>
      </w:r>
      <w:r w:rsidR="00E121BE">
        <w:t xml:space="preserve">also </w:t>
      </w:r>
      <w:r w:rsidR="0076198B">
        <w:t>be limited to those entities that are actually capable of acting to mitigate the event.  There is no reason to require that events be reported to entities if they cannot take action to mitigate the actual event</w:t>
      </w:r>
      <w:r w:rsidR="00EB4589">
        <w:t xml:space="preserve"> in support of reliable operations</w:t>
      </w:r>
      <w:r w:rsidR="0076198B">
        <w:t xml:space="preserve">.  Imposition of such a requirement would do nothing but create liability exposure for registered entities with no corresponding reliability value.  </w:t>
      </w:r>
      <w:r w:rsidR="00EB4589">
        <w:t>Therefore, if the Commission elects to retain event reporting in the reliability standards, t</w:t>
      </w:r>
      <w:r w:rsidR="0076198B">
        <w:t xml:space="preserve">he list of entities </w:t>
      </w:r>
      <w:r w:rsidR="00E121BE">
        <w:t>that receive</w:t>
      </w:r>
      <w:r w:rsidR="0076198B">
        <w:t xml:space="preserve"> the report </w:t>
      </w:r>
      <w:r w:rsidR="00EB4589">
        <w:t xml:space="preserve">should be based on the type of event and the third parties that could provide actual mitigation.  This list </w:t>
      </w:r>
      <w:r w:rsidR="0076198B">
        <w:t xml:space="preserve">should be developed by the registered entities in developing their plans under proposed EOP-004-2 R1.  </w:t>
      </w:r>
    </w:p>
    <w:p w:rsidR="00E70AD8" w:rsidRPr="00D377A0" w:rsidRDefault="0076198B" w:rsidP="001408F8">
      <w:pPr>
        <w:pStyle w:val="Default"/>
        <w:spacing w:line="480" w:lineRule="auto"/>
        <w:ind w:firstLine="720"/>
      </w:pPr>
      <w:r>
        <w:t xml:space="preserve">With respect to entities that would be involved in prospective event analysis, the event reports could be submitted to them in the relevant processes/programs outside of the reliability </w:t>
      </w:r>
      <w:r>
        <w:lastRenderedPageBreak/>
        <w:t xml:space="preserve">standards – </w:t>
      </w:r>
      <w:r w:rsidRPr="001408F8">
        <w:rPr>
          <w:i/>
        </w:rPr>
        <w:t>e.g</w:t>
      </w:r>
      <w:r>
        <w:t>.</w:t>
      </w:r>
      <w:r w:rsidR="00885B2B">
        <w:t>,</w:t>
      </w:r>
      <w:r>
        <w:t xml:space="preserve"> the NERC EAP.  That structure would not compromise reliability benefits realized from event reporting and analysis, and it would mitigate unnecessary penalty risk to registered entities by removing unnecessary reporting obligations in the mandatory standards.  </w:t>
      </w:r>
    </w:p>
    <w:p w:rsidR="00D75565" w:rsidRPr="001408F8" w:rsidRDefault="00272915" w:rsidP="001408F8">
      <w:pPr>
        <w:pStyle w:val="Default"/>
        <w:numPr>
          <w:ilvl w:val="0"/>
          <w:numId w:val="10"/>
        </w:numPr>
        <w:spacing w:line="480" w:lineRule="auto"/>
        <w:rPr>
          <w:i/>
        </w:rPr>
      </w:pPr>
      <w:r w:rsidRPr="001408F8">
        <w:rPr>
          <w:i/>
        </w:rPr>
        <w:t>The Ambiguities in Attachme</w:t>
      </w:r>
      <w:r w:rsidRPr="00272915">
        <w:rPr>
          <w:i/>
        </w:rPr>
        <w:t>nt 1 Events Should be Clarified</w:t>
      </w:r>
    </w:p>
    <w:p w:rsidR="00884649" w:rsidRDefault="00884649" w:rsidP="00B15289">
      <w:pPr>
        <w:spacing w:line="480" w:lineRule="auto"/>
        <w:ind w:firstLine="720"/>
      </w:pPr>
      <w:r>
        <w:t>T</w:t>
      </w:r>
      <w:r w:rsidR="00020F07">
        <w:t xml:space="preserve">he </w:t>
      </w:r>
      <w:r w:rsidR="00020F07" w:rsidRPr="00AC5273">
        <w:t>Joint ISOs/RTOs</w:t>
      </w:r>
      <w:r w:rsidR="00020F07">
        <w:t xml:space="preserve"> provide</w:t>
      </w:r>
      <w:r w:rsidR="00757168">
        <w:t xml:space="preserve"> comments upon the content of the proposed Standard in the event that the Commission disagrees with </w:t>
      </w:r>
      <w:r w:rsidR="00020F07">
        <w:t xml:space="preserve">the </w:t>
      </w:r>
      <w:r>
        <w:t>ISO/R</w:t>
      </w:r>
      <w:r w:rsidR="00B05C61">
        <w:t>T</w:t>
      </w:r>
      <w:r>
        <w:t>O position that event reporting is not appropriate for inclusion in reliability standards and approves EOP-004-2.</w:t>
      </w:r>
      <w:r w:rsidR="00757168">
        <w:t xml:space="preserve">  </w:t>
      </w:r>
    </w:p>
    <w:p w:rsidR="00AF2AE9" w:rsidRDefault="00884649" w:rsidP="00B15289">
      <w:pPr>
        <w:spacing w:line="480" w:lineRule="auto"/>
        <w:ind w:firstLine="720"/>
      </w:pPr>
      <w:r>
        <w:t>Specifically, ambiguities related to partic</w:t>
      </w:r>
      <w:r w:rsidR="00B05C61">
        <w:t>u</w:t>
      </w:r>
      <w:r>
        <w:t>lar</w:t>
      </w:r>
      <w:r w:rsidR="00757168">
        <w:t xml:space="preserve"> thresholds for reporting described within EOP-004-2 – Attachment 1</w:t>
      </w:r>
      <w:r>
        <w:t xml:space="preserve"> need to be addressed</w:t>
      </w:r>
      <w:r w:rsidR="00757168">
        <w:t xml:space="preserve">.  After carefully reviewing these thresholds, </w:t>
      </w:r>
      <w:r w:rsidR="00AF2AE9">
        <w:t xml:space="preserve">the </w:t>
      </w:r>
      <w:r w:rsidR="00776600" w:rsidRPr="00AC5273">
        <w:t>Joint ISOs/RTOs</w:t>
      </w:r>
      <w:r w:rsidR="00AF2AE9">
        <w:t xml:space="preserve"> </w:t>
      </w:r>
      <w:r w:rsidR="00776600">
        <w:t>respectfully submit</w:t>
      </w:r>
      <w:r w:rsidR="00AF2AE9" w:rsidRPr="002E495E">
        <w:t xml:space="preserve"> that</w:t>
      </w:r>
      <w:r w:rsidR="00384520">
        <w:t>, to ensure that the purpose of EOP-004-2 is achieved,</w:t>
      </w:r>
      <w:r w:rsidR="00AF2AE9" w:rsidRPr="002E495E">
        <w:t xml:space="preserve"> </w:t>
      </w:r>
      <w:r>
        <w:t>the certain</w:t>
      </w:r>
      <w:r w:rsidR="00AF2AE9" w:rsidRPr="002E495E">
        <w:t xml:space="preserve"> threshold for reporting </w:t>
      </w:r>
      <w:r w:rsidR="00DA609A">
        <w:t xml:space="preserve">should </w:t>
      </w:r>
      <w:r w:rsidR="00AF2AE9" w:rsidRPr="002E495E">
        <w:t xml:space="preserve">be modified to </w:t>
      </w:r>
      <w:r w:rsidR="00DA609A">
        <w:t>provide</w:t>
      </w:r>
      <w:r w:rsidR="00384520">
        <w:t xml:space="preserve"> that the appropriate entity is identified for reporting, to </w:t>
      </w:r>
      <w:r w:rsidR="00AF2AE9" w:rsidRPr="002E495E">
        <w:t xml:space="preserve">clarify when the reporting obligation is triggered, and to ensure that entities are reporting events of the type and significance intended.  </w:t>
      </w:r>
      <w:r>
        <w:t xml:space="preserve">The following </w:t>
      </w:r>
      <w:r w:rsidR="00057A74">
        <w:t>example</w:t>
      </w:r>
      <w:r>
        <w:t xml:space="preserve"> demonstrates one of the ambiguities</w:t>
      </w:r>
      <w:r w:rsidR="00AF2AE9" w:rsidRPr="002E495E">
        <w:t xml:space="preserve">, </w:t>
      </w:r>
      <w:r>
        <w:t xml:space="preserve">and </w:t>
      </w:r>
      <w:r w:rsidR="00AF2AE9">
        <w:t xml:space="preserve">the </w:t>
      </w:r>
      <w:r w:rsidR="00776600" w:rsidRPr="00AC5273">
        <w:t>Joint ISOs/RTOs</w:t>
      </w:r>
      <w:r w:rsidR="00776600">
        <w:t xml:space="preserve"> request</w:t>
      </w:r>
      <w:r w:rsidR="00AF2AE9">
        <w:t xml:space="preserve"> clarification of</w:t>
      </w:r>
      <w:r w:rsidR="00AF2AE9" w:rsidRPr="002E495E">
        <w:t xml:space="preserve"> the following draft thresholds</w:t>
      </w:r>
      <w:r w:rsidR="00AF2AE9">
        <w:t xml:space="preserve"> provided </w:t>
      </w:r>
      <w:r w:rsidR="00D06416">
        <w:t xml:space="preserve">in EOP-004-2 – </w:t>
      </w:r>
      <w:r w:rsidR="00AF2AE9" w:rsidRPr="002E495E">
        <w:t xml:space="preserve">Attachment 1: </w:t>
      </w:r>
    </w:p>
    <w:p w:rsidR="00E8333F" w:rsidRDefault="00AF2AE9" w:rsidP="00E8333F">
      <w:pPr>
        <w:pStyle w:val="Default"/>
        <w:numPr>
          <w:ilvl w:val="0"/>
          <w:numId w:val="5"/>
        </w:numPr>
        <w:spacing w:after="100" w:afterAutospacing="1"/>
      </w:pPr>
      <w:r w:rsidRPr="002E495E">
        <w:t>The requirement that an entity report when “[d]amage or destruction of a Facility within its Reliability Coordinator Area, Balancing Authority Area or Transmission Operator Area that results in actions to avoid a BES Emergency</w:t>
      </w:r>
      <w:r>
        <w:t>;</w:t>
      </w:r>
      <w:r w:rsidRPr="002E495E">
        <w:t>”</w:t>
      </w:r>
      <w:r>
        <w:t xml:space="preserve"> and</w:t>
      </w:r>
    </w:p>
    <w:p w:rsidR="00AF2AE9" w:rsidRPr="002E495E" w:rsidRDefault="00AF2AE9" w:rsidP="00D06416">
      <w:pPr>
        <w:pStyle w:val="Default"/>
        <w:spacing w:before="120" w:after="120" w:line="480" w:lineRule="auto"/>
      </w:pPr>
      <w:r>
        <w:t>In accordance with the NERC glossary of terms, a</w:t>
      </w:r>
      <w:r w:rsidR="00E8333F">
        <w:t xml:space="preserve"> BES Emergency is defined as:</w:t>
      </w:r>
    </w:p>
    <w:p w:rsidR="00AF2AE9" w:rsidRDefault="00AF2AE9" w:rsidP="00E8333F">
      <w:pPr>
        <w:autoSpaceDE w:val="0"/>
        <w:autoSpaceDN w:val="0"/>
        <w:adjustRightInd w:val="0"/>
        <w:ind w:left="1080" w:right="810"/>
        <w:rPr>
          <w:color w:val="000000"/>
        </w:rPr>
      </w:pPr>
      <w:r w:rsidRPr="002E495E">
        <w:rPr>
          <w:color w:val="000000"/>
        </w:rPr>
        <w:t>“Any abnormal system condition that requires automatic or immediate manual action to prevent or limit the failure of transmission facilities or generation supply that could adversely affect the reliability of the Bulk Electric System.”</w:t>
      </w:r>
      <w:r w:rsidR="00646BFD">
        <w:rPr>
          <w:rStyle w:val="FootnoteReference"/>
          <w:color w:val="000000"/>
        </w:rPr>
        <w:footnoteReference w:id="7"/>
      </w:r>
    </w:p>
    <w:p w:rsidR="00E8333F" w:rsidRPr="002E495E" w:rsidRDefault="00E8333F" w:rsidP="00E8333F">
      <w:pPr>
        <w:autoSpaceDE w:val="0"/>
        <w:autoSpaceDN w:val="0"/>
        <w:adjustRightInd w:val="0"/>
        <w:ind w:left="1080" w:right="810"/>
        <w:rPr>
          <w:color w:val="000000"/>
        </w:rPr>
      </w:pPr>
    </w:p>
    <w:p w:rsidR="001A25EA" w:rsidRDefault="00AF2AE9" w:rsidP="00226BAD">
      <w:pPr>
        <w:autoSpaceDE w:val="0"/>
        <w:autoSpaceDN w:val="0"/>
        <w:adjustRightInd w:val="0"/>
        <w:spacing w:line="480" w:lineRule="auto"/>
        <w:ind w:firstLine="720"/>
        <w:rPr>
          <w:color w:val="000000"/>
        </w:rPr>
      </w:pPr>
      <w:r w:rsidRPr="002E495E">
        <w:rPr>
          <w:color w:val="000000"/>
        </w:rPr>
        <w:lastRenderedPageBreak/>
        <w:t>R</w:t>
      </w:r>
      <w:r w:rsidR="00646BFD">
        <w:rPr>
          <w:color w:val="000000"/>
        </w:rPr>
        <w:t xml:space="preserve">eliability </w:t>
      </w:r>
      <w:r w:rsidRPr="002E495E">
        <w:rPr>
          <w:color w:val="000000"/>
        </w:rPr>
        <w:t>C</w:t>
      </w:r>
      <w:r w:rsidR="00646BFD">
        <w:rPr>
          <w:color w:val="000000"/>
        </w:rPr>
        <w:t>oordinator</w:t>
      </w:r>
      <w:r w:rsidRPr="002E495E">
        <w:rPr>
          <w:color w:val="000000"/>
        </w:rPr>
        <w:t>s</w:t>
      </w:r>
      <w:r w:rsidR="00646BFD">
        <w:rPr>
          <w:color w:val="000000"/>
        </w:rPr>
        <w:t xml:space="preserve"> (“RCs”)</w:t>
      </w:r>
      <w:r w:rsidRPr="002E495E">
        <w:rPr>
          <w:color w:val="000000"/>
        </w:rPr>
        <w:t xml:space="preserve"> and B</w:t>
      </w:r>
      <w:r w:rsidR="00646BFD">
        <w:rPr>
          <w:color w:val="000000"/>
        </w:rPr>
        <w:t xml:space="preserve">alancing </w:t>
      </w:r>
      <w:r w:rsidRPr="002E495E">
        <w:rPr>
          <w:color w:val="000000"/>
        </w:rPr>
        <w:t>A</w:t>
      </w:r>
      <w:r w:rsidR="00646BFD">
        <w:rPr>
          <w:color w:val="000000"/>
        </w:rPr>
        <w:t>uthorities (“BA</w:t>
      </w:r>
      <w:r w:rsidRPr="002E495E">
        <w:rPr>
          <w:color w:val="000000"/>
        </w:rPr>
        <w:t>s</w:t>
      </w:r>
      <w:r w:rsidR="00646BFD">
        <w:rPr>
          <w:color w:val="000000"/>
        </w:rPr>
        <w:t>”)</w:t>
      </w:r>
      <w:r w:rsidRPr="002E495E">
        <w:rPr>
          <w:color w:val="000000"/>
        </w:rPr>
        <w:t xml:space="preserve"> take actions each and every day to “avoid a BES Emergency.”  </w:t>
      </w:r>
      <w:r w:rsidR="00646BFD">
        <w:rPr>
          <w:color w:val="000000"/>
        </w:rPr>
        <w:t xml:space="preserve">Often, these BAs and RCs are </w:t>
      </w:r>
      <w:r w:rsidR="00D75565">
        <w:rPr>
          <w:color w:val="000000"/>
        </w:rPr>
        <w:t>n</w:t>
      </w:r>
      <w:r w:rsidR="00D06416">
        <w:rPr>
          <w:color w:val="000000"/>
        </w:rPr>
        <w:t>ot located near and do not own</w:t>
      </w:r>
      <w:r w:rsidR="00B87228">
        <w:rPr>
          <w:color w:val="000000"/>
        </w:rPr>
        <w:t xml:space="preserve"> </w:t>
      </w:r>
      <w:r w:rsidR="00D06416">
        <w:rPr>
          <w:color w:val="000000"/>
        </w:rPr>
        <w:t xml:space="preserve">the Facility or Facilities </w:t>
      </w:r>
      <w:r w:rsidR="00646BFD">
        <w:rPr>
          <w:color w:val="000000"/>
        </w:rPr>
        <w:t>causing the issue.</w:t>
      </w:r>
      <w:r w:rsidR="00646BFD">
        <w:rPr>
          <w:rStyle w:val="FootnoteReference"/>
          <w:color w:val="000000"/>
        </w:rPr>
        <w:footnoteReference w:id="8"/>
      </w:r>
      <w:r w:rsidR="00646BFD">
        <w:rPr>
          <w:color w:val="000000"/>
        </w:rPr>
        <w:t xml:space="preserve">  </w:t>
      </w:r>
      <w:r w:rsidRPr="002E495E">
        <w:rPr>
          <w:color w:val="000000"/>
        </w:rPr>
        <w:t>A</w:t>
      </w:r>
      <w:r w:rsidR="00646BFD">
        <w:rPr>
          <w:color w:val="000000"/>
        </w:rPr>
        <w:t xml:space="preserve">ccordingly, </w:t>
      </w:r>
      <w:r w:rsidR="00D06416">
        <w:rPr>
          <w:color w:val="000000"/>
        </w:rPr>
        <w:t>when they take action</w:t>
      </w:r>
      <w:r w:rsidRPr="002E495E">
        <w:rPr>
          <w:color w:val="000000"/>
        </w:rPr>
        <w:t xml:space="preserve"> they are reacting to conditions that their operating personnel are observing on the BES</w:t>
      </w:r>
      <w:r w:rsidR="00646BFD">
        <w:rPr>
          <w:color w:val="000000"/>
        </w:rPr>
        <w:t xml:space="preserve"> and </w:t>
      </w:r>
      <w:r w:rsidR="00BF4CC6">
        <w:rPr>
          <w:color w:val="000000"/>
        </w:rPr>
        <w:t xml:space="preserve">their personnel </w:t>
      </w:r>
      <w:r w:rsidR="00646BFD">
        <w:rPr>
          <w:color w:val="000000"/>
        </w:rPr>
        <w:t xml:space="preserve">would </w:t>
      </w:r>
      <w:r w:rsidR="00575D43">
        <w:rPr>
          <w:color w:val="000000"/>
        </w:rPr>
        <w:t xml:space="preserve">not necessarily </w:t>
      </w:r>
      <w:r w:rsidR="00646BFD">
        <w:rPr>
          <w:color w:val="000000"/>
        </w:rPr>
        <w:t>be aware if those conditions resulted from t</w:t>
      </w:r>
      <w:r w:rsidRPr="002E495E">
        <w:rPr>
          <w:color w:val="000000"/>
        </w:rPr>
        <w:t>he “damage or destruction of a Facility</w:t>
      </w:r>
      <w:r w:rsidR="00646BFD">
        <w:rPr>
          <w:color w:val="000000"/>
        </w:rPr>
        <w:t>.</w:t>
      </w:r>
      <w:r w:rsidRPr="002E495E">
        <w:rPr>
          <w:color w:val="000000"/>
        </w:rPr>
        <w:t>”</w:t>
      </w:r>
      <w:r w:rsidR="00646BFD">
        <w:rPr>
          <w:color w:val="000000"/>
        </w:rPr>
        <w:t xml:space="preserve">  </w:t>
      </w:r>
      <w:r w:rsidR="00B05C61">
        <w:rPr>
          <w:color w:val="000000"/>
        </w:rPr>
        <w:t>Based on their limited information</w:t>
      </w:r>
      <w:r w:rsidR="00575D43">
        <w:rPr>
          <w:color w:val="000000"/>
        </w:rPr>
        <w:t>,</w:t>
      </w:r>
      <w:r w:rsidR="00D06416">
        <w:rPr>
          <w:color w:val="000000"/>
        </w:rPr>
        <w:t xml:space="preserve"> </w:t>
      </w:r>
      <w:r w:rsidRPr="002E495E">
        <w:rPr>
          <w:color w:val="000000"/>
        </w:rPr>
        <w:t xml:space="preserve">RCs and BAs will </w:t>
      </w:r>
      <w:r w:rsidR="001A25EA">
        <w:rPr>
          <w:color w:val="000000"/>
        </w:rPr>
        <w:t>o</w:t>
      </w:r>
      <w:r w:rsidRPr="002E495E">
        <w:rPr>
          <w:color w:val="000000"/>
        </w:rPr>
        <w:t xml:space="preserve">ften not be </w:t>
      </w:r>
      <w:r w:rsidR="00B05C61">
        <w:rPr>
          <w:color w:val="000000"/>
        </w:rPr>
        <w:t>able to</w:t>
      </w:r>
      <w:r w:rsidRPr="002E495E">
        <w:rPr>
          <w:color w:val="000000"/>
        </w:rPr>
        <w:t xml:space="preserve"> determine if their actions require them to submit a report.  </w:t>
      </w:r>
      <w:r w:rsidR="005612F0">
        <w:rPr>
          <w:color w:val="000000"/>
        </w:rPr>
        <w:t xml:space="preserve">This information “disconnect” </w:t>
      </w:r>
      <w:r w:rsidR="0023749E">
        <w:rPr>
          <w:color w:val="000000"/>
        </w:rPr>
        <w:t>demonstrates</w:t>
      </w:r>
      <w:r w:rsidR="005612F0">
        <w:rPr>
          <w:color w:val="000000"/>
        </w:rPr>
        <w:t xml:space="preserve"> that RCs and BAs are likely not the appropriate entities for such reporting requirements</w:t>
      </w:r>
      <w:r w:rsidR="00020F07">
        <w:rPr>
          <w:color w:val="000000"/>
        </w:rPr>
        <w:t xml:space="preserve">.  </w:t>
      </w:r>
      <w:r w:rsidR="0023749E">
        <w:rPr>
          <w:color w:val="000000"/>
        </w:rPr>
        <w:t xml:space="preserve">Facility owners are closest to events occurring on their facilities, although they do not have broader situational awareness. </w:t>
      </w:r>
      <w:r w:rsidR="00020F07">
        <w:rPr>
          <w:color w:val="000000"/>
        </w:rPr>
        <w:t xml:space="preserve">Therefore, to the extent the Commission </w:t>
      </w:r>
      <w:r w:rsidR="00020F07">
        <w:t>disagrees with the Joint ISOs/RTOs</w:t>
      </w:r>
      <w:r w:rsidR="00575D43">
        <w:t xml:space="preserve"> position that event reporting is not appropriate for inclusion in reliability standards, at a minimum, </w:t>
      </w:r>
      <w:r w:rsidR="00020F07">
        <w:t xml:space="preserve">EOP 004-002 needs </w:t>
      </w:r>
      <w:r w:rsidR="00723F6C">
        <w:t>clarification in this regard.</w:t>
      </w:r>
      <w:r w:rsidR="005612F0">
        <w:rPr>
          <w:color w:val="000000"/>
        </w:rPr>
        <w:t xml:space="preserve"> </w:t>
      </w:r>
    </w:p>
    <w:p w:rsidR="00575D43" w:rsidRDefault="005612F0" w:rsidP="00226BAD">
      <w:pPr>
        <w:autoSpaceDE w:val="0"/>
        <w:autoSpaceDN w:val="0"/>
        <w:adjustRightInd w:val="0"/>
        <w:spacing w:line="480" w:lineRule="auto"/>
        <w:ind w:firstLine="720"/>
        <w:rPr>
          <w:color w:val="000000"/>
        </w:rPr>
      </w:pPr>
      <w:r>
        <w:rPr>
          <w:color w:val="000000"/>
        </w:rPr>
        <w:t>If the reporting requirement discussed above is retained</w:t>
      </w:r>
      <w:r w:rsidR="00821C66">
        <w:rPr>
          <w:color w:val="000000"/>
        </w:rPr>
        <w:t xml:space="preserve">, </w:t>
      </w:r>
      <w:r>
        <w:rPr>
          <w:color w:val="000000"/>
        </w:rPr>
        <w:t xml:space="preserve">it is </w:t>
      </w:r>
      <w:r w:rsidR="00D75565">
        <w:rPr>
          <w:color w:val="000000"/>
        </w:rPr>
        <w:t xml:space="preserve">possible </w:t>
      </w:r>
      <w:r>
        <w:rPr>
          <w:color w:val="000000"/>
        </w:rPr>
        <w:t xml:space="preserve">that the </w:t>
      </w:r>
      <w:r w:rsidR="001A25EA">
        <w:rPr>
          <w:color w:val="000000"/>
        </w:rPr>
        <w:t>r</w:t>
      </w:r>
      <w:r w:rsidR="00AF2AE9" w:rsidRPr="002E495E">
        <w:rPr>
          <w:color w:val="000000"/>
        </w:rPr>
        <w:t xml:space="preserve">esponsible entities </w:t>
      </w:r>
      <w:r>
        <w:rPr>
          <w:color w:val="000000"/>
        </w:rPr>
        <w:t xml:space="preserve">(RCs, BAs) will </w:t>
      </w:r>
      <w:r w:rsidR="00AF2AE9" w:rsidRPr="002E495E">
        <w:rPr>
          <w:color w:val="000000"/>
        </w:rPr>
        <w:t>expend significant time and resources reporting daily operations and actions routinely taken to respond to observed BES conditions as they present themselves</w:t>
      </w:r>
      <w:r w:rsidR="001A25EA">
        <w:rPr>
          <w:color w:val="000000"/>
        </w:rPr>
        <w:t xml:space="preserve"> without knowing whether or not the initiating factor for these actions was t</w:t>
      </w:r>
      <w:r w:rsidR="001A25EA" w:rsidRPr="004571FD">
        <w:rPr>
          <w:color w:val="000000"/>
        </w:rPr>
        <w:t>he “damage or destruction of a Facility</w:t>
      </w:r>
      <w:r w:rsidR="001A25EA">
        <w:rPr>
          <w:color w:val="000000"/>
        </w:rPr>
        <w:t>.</w:t>
      </w:r>
      <w:r w:rsidR="001A25EA" w:rsidRPr="004571FD">
        <w:rPr>
          <w:color w:val="000000"/>
        </w:rPr>
        <w:t>”</w:t>
      </w:r>
      <w:r w:rsidR="001A25EA">
        <w:rPr>
          <w:color w:val="000000"/>
        </w:rPr>
        <w:t xml:space="preserve">  </w:t>
      </w:r>
      <w:r w:rsidR="00575D43">
        <w:rPr>
          <w:color w:val="000000"/>
        </w:rPr>
        <w:t>This is b</w:t>
      </w:r>
      <w:r w:rsidR="00D75565">
        <w:rPr>
          <w:color w:val="000000"/>
        </w:rPr>
        <w:t xml:space="preserve">ecause event reporting </w:t>
      </w:r>
      <w:r w:rsidR="006F2639">
        <w:rPr>
          <w:color w:val="000000"/>
        </w:rPr>
        <w:t xml:space="preserve">is backed by the potential for NERC </w:t>
      </w:r>
      <w:r w:rsidR="00226BAD">
        <w:rPr>
          <w:color w:val="000000"/>
        </w:rPr>
        <w:t>penalties</w:t>
      </w:r>
      <w:r w:rsidR="00821C66">
        <w:rPr>
          <w:color w:val="000000"/>
        </w:rPr>
        <w:t xml:space="preserve">, </w:t>
      </w:r>
      <w:r w:rsidR="00575D43">
        <w:rPr>
          <w:color w:val="000000"/>
        </w:rPr>
        <w:t xml:space="preserve">and </w:t>
      </w:r>
      <w:r w:rsidR="00AF2AE9" w:rsidRPr="002E495E">
        <w:rPr>
          <w:color w:val="000000"/>
        </w:rPr>
        <w:t xml:space="preserve">RCs and BAs </w:t>
      </w:r>
      <w:r w:rsidR="006F2639">
        <w:rPr>
          <w:color w:val="000000"/>
        </w:rPr>
        <w:t>may feel compelled to file reports as a precautionary measure</w:t>
      </w:r>
      <w:r w:rsidR="00B05C61">
        <w:rPr>
          <w:color w:val="000000"/>
        </w:rPr>
        <w:t xml:space="preserve">, </w:t>
      </w:r>
      <w:r w:rsidR="006F2639">
        <w:rPr>
          <w:color w:val="000000"/>
        </w:rPr>
        <w:t xml:space="preserve"> thereby taking action not otherwise needed to maintain a reliable Bulk Electric System.</w:t>
      </w:r>
      <w:r w:rsidR="00AF2AE9" w:rsidRPr="002E495E">
        <w:rPr>
          <w:color w:val="000000"/>
        </w:rPr>
        <w:t xml:space="preserve">  </w:t>
      </w:r>
    </w:p>
    <w:p w:rsidR="00AF2AE9" w:rsidRDefault="00CD4B3E" w:rsidP="00226BAD">
      <w:pPr>
        <w:autoSpaceDE w:val="0"/>
        <w:autoSpaceDN w:val="0"/>
        <w:adjustRightInd w:val="0"/>
        <w:spacing w:line="480" w:lineRule="auto"/>
        <w:ind w:firstLine="720"/>
        <w:rPr>
          <w:color w:val="000000"/>
        </w:rPr>
      </w:pPr>
      <w:r>
        <w:rPr>
          <w:color w:val="000000"/>
        </w:rPr>
        <w:t xml:space="preserve">Such reporting </w:t>
      </w:r>
      <w:r w:rsidR="008B2D6F">
        <w:rPr>
          <w:color w:val="000000"/>
        </w:rPr>
        <w:t xml:space="preserve">would </w:t>
      </w:r>
      <w:r w:rsidR="0023749E">
        <w:rPr>
          <w:color w:val="000000"/>
        </w:rPr>
        <w:t xml:space="preserve">result in </w:t>
      </w:r>
      <w:r w:rsidR="008B2D6F">
        <w:rPr>
          <w:color w:val="000000"/>
        </w:rPr>
        <w:t>a</w:t>
      </w:r>
      <w:r w:rsidR="00575D43">
        <w:rPr>
          <w:color w:val="000000"/>
        </w:rPr>
        <w:t>n inefficient allocation</w:t>
      </w:r>
      <w:r w:rsidR="008B2D6F">
        <w:rPr>
          <w:color w:val="000000"/>
        </w:rPr>
        <w:t xml:space="preserve"> of resources</w:t>
      </w:r>
      <w:r w:rsidR="00A5216F">
        <w:rPr>
          <w:color w:val="000000"/>
        </w:rPr>
        <w:t xml:space="preserve"> in multiple ways.  First, as discussed, subject entities may expend time and effort unnecessarily to proactively avoid </w:t>
      </w:r>
      <w:r w:rsidR="00A5216F">
        <w:rPr>
          <w:color w:val="000000"/>
        </w:rPr>
        <w:lastRenderedPageBreak/>
        <w:t>liability where there is none.  Furthermore, this could result in unnecessary follow-up discussion, information exchange and mitigating actions</w:t>
      </w:r>
      <w:r w:rsidR="008B2D6F">
        <w:rPr>
          <w:color w:val="000000"/>
        </w:rPr>
        <w:t xml:space="preserve">. </w:t>
      </w:r>
      <w:r w:rsidR="00575D43">
        <w:rPr>
          <w:color w:val="000000"/>
        </w:rPr>
        <w:t xml:space="preserve"> </w:t>
      </w:r>
      <w:r w:rsidR="00A5216F">
        <w:rPr>
          <w:color w:val="000000"/>
        </w:rPr>
        <w:t xml:space="preserve">For these and other types of events </w:t>
      </w:r>
      <w:r w:rsidR="00575D43">
        <w:rPr>
          <w:color w:val="000000"/>
        </w:rPr>
        <w:t xml:space="preserve">where </w:t>
      </w:r>
      <w:r w:rsidR="00A5216F">
        <w:rPr>
          <w:color w:val="000000"/>
        </w:rPr>
        <w:t>t</w:t>
      </w:r>
      <w:r w:rsidR="00AE468B">
        <w:rPr>
          <w:color w:val="000000"/>
        </w:rPr>
        <w:t xml:space="preserve">he reliability benefit from event analysis comes not from the timely </w:t>
      </w:r>
      <w:r w:rsidR="00AF2AE9" w:rsidRPr="002E495E">
        <w:rPr>
          <w:color w:val="000000"/>
        </w:rPr>
        <w:t>pr</w:t>
      </w:r>
      <w:r w:rsidR="00AE468B">
        <w:rPr>
          <w:color w:val="000000"/>
        </w:rPr>
        <w:t>eparation and submission of</w:t>
      </w:r>
      <w:r w:rsidR="00AF2AE9" w:rsidRPr="002E495E">
        <w:rPr>
          <w:color w:val="000000"/>
        </w:rPr>
        <w:t xml:space="preserve"> reports</w:t>
      </w:r>
      <w:r w:rsidR="00AE468B">
        <w:rPr>
          <w:color w:val="000000"/>
        </w:rPr>
        <w:t xml:space="preserve">, </w:t>
      </w:r>
      <w:r w:rsidR="0078230D">
        <w:rPr>
          <w:color w:val="000000"/>
        </w:rPr>
        <w:t>but from the breadth and depth of the information r</w:t>
      </w:r>
      <w:r w:rsidR="00624CB7">
        <w:rPr>
          <w:color w:val="000000"/>
        </w:rPr>
        <w:t>eported</w:t>
      </w:r>
      <w:r w:rsidR="00A5216F">
        <w:rPr>
          <w:color w:val="000000"/>
        </w:rPr>
        <w:t>,</w:t>
      </w:r>
      <w:r w:rsidR="0078230D">
        <w:rPr>
          <w:color w:val="000000"/>
        </w:rPr>
        <w:t xml:space="preserve"> the standard</w:t>
      </w:r>
      <w:r w:rsidR="00575D43">
        <w:rPr>
          <w:color w:val="000000"/>
        </w:rPr>
        <w:t>,</w:t>
      </w:r>
      <w:r w:rsidR="0078230D">
        <w:rPr>
          <w:color w:val="000000"/>
        </w:rPr>
        <w:t xml:space="preserve"> as proposed</w:t>
      </w:r>
      <w:r w:rsidR="00575D43">
        <w:rPr>
          <w:color w:val="000000"/>
        </w:rPr>
        <w:t>,</w:t>
      </w:r>
      <w:r w:rsidR="00AE468B">
        <w:rPr>
          <w:color w:val="000000"/>
        </w:rPr>
        <w:t xml:space="preserve"> could</w:t>
      </w:r>
      <w:r w:rsidR="00821C66">
        <w:rPr>
          <w:color w:val="000000"/>
        </w:rPr>
        <w:t xml:space="preserve"> result i</w:t>
      </w:r>
      <w:r w:rsidR="00226BAD">
        <w:rPr>
          <w:color w:val="000000"/>
        </w:rPr>
        <w:t xml:space="preserve">n </w:t>
      </w:r>
      <w:r w:rsidR="00821C66">
        <w:rPr>
          <w:color w:val="000000"/>
        </w:rPr>
        <w:t>the failure to achieve</w:t>
      </w:r>
      <w:r w:rsidR="00AF2AE9" w:rsidRPr="002E495E">
        <w:rPr>
          <w:color w:val="000000"/>
        </w:rPr>
        <w:t xml:space="preserve"> the stated objective of this standard, which is the</w:t>
      </w:r>
      <w:r w:rsidR="0078230D">
        <w:rPr>
          <w:color w:val="000000"/>
        </w:rPr>
        <w:t xml:space="preserve"> improvement of the reliability</w:t>
      </w:r>
      <w:r w:rsidR="00624CB7">
        <w:rPr>
          <w:color w:val="000000"/>
        </w:rPr>
        <w:t xml:space="preserve"> </w:t>
      </w:r>
      <w:r w:rsidR="00AF2AE9" w:rsidRPr="002E495E">
        <w:rPr>
          <w:color w:val="000000"/>
        </w:rPr>
        <w:t>of the Bulk Electric System.</w:t>
      </w:r>
    </w:p>
    <w:p w:rsidR="00AF2AE9" w:rsidRPr="002E495E" w:rsidRDefault="00226BAD" w:rsidP="0078230D">
      <w:pPr>
        <w:autoSpaceDE w:val="0"/>
        <w:autoSpaceDN w:val="0"/>
        <w:adjustRightInd w:val="0"/>
        <w:spacing w:line="480" w:lineRule="auto"/>
        <w:ind w:firstLine="720"/>
        <w:rPr>
          <w:color w:val="000000"/>
        </w:rPr>
      </w:pPr>
      <w:r w:rsidRPr="004571FD">
        <w:rPr>
          <w:color w:val="000000"/>
        </w:rPr>
        <w:t xml:space="preserve">Accordingly, </w:t>
      </w:r>
      <w:r>
        <w:rPr>
          <w:color w:val="000000"/>
        </w:rPr>
        <w:t xml:space="preserve">the </w:t>
      </w:r>
      <w:r w:rsidR="00776600" w:rsidRPr="00AC5273">
        <w:t>Joint ISOs/RTOs</w:t>
      </w:r>
      <w:r w:rsidR="00776600">
        <w:rPr>
          <w:color w:val="000000"/>
        </w:rPr>
        <w:t xml:space="preserve"> respectfully request</w:t>
      </w:r>
      <w:r>
        <w:rPr>
          <w:color w:val="000000"/>
        </w:rPr>
        <w:t xml:space="preserve"> that the Commission remand EOP-004-2</w:t>
      </w:r>
      <w:r w:rsidRPr="004571FD">
        <w:rPr>
          <w:color w:val="000000"/>
        </w:rPr>
        <w:t xml:space="preserve"> to</w:t>
      </w:r>
      <w:r w:rsidR="00355F21">
        <w:rPr>
          <w:color w:val="000000"/>
        </w:rPr>
        <w:t xml:space="preserve"> address the inappropriate assignment of responsibility in the event threshold.   Appropriate revisions could include</w:t>
      </w:r>
      <w:r w:rsidR="00B05C61">
        <w:rPr>
          <w:color w:val="000000"/>
        </w:rPr>
        <w:t xml:space="preserve">: </w:t>
      </w:r>
      <w:r w:rsidR="00355F21">
        <w:rPr>
          <w:color w:val="000000"/>
        </w:rPr>
        <w:t xml:space="preserve"> </w:t>
      </w:r>
      <w:r w:rsidRPr="004571FD">
        <w:rPr>
          <w:color w:val="000000"/>
        </w:rPr>
        <w:t>(1) remov</w:t>
      </w:r>
      <w:r w:rsidR="00B05C61">
        <w:rPr>
          <w:color w:val="000000"/>
        </w:rPr>
        <w:t>ing</w:t>
      </w:r>
      <w:r w:rsidRPr="004571FD">
        <w:rPr>
          <w:color w:val="000000"/>
        </w:rPr>
        <w:t xml:space="preserve"> the requirement for RCs and BAs to report the “damage or destruction of a Facility” as it is redundant of the immediately subsequent requirement,</w:t>
      </w:r>
      <w:r w:rsidR="00B05C61">
        <w:rPr>
          <w:color w:val="000000"/>
        </w:rPr>
        <w:t xml:space="preserve"> and</w:t>
      </w:r>
      <w:r w:rsidRPr="004571FD">
        <w:rPr>
          <w:color w:val="000000"/>
        </w:rPr>
        <w:t xml:space="preserve"> (2) remov</w:t>
      </w:r>
      <w:r w:rsidR="00B05C61">
        <w:rPr>
          <w:color w:val="000000"/>
        </w:rPr>
        <w:t>ing</w:t>
      </w:r>
      <w:r w:rsidRPr="004571FD">
        <w:rPr>
          <w:color w:val="000000"/>
        </w:rPr>
        <w:t xml:space="preserve"> reporting responsibility from BAs to report the “damage or des</w:t>
      </w:r>
      <w:r w:rsidR="00020F07">
        <w:rPr>
          <w:color w:val="000000"/>
        </w:rPr>
        <w:t>truction of a Facility</w:t>
      </w:r>
      <w:r w:rsidR="008E62B0">
        <w:rPr>
          <w:color w:val="000000"/>
        </w:rPr>
        <w:t>,</w:t>
      </w:r>
      <w:r w:rsidR="00020F07">
        <w:rPr>
          <w:color w:val="000000"/>
        </w:rPr>
        <w:t>” as the appropriate responsible entity for this requirement needs clarification.</w:t>
      </w:r>
    </w:p>
    <w:p w:rsidR="00FD76E7" w:rsidRPr="00E8333F" w:rsidRDefault="00A02656" w:rsidP="00E8333F">
      <w:pPr>
        <w:numPr>
          <w:ilvl w:val="0"/>
          <w:numId w:val="10"/>
        </w:numPr>
        <w:autoSpaceDE w:val="0"/>
        <w:autoSpaceDN w:val="0"/>
        <w:adjustRightInd w:val="0"/>
        <w:spacing w:line="480" w:lineRule="auto"/>
        <w:rPr>
          <w:i/>
          <w:color w:val="000000"/>
        </w:rPr>
      </w:pPr>
      <w:r w:rsidRPr="00E8333F">
        <w:rPr>
          <w:i/>
          <w:color w:val="000000"/>
        </w:rPr>
        <w:t xml:space="preserve">The Timing Requirements are Overly Stringent </w:t>
      </w:r>
    </w:p>
    <w:p w:rsidR="00355F21" w:rsidRDefault="00FD76E7" w:rsidP="002E495E">
      <w:pPr>
        <w:autoSpaceDE w:val="0"/>
        <w:autoSpaceDN w:val="0"/>
        <w:adjustRightInd w:val="0"/>
        <w:spacing w:line="480" w:lineRule="auto"/>
        <w:ind w:firstLine="720"/>
        <w:rPr>
          <w:color w:val="000000"/>
        </w:rPr>
      </w:pPr>
      <w:r w:rsidRPr="004571FD">
        <w:rPr>
          <w:color w:val="000000"/>
        </w:rPr>
        <w:t xml:space="preserve">Finally, </w:t>
      </w:r>
      <w:r w:rsidR="005012AF">
        <w:rPr>
          <w:color w:val="000000"/>
        </w:rPr>
        <w:t xml:space="preserve">should the Commission continue to believe that a reliability standard governing the </w:t>
      </w:r>
      <w:r w:rsidR="0078230D">
        <w:rPr>
          <w:color w:val="000000"/>
        </w:rPr>
        <w:t xml:space="preserve">event </w:t>
      </w:r>
      <w:r w:rsidR="005012AF">
        <w:rPr>
          <w:color w:val="000000"/>
        </w:rPr>
        <w:t xml:space="preserve">reporting process must remain in </w:t>
      </w:r>
      <w:r w:rsidR="00226BAD">
        <w:rPr>
          <w:color w:val="000000"/>
        </w:rPr>
        <w:t>place</w:t>
      </w:r>
      <w:r w:rsidR="00355F21">
        <w:rPr>
          <w:color w:val="000000"/>
        </w:rPr>
        <w:t>,</w:t>
      </w:r>
      <w:r w:rsidR="0070466D">
        <w:rPr>
          <w:color w:val="000000"/>
        </w:rPr>
        <w:t xml:space="preserve"> </w:t>
      </w:r>
      <w:r w:rsidR="00B1289D">
        <w:rPr>
          <w:color w:val="000000"/>
        </w:rPr>
        <w:t xml:space="preserve">the </w:t>
      </w:r>
      <w:r w:rsidR="00776600" w:rsidRPr="00AC5273">
        <w:t>Joint ISOs/RTOs</w:t>
      </w:r>
      <w:r w:rsidR="00776600">
        <w:rPr>
          <w:color w:val="000000"/>
        </w:rPr>
        <w:t xml:space="preserve"> respectfully suggest</w:t>
      </w:r>
      <w:r w:rsidRPr="004571FD">
        <w:rPr>
          <w:color w:val="000000"/>
        </w:rPr>
        <w:t xml:space="preserve"> that </w:t>
      </w:r>
      <w:r w:rsidR="00B1289D">
        <w:rPr>
          <w:color w:val="000000"/>
        </w:rPr>
        <w:t xml:space="preserve">the Commission remand the proposed EOP-004-2 to </w:t>
      </w:r>
      <w:r w:rsidRPr="004571FD">
        <w:rPr>
          <w:color w:val="000000"/>
        </w:rPr>
        <w:t>NERC</w:t>
      </w:r>
      <w:r w:rsidR="00B1289D">
        <w:rPr>
          <w:color w:val="000000"/>
        </w:rPr>
        <w:t xml:space="preserve"> to</w:t>
      </w:r>
      <w:r w:rsidRPr="004571FD">
        <w:rPr>
          <w:color w:val="000000"/>
        </w:rPr>
        <w:t xml:space="preserve"> re-assess the timing requirements as related to the objectives expressed within this standard</w:t>
      </w:r>
      <w:r w:rsidR="0000585E">
        <w:rPr>
          <w:color w:val="000000"/>
        </w:rPr>
        <w:t xml:space="preserve">.  </w:t>
      </w:r>
    </w:p>
    <w:p w:rsidR="00F37FD9" w:rsidRDefault="007308BD" w:rsidP="008E62B0">
      <w:pPr>
        <w:autoSpaceDE w:val="0"/>
        <w:autoSpaceDN w:val="0"/>
        <w:adjustRightInd w:val="0"/>
        <w:spacing w:line="480" w:lineRule="auto"/>
        <w:ind w:firstLine="720"/>
      </w:pPr>
      <w:r>
        <w:rPr>
          <w:color w:val="000000"/>
        </w:rPr>
        <w:t>A</w:t>
      </w:r>
      <w:r w:rsidR="00BA3324">
        <w:t xml:space="preserve"> strict 24-hour </w:t>
      </w:r>
      <w:r>
        <w:t>obligation may not be necessary given the type of event and the type</w:t>
      </w:r>
      <w:r w:rsidR="0037410B">
        <w:t xml:space="preserve"> of</w:t>
      </w:r>
      <w:r>
        <w:t xml:space="preserve"> actions/responsible entities that can mitigate the event.  As discussed, where those benefits are realized by the actions of relevant functional entities, those benefits are already be</w:t>
      </w:r>
      <w:r w:rsidR="00CA27C6">
        <w:t>ing</w:t>
      </w:r>
      <w:r>
        <w:t xml:space="preserve"> achieved and there is no need for such stringent reporting obligations.  </w:t>
      </w:r>
      <w:r w:rsidR="00BA3324">
        <w:t xml:space="preserve">The benefit in post-event analysis and discussion comes from a thorough examination and deeper understanding of the issues </w:t>
      </w:r>
      <w:r w:rsidR="00BA3324">
        <w:lastRenderedPageBreak/>
        <w:t xml:space="preserve">associated with the event.  This requires time to gather and analyze data as well as to assemble data into a usable format, which currently generally occurs through a more corroborative, longer-term process after the submission of the OE-417 form.  </w:t>
      </w:r>
      <w:r>
        <w:t xml:space="preserve">Imposing a 24-hour reporting obligation provides no reliability benefit, because the reporting </w:t>
      </w:r>
      <w:r w:rsidR="00EA1404">
        <w:t>benefit</w:t>
      </w:r>
      <w:r>
        <w:t xml:space="preserve"> is from the </w:t>
      </w:r>
      <w:r w:rsidRPr="00E26AA6">
        <w:rPr>
          <w:i/>
        </w:rPr>
        <w:t>ex</w:t>
      </w:r>
      <w:r w:rsidR="00E26AA6" w:rsidRPr="00E26AA6">
        <w:rPr>
          <w:i/>
        </w:rPr>
        <w:t xml:space="preserve"> </w:t>
      </w:r>
      <w:r w:rsidRPr="00E26AA6">
        <w:rPr>
          <w:i/>
        </w:rPr>
        <w:t>post</w:t>
      </w:r>
      <w:r>
        <w:t xml:space="preserve"> activities described</w:t>
      </w:r>
      <w:r w:rsidR="00E26AA6">
        <w:t xml:space="preserve">.  Moreover, </w:t>
      </w:r>
      <w:r w:rsidR="00EA1404">
        <w:t>reporting the event within 24 hours is</w:t>
      </w:r>
      <w:r w:rsidR="00E26AA6">
        <w:t xml:space="preserve"> not necessary to </w:t>
      </w:r>
      <w:r w:rsidR="00EA1404">
        <w:t>mitigat</w:t>
      </w:r>
      <w:r w:rsidR="00E26AA6">
        <w:t>e</w:t>
      </w:r>
      <w:r w:rsidR="00EA1404">
        <w:t xml:space="preserve"> the immediate impacts of the event itself, </w:t>
      </w:r>
      <w:r w:rsidR="00E26AA6">
        <w:t xml:space="preserve">because, </w:t>
      </w:r>
      <w:r w:rsidR="00EA1404">
        <w:t xml:space="preserve">as discussed, those benefits are already realized by actions </w:t>
      </w:r>
      <w:r w:rsidR="00E26AA6">
        <w:t xml:space="preserve">taken by registered </w:t>
      </w:r>
      <w:r w:rsidR="00EA1404">
        <w:t>entities</w:t>
      </w:r>
      <w:r w:rsidR="00E26AA6">
        <w:t xml:space="preserve"> in operating the system</w:t>
      </w:r>
      <w:r>
        <w:t xml:space="preserve">.  </w:t>
      </w:r>
    </w:p>
    <w:p w:rsidR="00C067DA" w:rsidRPr="00AF46E4" w:rsidRDefault="00492ACF" w:rsidP="008E62B0">
      <w:pPr>
        <w:spacing w:before="120" w:line="480" w:lineRule="auto"/>
        <w:rPr>
          <w:b/>
        </w:rPr>
      </w:pPr>
      <w:r>
        <w:rPr>
          <w:b/>
        </w:rPr>
        <w:t>IV</w:t>
      </w:r>
      <w:r w:rsidR="00BF2340">
        <w:rPr>
          <w:b/>
        </w:rPr>
        <w:t>.</w:t>
      </w:r>
      <w:r w:rsidR="00BF2340">
        <w:rPr>
          <w:b/>
        </w:rPr>
        <w:tab/>
      </w:r>
      <w:r w:rsidR="00BF2340">
        <w:rPr>
          <w:b/>
          <w:u w:val="single"/>
        </w:rPr>
        <w:t>Conclusion</w:t>
      </w:r>
    </w:p>
    <w:p w:rsidR="00414332" w:rsidRDefault="00414332" w:rsidP="002E495E">
      <w:pPr>
        <w:autoSpaceDE w:val="0"/>
        <w:autoSpaceDN w:val="0"/>
        <w:adjustRightInd w:val="0"/>
        <w:spacing w:line="480" w:lineRule="auto"/>
        <w:ind w:firstLine="720"/>
        <w:rPr>
          <w:color w:val="000000"/>
        </w:rPr>
      </w:pPr>
      <w:r>
        <w:rPr>
          <w:color w:val="000000"/>
        </w:rPr>
        <w:t xml:space="preserve">In summary, the </w:t>
      </w:r>
      <w:r w:rsidRPr="00AC5273">
        <w:t>Joint ISOs/RTOs</w:t>
      </w:r>
      <w:r>
        <w:rPr>
          <w:color w:val="000000"/>
        </w:rPr>
        <w:t xml:space="preserve"> respectfully suggest </w:t>
      </w:r>
      <w:r w:rsidRPr="004571FD">
        <w:rPr>
          <w:color w:val="000000"/>
        </w:rPr>
        <w:t>that</w:t>
      </w:r>
      <w:r>
        <w:rPr>
          <w:color w:val="000000"/>
        </w:rPr>
        <w:t xml:space="preserve"> the Commission consider removing event reporting from the reliability standards framework, whether implemented via the proposed EOP-004-002, or via the existing standards that presently address event reporting – </w:t>
      </w:r>
      <w:r w:rsidR="006E6A02" w:rsidRPr="006E6A02">
        <w:rPr>
          <w:i/>
          <w:color w:val="000000"/>
        </w:rPr>
        <w:t>i.e.</w:t>
      </w:r>
      <w:r w:rsidR="00885B2B">
        <w:rPr>
          <w:i/>
          <w:color w:val="000000"/>
        </w:rPr>
        <w:t>,</w:t>
      </w:r>
      <w:r>
        <w:rPr>
          <w:color w:val="000000"/>
        </w:rPr>
        <w:t xml:space="preserve"> CIP-001-2a and EOP-004-1.  If the Commission disagrees with the </w:t>
      </w:r>
      <w:r w:rsidRPr="00AC5273">
        <w:t>Joint ISOs/RTOs</w:t>
      </w:r>
      <w:r>
        <w:rPr>
          <w:color w:val="000000"/>
        </w:rPr>
        <w:t>, and believes event reporting belongs in the reliability standards, to achieve the appropriate scope of the event reporting standard the Commission should move forward with EOP004-2 and retire CIP-001-2a and EOP-004-1  but remand EOP-004-2 to consider revisions consistent with these comments related to</w:t>
      </w:r>
      <w:r w:rsidR="00E26AA6">
        <w:rPr>
          <w:color w:val="000000"/>
        </w:rPr>
        <w:t>: (</w:t>
      </w:r>
      <w:r>
        <w:rPr>
          <w:color w:val="000000"/>
        </w:rPr>
        <w:t xml:space="preserve"> 1) the scope of events that should be included in Attachment 1</w:t>
      </w:r>
      <w:r w:rsidR="00E26AA6">
        <w:rPr>
          <w:color w:val="000000"/>
        </w:rPr>
        <w:t>, (</w:t>
      </w:r>
      <w:r>
        <w:rPr>
          <w:color w:val="000000"/>
        </w:rPr>
        <w:t xml:space="preserve"> 2) the scope of entities that are required to receive the mandatory reports; and </w:t>
      </w:r>
      <w:r w:rsidR="00E26AA6">
        <w:rPr>
          <w:color w:val="000000"/>
        </w:rPr>
        <w:t>(</w:t>
      </w:r>
      <w:r>
        <w:rPr>
          <w:color w:val="000000"/>
        </w:rPr>
        <w:t>3) consideration of the specific clarification described above, and any other events that require clarifications</w:t>
      </w:r>
      <w:r w:rsidR="00E26AA6">
        <w:rPr>
          <w:color w:val="000000"/>
        </w:rPr>
        <w:t>,</w:t>
      </w:r>
      <w:r>
        <w:rPr>
          <w:color w:val="000000"/>
        </w:rPr>
        <w:t xml:space="preserve"> to ensure the reporting obligation applies to the appropriate registered entit</w:t>
      </w:r>
      <w:r w:rsidR="00E26AA6">
        <w:rPr>
          <w:color w:val="000000"/>
        </w:rPr>
        <w:t>ies</w:t>
      </w:r>
      <w:r>
        <w:rPr>
          <w:color w:val="000000"/>
        </w:rPr>
        <w:t>.</w:t>
      </w:r>
    </w:p>
    <w:p w:rsidR="00BF2340" w:rsidRDefault="00BF2340" w:rsidP="002E495E">
      <w:pPr>
        <w:autoSpaceDE w:val="0"/>
        <w:autoSpaceDN w:val="0"/>
        <w:adjustRightInd w:val="0"/>
        <w:spacing w:line="480" w:lineRule="auto"/>
        <w:ind w:firstLine="720"/>
      </w:pPr>
      <w:r>
        <w:t xml:space="preserve">WHEREFORE, for the foregoing reasons, the </w:t>
      </w:r>
      <w:r w:rsidR="00776600" w:rsidRPr="00AC5273">
        <w:t>Joint ISOs/RTOs</w:t>
      </w:r>
      <w:r w:rsidR="00776600">
        <w:t xml:space="preserve"> respectfully request</w:t>
      </w:r>
      <w:r>
        <w:t xml:space="preserve"> that the Commission grant this motion to intervene out of time</w:t>
      </w:r>
      <w:r w:rsidR="00713FF2">
        <w:t xml:space="preserve"> and</w:t>
      </w:r>
      <w:r w:rsidR="00A91785">
        <w:t xml:space="preserve"> give due consideration to its comments</w:t>
      </w:r>
      <w:r>
        <w:t>.</w:t>
      </w:r>
    </w:p>
    <w:p w:rsidR="00776600" w:rsidRDefault="00776600" w:rsidP="00776600">
      <w:pPr>
        <w:spacing w:line="480" w:lineRule="auto"/>
      </w:pPr>
      <w:r>
        <w:t>Respectfully submitted,</w:t>
      </w:r>
      <w:r>
        <w:tab/>
      </w:r>
      <w:r>
        <w:tab/>
      </w:r>
      <w:r>
        <w:tab/>
      </w:r>
      <w:r>
        <w:tab/>
      </w:r>
    </w:p>
    <w:tbl>
      <w:tblPr>
        <w:tblW w:w="0" w:type="auto"/>
        <w:tblBorders>
          <w:top w:val="nil"/>
          <w:left w:val="nil"/>
          <w:bottom w:val="nil"/>
          <w:right w:val="nil"/>
        </w:tblBorders>
        <w:tblLayout w:type="fixed"/>
        <w:tblLook w:val="0000"/>
      </w:tblPr>
      <w:tblGrid>
        <w:gridCol w:w="4291"/>
        <w:gridCol w:w="4291"/>
      </w:tblGrid>
      <w:tr w:rsidR="00AF46E4" w:rsidTr="00AF46E4">
        <w:trPr>
          <w:trHeight w:val="3726"/>
        </w:trPr>
        <w:tc>
          <w:tcPr>
            <w:tcW w:w="4291" w:type="dxa"/>
          </w:tcPr>
          <w:p w:rsidR="00AF46E4" w:rsidRPr="00AF46E4" w:rsidRDefault="00AF46E4" w:rsidP="00916B27">
            <w:pPr>
              <w:pStyle w:val="NoSpacing"/>
              <w:rPr>
                <w:rFonts w:ascii="Times New Roman" w:hAnsi="Times New Roman" w:cs="Times New Roman"/>
                <w:sz w:val="24"/>
                <w:szCs w:val="24"/>
                <w:u w:val="single"/>
              </w:rPr>
            </w:pPr>
            <w:r>
              <w:rPr>
                <w:rFonts w:ascii="Times New Roman" w:hAnsi="Times New Roman" w:cs="Times New Roman"/>
                <w:sz w:val="24"/>
                <w:szCs w:val="24"/>
                <w:u w:val="single"/>
              </w:rPr>
              <w:lastRenderedPageBreak/>
              <w:t>/s/Nancy Saracino</w:t>
            </w:r>
          </w:p>
          <w:p w:rsidR="00AF46E4" w:rsidRPr="00AE1992" w:rsidRDefault="00AF46E4" w:rsidP="00916B27">
            <w:pPr>
              <w:pStyle w:val="NoSpacing"/>
              <w:rPr>
                <w:rFonts w:ascii="Times New Roman" w:hAnsi="Times New Roman" w:cs="Times New Roman"/>
                <w:sz w:val="24"/>
                <w:szCs w:val="24"/>
              </w:rPr>
            </w:pPr>
            <w:r w:rsidRPr="00AE1992">
              <w:rPr>
                <w:rFonts w:ascii="Times New Roman" w:hAnsi="Times New Roman" w:cs="Times New Roman"/>
                <w:sz w:val="24"/>
                <w:szCs w:val="24"/>
              </w:rPr>
              <w:t>Nancy Saracino</w:t>
            </w:r>
          </w:p>
          <w:p w:rsidR="00AF46E4" w:rsidRPr="00AE1992" w:rsidRDefault="00AF46E4" w:rsidP="00916B27">
            <w:pPr>
              <w:pStyle w:val="NoSpacing"/>
              <w:rPr>
                <w:rFonts w:ascii="Times New Roman" w:hAnsi="Times New Roman" w:cs="Times New Roman"/>
                <w:sz w:val="24"/>
                <w:szCs w:val="24"/>
              </w:rPr>
            </w:pPr>
            <w:r w:rsidRPr="00AE1992">
              <w:rPr>
                <w:rFonts w:ascii="Times New Roman" w:hAnsi="Times New Roman" w:cs="Times New Roman"/>
                <w:sz w:val="24"/>
                <w:szCs w:val="24"/>
              </w:rPr>
              <w:t>General Counsel</w:t>
            </w:r>
          </w:p>
          <w:p w:rsidR="00AF46E4" w:rsidRPr="00AE1992" w:rsidRDefault="00AF46E4" w:rsidP="00916B27">
            <w:pPr>
              <w:pStyle w:val="NoSpacing"/>
              <w:rPr>
                <w:rFonts w:ascii="Times New Roman" w:hAnsi="Times New Roman" w:cs="Times New Roman"/>
                <w:sz w:val="24"/>
                <w:szCs w:val="24"/>
              </w:rPr>
            </w:pPr>
            <w:r w:rsidRPr="00AE1992">
              <w:rPr>
                <w:rFonts w:ascii="Times New Roman" w:hAnsi="Times New Roman" w:cs="Times New Roman"/>
                <w:sz w:val="24"/>
                <w:szCs w:val="24"/>
              </w:rPr>
              <w:t>Roger Collanton</w:t>
            </w:r>
          </w:p>
          <w:p w:rsidR="00AF46E4" w:rsidRPr="00AE1992" w:rsidRDefault="00AF46E4" w:rsidP="00916B27">
            <w:pPr>
              <w:pStyle w:val="NoSpacing"/>
              <w:rPr>
                <w:rFonts w:ascii="Times New Roman" w:hAnsi="Times New Roman" w:cs="Times New Roman"/>
                <w:sz w:val="24"/>
                <w:szCs w:val="24"/>
              </w:rPr>
            </w:pPr>
            <w:r w:rsidRPr="00AE1992">
              <w:rPr>
                <w:rFonts w:ascii="Times New Roman" w:hAnsi="Times New Roman" w:cs="Times New Roman"/>
                <w:sz w:val="24"/>
                <w:szCs w:val="24"/>
              </w:rPr>
              <w:t>Deputy General Counsel - Legal</w:t>
            </w:r>
          </w:p>
          <w:p w:rsidR="00AF46E4" w:rsidRPr="00AE1992" w:rsidRDefault="00AF46E4" w:rsidP="00916B27">
            <w:pPr>
              <w:pStyle w:val="NoSpacing"/>
              <w:rPr>
                <w:rFonts w:ascii="Times New Roman" w:hAnsi="Times New Roman" w:cs="Times New Roman"/>
                <w:sz w:val="24"/>
                <w:szCs w:val="24"/>
              </w:rPr>
            </w:pPr>
            <w:r w:rsidRPr="00AE1992">
              <w:rPr>
                <w:rFonts w:ascii="Times New Roman" w:hAnsi="Times New Roman" w:cs="Times New Roman"/>
                <w:sz w:val="24"/>
                <w:szCs w:val="24"/>
              </w:rPr>
              <w:t>Anna McKenna*</w:t>
            </w:r>
          </w:p>
          <w:p w:rsidR="00AF46E4" w:rsidRPr="00AE1992" w:rsidRDefault="00AF46E4" w:rsidP="00916B27">
            <w:pPr>
              <w:pStyle w:val="NoSpacing"/>
              <w:rPr>
                <w:rFonts w:ascii="Times New Roman" w:hAnsi="Times New Roman" w:cs="Times New Roman"/>
                <w:sz w:val="24"/>
                <w:szCs w:val="24"/>
              </w:rPr>
            </w:pPr>
            <w:r w:rsidRPr="00AE1992">
              <w:rPr>
                <w:rFonts w:ascii="Times New Roman" w:hAnsi="Times New Roman" w:cs="Times New Roman"/>
                <w:sz w:val="24"/>
                <w:szCs w:val="24"/>
              </w:rPr>
              <w:t>Assistant General Counsel - Regulatory</w:t>
            </w:r>
          </w:p>
          <w:p w:rsidR="00AF46E4" w:rsidRPr="00AE1992" w:rsidRDefault="00AF46E4" w:rsidP="00916B27">
            <w:pPr>
              <w:pStyle w:val="NoSpacing"/>
              <w:rPr>
                <w:rFonts w:ascii="Times New Roman" w:hAnsi="Times New Roman" w:cs="Times New Roman"/>
                <w:b/>
                <w:sz w:val="24"/>
                <w:szCs w:val="24"/>
              </w:rPr>
            </w:pPr>
            <w:r w:rsidRPr="00AE1992">
              <w:rPr>
                <w:rFonts w:ascii="Times New Roman" w:hAnsi="Times New Roman" w:cs="Times New Roman"/>
                <w:b/>
                <w:sz w:val="24"/>
                <w:szCs w:val="24"/>
              </w:rPr>
              <w:t>California Independent System Operator</w:t>
            </w:r>
          </w:p>
          <w:p w:rsidR="00AF46E4" w:rsidRPr="00AE1992" w:rsidRDefault="00AF46E4" w:rsidP="00916B27">
            <w:pPr>
              <w:pStyle w:val="NoSpacing"/>
              <w:rPr>
                <w:rFonts w:ascii="Times New Roman" w:hAnsi="Times New Roman" w:cs="Times New Roman"/>
                <w:b/>
                <w:sz w:val="24"/>
                <w:szCs w:val="24"/>
              </w:rPr>
            </w:pPr>
            <w:r w:rsidRPr="00AE1992">
              <w:rPr>
                <w:rFonts w:ascii="Times New Roman" w:hAnsi="Times New Roman" w:cs="Times New Roman"/>
                <w:b/>
                <w:sz w:val="24"/>
                <w:szCs w:val="24"/>
              </w:rPr>
              <w:t>Corporation</w:t>
            </w:r>
          </w:p>
          <w:p w:rsidR="00AF46E4" w:rsidRPr="00AE1992" w:rsidRDefault="00AF46E4" w:rsidP="00916B27">
            <w:pPr>
              <w:pStyle w:val="NoSpacing"/>
              <w:rPr>
                <w:rFonts w:ascii="Times New Roman" w:hAnsi="Times New Roman" w:cs="Times New Roman"/>
                <w:sz w:val="24"/>
                <w:szCs w:val="24"/>
              </w:rPr>
            </w:pPr>
            <w:r w:rsidRPr="00AE1992">
              <w:rPr>
                <w:rFonts w:ascii="Times New Roman" w:hAnsi="Times New Roman" w:cs="Times New Roman"/>
                <w:sz w:val="24"/>
                <w:szCs w:val="24"/>
              </w:rPr>
              <w:t>151 Blue Ravine Road</w:t>
            </w:r>
          </w:p>
          <w:p w:rsidR="00AF46E4" w:rsidRDefault="00AF46E4" w:rsidP="00916B27">
            <w:pPr>
              <w:pStyle w:val="NoSpacing"/>
              <w:rPr>
                <w:rFonts w:ascii="Times New Roman" w:hAnsi="Times New Roman" w:cs="Times New Roman"/>
                <w:sz w:val="24"/>
                <w:szCs w:val="24"/>
              </w:rPr>
            </w:pPr>
            <w:r w:rsidRPr="00AE1992">
              <w:rPr>
                <w:rFonts w:ascii="Times New Roman" w:hAnsi="Times New Roman" w:cs="Times New Roman"/>
                <w:sz w:val="24"/>
                <w:szCs w:val="24"/>
              </w:rPr>
              <w:t>Folsom, California 95630</w:t>
            </w:r>
          </w:p>
          <w:p w:rsidR="00AF46E4" w:rsidRDefault="00AF46E4" w:rsidP="00916B27">
            <w:pPr>
              <w:pStyle w:val="NoSpacing"/>
              <w:rPr>
                <w:rFonts w:ascii="Times New Roman" w:hAnsi="Times New Roman" w:cs="Times New Roman"/>
                <w:sz w:val="24"/>
                <w:szCs w:val="24"/>
              </w:rPr>
            </w:pPr>
            <w:r w:rsidRPr="00AF46E4">
              <w:rPr>
                <w:rFonts w:ascii="Times New Roman" w:hAnsi="Times New Roman" w:cs="Times New Roman"/>
                <w:sz w:val="24"/>
                <w:szCs w:val="24"/>
              </w:rPr>
              <w:t>amckenna@caiso.com</w:t>
            </w:r>
          </w:p>
          <w:p w:rsidR="00AF46E4" w:rsidRPr="00AE1992" w:rsidRDefault="00AF46E4" w:rsidP="00916B27">
            <w:pPr>
              <w:pStyle w:val="NoSpacing"/>
              <w:rPr>
                <w:rFonts w:ascii="Times New Roman" w:hAnsi="Times New Roman" w:cs="Times New Roman"/>
                <w:sz w:val="24"/>
                <w:szCs w:val="24"/>
              </w:rPr>
            </w:pPr>
          </w:p>
          <w:p w:rsidR="00AF46E4" w:rsidRPr="00AF46E4" w:rsidRDefault="00AF46E4" w:rsidP="00916B27">
            <w:pPr>
              <w:pStyle w:val="NoSpacing"/>
              <w:rPr>
                <w:rFonts w:ascii="Times New Roman" w:hAnsi="Times New Roman" w:cs="Times New Roman"/>
                <w:sz w:val="24"/>
                <w:szCs w:val="24"/>
                <w:u w:val="single"/>
              </w:rPr>
            </w:pPr>
            <w:r w:rsidRPr="00AF46E4">
              <w:rPr>
                <w:rFonts w:ascii="Times New Roman" w:hAnsi="Times New Roman" w:cs="Times New Roman"/>
                <w:sz w:val="24"/>
                <w:szCs w:val="24"/>
                <w:u w:val="single"/>
              </w:rPr>
              <w:t>/s/Raymond W. Hepper</w:t>
            </w:r>
          </w:p>
        </w:tc>
        <w:tc>
          <w:tcPr>
            <w:tcW w:w="4291" w:type="dxa"/>
          </w:tcPr>
          <w:p w:rsidR="00AF46E4" w:rsidRPr="00AF46E4" w:rsidRDefault="00AF46E4" w:rsidP="00916B27">
            <w:pPr>
              <w:pStyle w:val="NoSpacing"/>
              <w:rPr>
                <w:rFonts w:ascii="Times New Roman" w:hAnsi="Times New Roman" w:cs="Times New Roman"/>
                <w:bCs/>
                <w:iCs/>
                <w:sz w:val="24"/>
                <w:szCs w:val="24"/>
                <w:u w:val="single"/>
                <w:lang w:val="pt-BR"/>
              </w:rPr>
            </w:pPr>
            <w:r w:rsidRPr="00AF46E4">
              <w:rPr>
                <w:rFonts w:ascii="Times New Roman" w:hAnsi="Times New Roman" w:cs="Times New Roman"/>
                <w:bCs/>
                <w:iCs/>
                <w:sz w:val="24"/>
                <w:szCs w:val="24"/>
                <w:u w:val="single"/>
                <w:lang w:val="pt-BR"/>
              </w:rPr>
              <w:t>/s/Matthew Morais</w:t>
            </w:r>
          </w:p>
          <w:p w:rsidR="00AF46E4" w:rsidRDefault="00AF46E4" w:rsidP="00916B27">
            <w:pPr>
              <w:pStyle w:val="NoSpacing"/>
              <w:rPr>
                <w:rFonts w:ascii="Times New Roman" w:hAnsi="Times New Roman" w:cs="Times New Roman"/>
                <w:bCs/>
                <w:iCs/>
                <w:sz w:val="24"/>
                <w:szCs w:val="24"/>
                <w:lang w:val="pt-BR"/>
              </w:rPr>
            </w:pPr>
            <w:r>
              <w:rPr>
                <w:rFonts w:ascii="Times New Roman" w:hAnsi="Times New Roman" w:cs="Times New Roman"/>
                <w:bCs/>
                <w:iCs/>
                <w:sz w:val="24"/>
                <w:szCs w:val="24"/>
                <w:lang w:val="pt-BR"/>
              </w:rPr>
              <w:t>Matthew Morais*</w:t>
            </w:r>
          </w:p>
          <w:p w:rsidR="00AF46E4" w:rsidRDefault="00AF46E4" w:rsidP="00916B27">
            <w:pPr>
              <w:pStyle w:val="NoSpacing"/>
              <w:rPr>
                <w:rFonts w:ascii="Times New Roman" w:hAnsi="Times New Roman" w:cs="Times New Roman"/>
                <w:bCs/>
                <w:iCs/>
                <w:sz w:val="24"/>
                <w:szCs w:val="24"/>
                <w:lang w:val="pt-BR"/>
              </w:rPr>
            </w:pPr>
            <w:r>
              <w:rPr>
                <w:rFonts w:ascii="Times New Roman" w:hAnsi="Times New Roman" w:cs="Times New Roman"/>
                <w:bCs/>
                <w:iCs/>
                <w:sz w:val="24"/>
                <w:szCs w:val="24"/>
                <w:lang w:val="pt-BR"/>
              </w:rPr>
              <w:t>Assistant General Counsel</w:t>
            </w:r>
          </w:p>
          <w:p w:rsidR="00AF46E4" w:rsidRDefault="00AF46E4" w:rsidP="00916B27">
            <w:pPr>
              <w:pStyle w:val="NoSpacing"/>
              <w:rPr>
                <w:rFonts w:ascii="Times New Roman" w:hAnsi="Times New Roman" w:cs="Times New Roman"/>
                <w:b/>
                <w:bCs/>
                <w:iCs/>
                <w:sz w:val="24"/>
                <w:szCs w:val="24"/>
                <w:lang w:val="pt-BR"/>
              </w:rPr>
            </w:pPr>
            <w:r>
              <w:rPr>
                <w:rFonts w:ascii="Times New Roman" w:hAnsi="Times New Roman" w:cs="Times New Roman"/>
                <w:b/>
                <w:bCs/>
                <w:iCs/>
                <w:sz w:val="24"/>
                <w:szCs w:val="24"/>
                <w:lang w:val="pt-BR"/>
              </w:rPr>
              <w:t xml:space="preserve">Electric Reliability Council of Texas,    </w:t>
            </w:r>
          </w:p>
          <w:p w:rsidR="00AF46E4" w:rsidRDefault="00AF46E4" w:rsidP="00916B27">
            <w:pPr>
              <w:pStyle w:val="NoSpacing"/>
              <w:rPr>
                <w:rFonts w:ascii="Times New Roman" w:hAnsi="Times New Roman" w:cs="Times New Roman"/>
                <w:b/>
                <w:bCs/>
                <w:iCs/>
                <w:sz w:val="24"/>
                <w:szCs w:val="24"/>
                <w:lang w:val="pt-BR"/>
              </w:rPr>
            </w:pPr>
            <w:r>
              <w:rPr>
                <w:rFonts w:ascii="Times New Roman" w:hAnsi="Times New Roman" w:cs="Times New Roman"/>
                <w:b/>
                <w:bCs/>
                <w:iCs/>
                <w:sz w:val="24"/>
                <w:szCs w:val="24"/>
                <w:lang w:val="pt-BR"/>
              </w:rPr>
              <w:t xml:space="preserve"> Inc.</w:t>
            </w:r>
          </w:p>
          <w:p w:rsidR="00AF46E4" w:rsidRDefault="00AF46E4" w:rsidP="00916B27">
            <w:pPr>
              <w:pStyle w:val="NoSpacing"/>
              <w:rPr>
                <w:rFonts w:ascii="Times New Roman" w:hAnsi="Times New Roman" w:cs="Times New Roman"/>
                <w:bCs/>
                <w:iCs/>
                <w:sz w:val="24"/>
                <w:szCs w:val="24"/>
                <w:lang w:val="pt-BR"/>
              </w:rPr>
            </w:pPr>
            <w:r>
              <w:rPr>
                <w:rFonts w:ascii="Times New Roman" w:hAnsi="Times New Roman" w:cs="Times New Roman"/>
                <w:bCs/>
                <w:iCs/>
                <w:sz w:val="24"/>
                <w:szCs w:val="24"/>
                <w:lang w:val="pt-BR"/>
              </w:rPr>
              <w:t>7620 Metro Center Drive</w:t>
            </w:r>
          </w:p>
          <w:p w:rsidR="00AF46E4" w:rsidRDefault="00AF46E4" w:rsidP="00916B27">
            <w:pPr>
              <w:pStyle w:val="NoSpacing"/>
              <w:rPr>
                <w:rFonts w:ascii="Times New Roman" w:hAnsi="Times New Roman" w:cs="Times New Roman"/>
                <w:bCs/>
                <w:iCs/>
                <w:sz w:val="24"/>
                <w:szCs w:val="24"/>
                <w:lang w:val="pt-BR"/>
              </w:rPr>
            </w:pPr>
            <w:r>
              <w:rPr>
                <w:rFonts w:ascii="Times New Roman" w:hAnsi="Times New Roman" w:cs="Times New Roman"/>
                <w:bCs/>
                <w:iCs/>
                <w:sz w:val="24"/>
                <w:szCs w:val="24"/>
                <w:lang w:val="pt-BR"/>
              </w:rPr>
              <w:t>Austin, Texas 78744</w:t>
            </w:r>
          </w:p>
          <w:p w:rsidR="00AF46E4" w:rsidRDefault="00AF46E4" w:rsidP="00916B27">
            <w:pPr>
              <w:pStyle w:val="NoSpacing"/>
              <w:rPr>
                <w:rFonts w:ascii="Times New Roman" w:hAnsi="Times New Roman" w:cs="Times New Roman"/>
                <w:bCs/>
                <w:iCs/>
                <w:sz w:val="24"/>
                <w:szCs w:val="24"/>
                <w:lang w:val="pt-BR"/>
              </w:rPr>
            </w:pPr>
            <w:r w:rsidRPr="00AF46E4">
              <w:rPr>
                <w:rFonts w:ascii="Times New Roman" w:hAnsi="Times New Roman" w:cs="Times New Roman"/>
                <w:bCs/>
                <w:iCs/>
                <w:sz w:val="24"/>
                <w:szCs w:val="24"/>
                <w:lang w:val="pt-BR"/>
              </w:rPr>
              <w:t>mmorais@ercot.com</w:t>
            </w:r>
          </w:p>
          <w:p w:rsidR="00AF46E4" w:rsidRDefault="00AF46E4" w:rsidP="00916B27">
            <w:pPr>
              <w:rPr>
                <w:b/>
                <w:bCs/>
                <w:i/>
                <w:iCs/>
              </w:rPr>
            </w:pPr>
          </w:p>
        </w:tc>
      </w:tr>
      <w:tr w:rsidR="00AF46E4">
        <w:trPr>
          <w:trHeight w:val="2150"/>
        </w:trPr>
        <w:tc>
          <w:tcPr>
            <w:tcW w:w="4291" w:type="dxa"/>
          </w:tcPr>
          <w:p w:rsidR="00AF46E4" w:rsidRDefault="00AF46E4" w:rsidP="00916B27">
            <w:pPr>
              <w:autoSpaceDE w:val="0"/>
              <w:autoSpaceDN w:val="0"/>
              <w:adjustRightInd w:val="0"/>
            </w:pPr>
            <w:r>
              <w:t>Raymond W. Hepper</w:t>
            </w:r>
          </w:p>
          <w:p w:rsidR="00AF46E4" w:rsidRDefault="00AF46E4" w:rsidP="00916B27">
            <w:pPr>
              <w:autoSpaceDE w:val="0"/>
              <w:autoSpaceDN w:val="0"/>
              <w:adjustRightInd w:val="0"/>
            </w:pPr>
            <w:r>
              <w:t>Vice President, General Counsel, and        Secretary</w:t>
            </w:r>
          </w:p>
          <w:p w:rsidR="00AF46E4" w:rsidRDefault="00AF46E4" w:rsidP="00916B27">
            <w:pPr>
              <w:autoSpaceDE w:val="0"/>
              <w:autoSpaceDN w:val="0"/>
              <w:adjustRightInd w:val="0"/>
            </w:pPr>
            <w:r>
              <w:t>Theodore J. Paradise*</w:t>
            </w:r>
          </w:p>
          <w:p w:rsidR="00AF46E4" w:rsidRDefault="00AF46E4" w:rsidP="00916B27">
            <w:pPr>
              <w:autoSpaceDE w:val="0"/>
              <w:autoSpaceDN w:val="0"/>
              <w:adjustRightInd w:val="0"/>
            </w:pPr>
            <w:r>
              <w:t>Assistant General Counsel, Operations and Planning</w:t>
            </w:r>
          </w:p>
          <w:p w:rsidR="00AF46E4" w:rsidRDefault="00AF46E4" w:rsidP="00916B27">
            <w:pPr>
              <w:autoSpaceDE w:val="0"/>
              <w:autoSpaceDN w:val="0"/>
              <w:adjustRightInd w:val="0"/>
              <w:rPr>
                <w:b/>
                <w:bCs/>
              </w:rPr>
            </w:pPr>
            <w:r>
              <w:rPr>
                <w:b/>
                <w:bCs/>
              </w:rPr>
              <w:t>ISO New England Inc.</w:t>
            </w:r>
          </w:p>
          <w:p w:rsidR="00AF46E4" w:rsidRDefault="00AF46E4" w:rsidP="00916B27">
            <w:pPr>
              <w:autoSpaceDE w:val="0"/>
              <w:autoSpaceDN w:val="0"/>
              <w:adjustRightInd w:val="0"/>
            </w:pPr>
            <w:r>
              <w:t>One Sullivan Road</w:t>
            </w:r>
          </w:p>
          <w:p w:rsidR="00AF46E4" w:rsidRDefault="00AF46E4" w:rsidP="00916B27">
            <w:pPr>
              <w:autoSpaceDE w:val="0"/>
              <w:autoSpaceDN w:val="0"/>
              <w:adjustRightInd w:val="0"/>
            </w:pPr>
            <w:r>
              <w:t>Holyoke, Massachusetts 01040</w:t>
            </w:r>
          </w:p>
          <w:p w:rsidR="00AF46E4" w:rsidRDefault="00AF46E4" w:rsidP="00916B27">
            <w:pPr>
              <w:autoSpaceDE w:val="0"/>
              <w:autoSpaceDN w:val="0"/>
              <w:adjustRightInd w:val="0"/>
            </w:pPr>
            <w:r w:rsidRPr="00AF46E4">
              <w:t>tparadise@iso-ne.com</w:t>
            </w:r>
            <w:r>
              <w:t xml:space="preserve"> </w:t>
            </w:r>
          </w:p>
          <w:p w:rsidR="00AF46E4" w:rsidRDefault="00AF46E4" w:rsidP="00916B27">
            <w:pPr>
              <w:autoSpaceDE w:val="0"/>
              <w:autoSpaceDN w:val="0"/>
              <w:adjustRightInd w:val="0"/>
              <w:rPr>
                <w:b/>
                <w:bCs/>
                <w:i/>
                <w:iCs/>
              </w:rPr>
            </w:pPr>
          </w:p>
        </w:tc>
        <w:tc>
          <w:tcPr>
            <w:tcW w:w="4291" w:type="dxa"/>
          </w:tcPr>
          <w:p w:rsidR="00AF46E4" w:rsidRPr="00AF46E4" w:rsidRDefault="00AF46E4" w:rsidP="00916B27">
            <w:pPr>
              <w:autoSpaceDE w:val="0"/>
              <w:autoSpaceDN w:val="0"/>
              <w:adjustRightInd w:val="0"/>
              <w:rPr>
                <w:u w:val="single"/>
              </w:rPr>
            </w:pPr>
            <w:r w:rsidRPr="00AF46E4">
              <w:rPr>
                <w:u w:val="single"/>
              </w:rPr>
              <w:t>/s/Stephen G. Kozey</w:t>
            </w:r>
          </w:p>
          <w:p w:rsidR="00AF46E4" w:rsidRDefault="00AF46E4" w:rsidP="00916B27">
            <w:pPr>
              <w:autoSpaceDE w:val="0"/>
              <w:autoSpaceDN w:val="0"/>
              <w:adjustRightInd w:val="0"/>
            </w:pPr>
            <w:r>
              <w:t>Stephen G. Kozey*</w:t>
            </w:r>
          </w:p>
          <w:p w:rsidR="00AF46E4" w:rsidRDefault="00AF46E4" w:rsidP="00916B27">
            <w:pPr>
              <w:autoSpaceDE w:val="0"/>
              <w:autoSpaceDN w:val="0"/>
              <w:adjustRightInd w:val="0"/>
            </w:pPr>
            <w:r>
              <w:t>Vice President, General Counsel, and Secretary</w:t>
            </w:r>
          </w:p>
          <w:p w:rsidR="00AF46E4" w:rsidRDefault="00AF46E4" w:rsidP="00916B27">
            <w:pPr>
              <w:autoSpaceDE w:val="0"/>
              <w:autoSpaceDN w:val="0"/>
              <w:adjustRightInd w:val="0"/>
              <w:rPr>
                <w:b/>
                <w:bCs/>
              </w:rPr>
            </w:pPr>
            <w:r>
              <w:rPr>
                <w:b/>
                <w:bCs/>
              </w:rPr>
              <w:t>Midwest Independent Transmission</w:t>
            </w:r>
          </w:p>
          <w:p w:rsidR="00AF46E4" w:rsidRDefault="00AF46E4" w:rsidP="00916B27">
            <w:pPr>
              <w:autoSpaceDE w:val="0"/>
              <w:autoSpaceDN w:val="0"/>
              <w:adjustRightInd w:val="0"/>
              <w:rPr>
                <w:b/>
                <w:bCs/>
              </w:rPr>
            </w:pPr>
            <w:r>
              <w:rPr>
                <w:b/>
                <w:bCs/>
              </w:rPr>
              <w:t xml:space="preserve">   System Operator, Inc.</w:t>
            </w:r>
          </w:p>
          <w:p w:rsidR="00AF46E4" w:rsidRDefault="00AF46E4" w:rsidP="00916B27">
            <w:pPr>
              <w:autoSpaceDE w:val="0"/>
              <w:autoSpaceDN w:val="0"/>
              <w:adjustRightInd w:val="0"/>
            </w:pPr>
            <w:r>
              <w:t>P.O. Box 4202</w:t>
            </w:r>
          </w:p>
          <w:p w:rsidR="00AF46E4" w:rsidRDefault="00AF46E4" w:rsidP="00916B27">
            <w:pPr>
              <w:autoSpaceDE w:val="0"/>
              <w:autoSpaceDN w:val="0"/>
              <w:adjustRightInd w:val="0"/>
            </w:pPr>
            <w:r>
              <w:t>Carmel, Indiana 46082-4202</w:t>
            </w:r>
          </w:p>
          <w:p w:rsidR="00AF46E4" w:rsidRDefault="00AF46E4" w:rsidP="00916B27">
            <w:pPr>
              <w:autoSpaceDE w:val="0"/>
              <w:autoSpaceDN w:val="0"/>
              <w:adjustRightInd w:val="0"/>
            </w:pPr>
            <w:r w:rsidRPr="00AF46E4">
              <w:t>skozey@midwestiso.org</w:t>
            </w:r>
            <w:r>
              <w:t xml:space="preserve"> </w:t>
            </w:r>
          </w:p>
          <w:p w:rsidR="00AF46E4" w:rsidRDefault="00AF46E4" w:rsidP="00916B27">
            <w:pPr>
              <w:autoSpaceDE w:val="0"/>
              <w:autoSpaceDN w:val="0"/>
              <w:adjustRightInd w:val="0"/>
              <w:rPr>
                <w:b/>
                <w:bCs/>
                <w:i/>
                <w:iCs/>
              </w:rPr>
            </w:pPr>
          </w:p>
        </w:tc>
      </w:tr>
      <w:tr w:rsidR="00AF46E4" w:rsidTr="00AF46E4">
        <w:trPr>
          <w:trHeight w:val="630"/>
        </w:trPr>
        <w:tc>
          <w:tcPr>
            <w:tcW w:w="4291" w:type="dxa"/>
          </w:tcPr>
          <w:p w:rsidR="00AF46E4" w:rsidRPr="00AF46E4" w:rsidRDefault="00AF46E4" w:rsidP="00916B27">
            <w:pPr>
              <w:autoSpaceDE w:val="0"/>
              <w:autoSpaceDN w:val="0"/>
              <w:adjustRightInd w:val="0"/>
              <w:rPr>
                <w:u w:val="single"/>
              </w:rPr>
            </w:pPr>
            <w:r w:rsidRPr="00AF46E4">
              <w:rPr>
                <w:u w:val="single"/>
              </w:rPr>
              <w:t>/s/Carl F. Patka</w:t>
            </w:r>
          </w:p>
          <w:p w:rsidR="00AF46E4" w:rsidRDefault="00AF46E4" w:rsidP="00916B27">
            <w:pPr>
              <w:autoSpaceDE w:val="0"/>
              <w:autoSpaceDN w:val="0"/>
              <w:adjustRightInd w:val="0"/>
            </w:pPr>
            <w:r>
              <w:t>Carl F. Patka*</w:t>
            </w:r>
          </w:p>
          <w:p w:rsidR="00AF46E4" w:rsidRDefault="00AF46E4" w:rsidP="00916B27">
            <w:pPr>
              <w:autoSpaceDE w:val="0"/>
              <w:autoSpaceDN w:val="0"/>
              <w:adjustRightInd w:val="0"/>
            </w:pPr>
            <w:r>
              <w:t>Assistant General Counsel</w:t>
            </w:r>
          </w:p>
          <w:p w:rsidR="00AF46E4" w:rsidRDefault="00AF46E4" w:rsidP="00916B27">
            <w:pPr>
              <w:autoSpaceDE w:val="0"/>
              <w:autoSpaceDN w:val="0"/>
              <w:adjustRightInd w:val="0"/>
            </w:pPr>
            <w:r>
              <w:t>Kristin A. Bluvas</w:t>
            </w:r>
          </w:p>
          <w:p w:rsidR="00AF46E4" w:rsidRDefault="00AF46E4" w:rsidP="00916B27">
            <w:pPr>
              <w:autoSpaceDE w:val="0"/>
              <w:autoSpaceDN w:val="0"/>
              <w:adjustRightInd w:val="0"/>
            </w:pPr>
            <w:r>
              <w:t>Attorney</w:t>
            </w:r>
          </w:p>
          <w:p w:rsidR="00AF46E4" w:rsidRDefault="00AF46E4" w:rsidP="00916B27">
            <w:pPr>
              <w:autoSpaceDE w:val="0"/>
              <w:autoSpaceDN w:val="0"/>
              <w:adjustRightInd w:val="0"/>
            </w:pPr>
            <w:r>
              <w:t>Raymond Stalter</w:t>
            </w:r>
          </w:p>
          <w:p w:rsidR="00AF46E4" w:rsidRDefault="00AF46E4" w:rsidP="00916B27">
            <w:pPr>
              <w:autoSpaceDE w:val="0"/>
              <w:autoSpaceDN w:val="0"/>
              <w:adjustRightInd w:val="0"/>
            </w:pPr>
            <w:r>
              <w:t>Director of Regulatory Affairs</w:t>
            </w:r>
          </w:p>
          <w:p w:rsidR="00AF46E4" w:rsidRDefault="00AF46E4" w:rsidP="00916B27">
            <w:pPr>
              <w:autoSpaceDE w:val="0"/>
              <w:autoSpaceDN w:val="0"/>
              <w:adjustRightInd w:val="0"/>
              <w:rPr>
                <w:b/>
                <w:bCs/>
              </w:rPr>
            </w:pPr>
            <w:r>
              <w:rPr>
                <w:b/>
                <w:bCs/>
              </w:rPr>
              <w:t>New York Independent System Operator, Inc.</w:t>
            </w:r>
          </w:p>
          <w:p w:rsidR="00AF46E4" w:rsidRDefault="00AF46E4" w:rsidP="00916B27">
            <w:pPr>
              <w:autoSpaceDE w:val="0"/>
              <w:autoSpaceDN w:val="0"/>
              <w:adjustRightInd w:val="0"/>
            </w:pPr>
            <w:r>
              <w:t>10 Krey Blvd</w:t>
            </w:r>
            <w:r w:rsidR="00BF7072">
              <w:t>.</w:t>
            </w:r>
          </w:p>
          <w:p w:rsidR="00AF46E4" w:rsidRDefault="00AF46E4" w:rsidP="00916B27">
            <w:pPr>
              <w:autoSpaceDE w:val="0"/>
              <w:autoSpaceDN w:val="0"/>
              <w:adjustRightInd w:val="0"/>
            </w:pPr>
            <w:r>
              <w:t>Rensselaer, New York 12144</w:t>
            </w:r>
          </w:p>
          <w:p w:rsidR="00AF46E4" w:rsidRDefault="00AF46E4" w:rsidP="00916B27">
            <w:pPr>
              <w:autoSpaceDE w:val="0"/>
              <w:autoSpaceDN w:val="0"/>
              <w:adjustRightInd w:val="0"/>
            </w:pPr>
            <w:r w:rsidRPr="00AF46E4">
              <w:t>cpatka@nyiso.com</w:t>
            </w:r>
            <w:r>
              <w:t xml:space="preserve"> </w:t>
            </w:r>
          </w:p>
          <w:p w:rsidR="00AF46E4" w:rsidRDefault="00AF46E4" w:rsidP="00916B27">
            <w:pPr>
              <w:autoSpaceDE w:val="0"/>
              <w:autoSpaceDN w:val="0"/>
              <w:adjustRightInd w:val="0"/>
              <w:rPr>
                <w:b/>
                <w:bCs/>
                <w:i/>
                <w:iCs/>
              </w:rPr>
            </w:pPr>
          </w:p>
        </w:tc>
        <w:tc>
          <w:tcPr>
            <w:tcW w:w="4291" w:type="dxa"/>
          </w:tcPr>
          <w:p w:rsidR="00AF46E4" w:rsidRPr="00AF46E4" w:rsidRDefault="00AF46E4" w:rsidP="00916B27">
            <w:pPr>
              <w:autoSpaceDE w:val="0"/>
              <w:autoSpaceDN w:val="0"/>
              <w:adjustRightInd w:val="0"/>
              <w:rPr>
                <w:u w:val="single"/>
                <w:lang w:val="en-CA" w:eastAsia="en-CA"/>
              </w:rPr>
            </w:pPr>
            <w:r w:rsidRPr="00AF46E4">
              <w:rPr>
                <w:u w:val="single"/>
                <w:lang w:val="en-CA" w:eastAsia="en-CA"/>
              </w:rPr>
              <w:t>/s/Brian Rivard</w:t>
            </w:r>
          </w:p>
          <w:p w:rsidR="00AF46E4" w:rsidRDefault="00AF46E4" w:rsidP="00916B27">
            <w:pPr>
              <w:autoSpaceDE w:val="0"/>
              <w:autoSpaceDN w:val="0"/>
              <w:adjustRightInd w:val="0"/>
              <w:rPr>
                <w:lang w:val="en-CA" w:eastAsia="en-CA"/>
              </w:rPr>
            </w:pPr>
            <w:r>
              <w:rPr>
                <w:lang w:val="en-CA" w:eastAsia="en-CA"/>
              </w:rPr>
              <w:t>Brian Rivard*</w:t>
            </w:r>
          </w:p>
          <w:p w:rsidR="00AF46E4" w:rsidRDefault="00AF46E4" w:rsidP="00916B27">
            <w:pPr>
              <w:autoSpaceDE w:val="0"/>
              <w:autoSpaceDN w:val="0"/>
              <w:adjustRightInd w:val="0"/>
              <w:rPr>
                <w:lang w:val="en-CA" w:eastAsia="en-CA"/>
              </w:rPr>
            </w:pPr>
            <w:r>
              <w:rPr>
                <w:lang w:val="en-CA" w:eastAsia="en-CA"/>
              </w:rPr>
              <w:t>Manager – Regulatory Affairs &amp; Sector Policy Analysis</w:t>
            </w:r>
          </w:p>
          <w:p w:rsidR="00AF46E4" w:rsidRDefault="00AF46E4" w:rsidP="00916B27">
            <w:pPr>
              <w:autoSpaceDE w:val="0"/>
              <w:autoSpaceDN w:val="0"/>
              <w:adjustRightInd w:val="0"/>
              <w:rPr>
                <w:b/>
                <w:bCs/>
                <w:lang w:val="en-CA" w:eastAsia="en-CA"/>
              </w:rPr>
            </w:pPr>
            <w:r>
              <w:rPr>
                <w:b/>
                <w:bCs/>
                <w:lang w:val="en-CA" w:eastAsia="en-CA"/>
              </w:rPr>
              <w:t>Ontario’s Independent Electricity</w:t>
            </w:r>
          </w:p>
          <w:p w:rsidR="00AF46E4" w:rsidRDefault="00AF46E4" w:rsidP="00916B27">
            <w:pPr>
              <w:autoSpaceDE w:val="0"/>
              <w:autoSpaceDN w:val="0"/>
              <w:adjustRightInd w:val="0"/>
              <w:rPr>
                <w:b/>
                <w:bCs/>
                <w:lang w:val="en-CA" w:eastAsia="en-CA"/>
              </w:rPr>
            </w:pPr>
            <w:r>
              <w:rPr>
                <w:b/>
                <w:bCs/>
                <w:lang w:val="en-CA" w:eastAsia="en-CA"/>
              </w:rPr>
              <w:t xml:space="preserve"> System Operator</w:t>
            </w:r>
          </w:p>
          <w:p w:rsidR="00AF46E4" w:rsidRDefault="00AF46E4" w:rsidP="00916B27">
            <w:pPr>
              <w:autoSpaceDE w:val="0"/>
              <w:autoSpaceDN w:val="0"/>
              <w:adjustRightInd w:val="0"/>
              <w:rPr>
                <w:lang w:val="en-CA" w:eastAsia="en-CA"/>
              </w:rPr>
            </w:pPr>
            <w:r>
              <w:rPr>
                <w:lang w:val="en-CA" w:eastAsia="en-CA"/>
              </w:rPr>
              <w:t>655 Bay Street, Suite 410</w:t>
            </w:r>
          </w:p>
          <w:p w:rsidR="00AF46E4" w:rsidRDefault="00AF46E4" w:rsidP="00916B27">
            <w:pPr>
              <w:rPr>
                <w:lang w:val="en-CA" w:eastAsia="en-CA"/>
              </w:rPr>
            </w:pPr>
            <w:r>
              <w:rPr>
                <w:lang w:val="en-CA" w:eastAsia="en-CA"/>
              </w:rPr>
              <w:t>Toronto, Ontario M5G 2K4</w:t>
            </w:r>
          </w:p>
          <w:p w:rsidR="00AF46E4" w:rsidRDefault="00AF46E4" w:rsidP="00916B27">
            <w:pPr>
              <w:rPr>
                <w:lang w:val="en-CA" w:eastAsia="en-CA"/>
              </w:rPr>
            </w:pPr>
            <w:r w:rsidRPr="00AF46E4">
              <w:rPr>
                <w:lang w:val="en-CA" w:eastAsia="en-CA"/>
              </w:rPr>
              <w:t>brian.rivard@ieso.ca</w:t>
            </w:r>
            <w:r>
              <w:rPr>
                <w:lang w:val="en-CA" w:eastAsia="en-CA"/>
              </w:rPr>
              <w:t xml:space="preserve"> </w:t>
            </w:r>
          </w:p>
          <w:p w:rsidR="00AF46E4" w:rsidRDefault="00AF46E4" w:rsidP="00916B27">
            <w:pPr>
              <w:autoSpaceDE w:val="0"/>
              <w:autoSpaceDN w:val="0"/>
              <w:adjustRightInd w:val="0"/>
              <w:rPr>
                <w:b/>
                <w:bCs/>
                <w:i/>
                <w:iCs/>
              </w:rPr>
            </w:pPr>
          </w:p>
        </w:tc>
      </w:tr>
      <w:tr w:rsidR="00AF46E4" w:rsidTr="00C07F25">
        <w:trPr>
          <w:trHeight w:val="810"/>
        </w:trPr>
        <w:tc>
          <w:tcPr>
            <w:tcW w:w="4291" w:type="dxa"/>
          </w:tcPr>
          <w:p w:rsidR="00AF46E4" w:rsidRPr="00AF46E4" w:rsidRDefault="00AF46E4" w:rsidP="00916B27">
            <w:pPr>
              <w:autoSpaceDE w:val="0"/>
              <w:autoSpaceDN w:val="0"/>
              <w:adjustRightInd w:val="0"/>
              <w:rPr>
                <w:u w:val="single"/>
              </w:rPr>
            </w:pPr>
            <w:r w:rsidRPr="00AF46E4">
              <w:rPr>
                <w:u w:val="single"/>
              </w:rPr>
              <w:t>/s/Paul Suskie</w:t>
            </w:r>
          </w:p>
          <w:p w:rsidR="00AF46E4" w:rsidRDefault="00AF46E4" w:rsidP="00916B27">
            <w:pPr>
              <w:autoSpaceDE w:val="0"/>
              <w:autoSpaceDN w:val="0"/>
              <w:adjustRightInd w:val="0"/>
            </w:pPr>
            <w:r>
              <w:t>Paul Suskie*</w:t>
            </w:r>
          </w:p>
          <w:p w:rsidR="00AF46E4" w:rsidRDefault="00AF46E4" w:rsidP="00916B27">
            <w:pPr>
              <w:autoSpaceDE w:val="0"/>
              <w:autoSpaceDN w:val="0"/>
              <w:adjustRightInd w:val="0"/>
            </w:pPr>
            <w:r>
              <w:t>Senior Vice President, Regulatory Policy and General Counsel</w:t>
            </w:r>
          </w:p>
          <w:p w:rsidR="00AF46E4" w:rsidRDefault="00AF46E4" w:rsidP="00916B27">
            <w:pPr>
              <w:autoSpaceDE w:val="0"/>
              <w:autoSpaceDN w:val="0"/>
              <w:adjustRightInd w:val="0"/>
              <w:rPr>
                <w:b/>
                <w:bCs/>
              </w:rPr>
            </w:pPr>
            <w:r>
              <w:rPr>
                <w:b/>
                <w:bCs/>
              </w:rPr>
              <w:t>Southwest Power Pool, Inc.</w:t>
            </w:r>
          </w:p>
          <w:p w:rsidR="00AF46E4" w:rsidRDefault="00AF46E4" w:rsidP="00916B27">
            <w:pPr>
              <w:autoSpaceDE w:val="0"/>
              <w:autoSpaceDN w:val="0"/>
              <w:adjustRightInd w:val="0"/>
            </w:pPr>
            <w:r>
              <w:t>415 North McKinley, Suite 140</w:t>
            </w:r>
          </w:p>
          <w:p w:rsidR="00AF46E4" w:rsidRDefault="00AF46E4" w:rsidP="00916B27">
            <w:pPr>
              <w:autoSpaceDE w:val="0"/>
              <w:autoSpaceDN w:val="0"/>
              <w:adjustRightInd w:val="0"/>
            </w:pPr>
            <w:r>
              <w:t>Little Rock, Arkansas 72205</w:t>
            </w:r>
          </w:p>
          <w:p w:rsidR="00AF46E4" w:rsidRDefault="00AF46E4" w:rsidP="00916B27">
            <w:pPr>
              <w:autoSpaceDE w:val="0"/>
              <w:autoSpaceDN w:val="0"/>
              <w:adjustRightInd w:val="0"/>
            </w:pPr>
            <w:r w:rsidRPr="00AF46E4">
              <w:lastRenderedPageBreak/>
              <w:t>psuskie@spp.org</w:t>
            </w:r>
            <w:r>
              <w:t xml:space="preserve"> </w:t>
            </w:r>
          </w:p>
          <w:p w:rsidR="00AF46E4" w:rsidRDefault="00AF46E4" w:rsidP="00916B27">
            <w:pPr>
              <w:autoSpaceDE w:val="0"/>
              <w:autoSpaceDN w:val="0"/>
              <w:adjustRightInd w:val="0"/>
              <w:rPr>
                <w:b/>
                <w:bCs/>
                <w:iCs/>
              </w:rPr>
            </w:pPr>
          </w:p>
        </w:tc>
        <w:tc>
          <w:tcPr>
            <w:tcW w:w="4291" w:type="dxa"/>
          </w:tcPr>
          <w:p w:rsidR="00AF46E4" w:rsidRDefault="00AF46E4" w:rsidP="00916B27">
            <w:pPr>
              <w:autoSpaceDE w:val="0"/>
              <w:autoSpaceDN w:val="0"/>
              <w:adjustRightInd w:val="0"/>
              <w:rPr>
                <w:b/>
                <w:bCs/>
                <w:iCs/>
              </w:rPr>
            </w:pPr>
          </w:p>
        </w:tc>
      </w:tr>
    </w:tbl>
    <w:p w:rsidR="00AF46E4" w:rsidRDefault="00AF46E4" w:rsidP="00C067DA"/>
    <w:p w:rsidR="00BF2340" w:rsidRPr="00C067DA" w:rsidRDefault="00776600" w:rsidP="00C067DA">
      <w:r>
        <w:t xml:space="preserve">March </w:t>
      </w:r>
      <w:r w:rsidR="00414332">
        <w:t>7</w:t>
      </w:r>
      <w:r w:rsidR="00C067DA">
        <w:t>, 2013</w:t>
      </w:r>
    </w:p>
    <w:sectPr w:rsidR="00BF2340" w:rsidRPr="00C067DA" w:rsidSect="006E160A">
      <w:foot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54F" w:rsidRDefault="008D654F">
      <w:r>
        <w:separator/>
      </w:r>
    </w:p>
  </w:endnote>
  <w:endnote w:type="continuationSeparator" w:id="0">
    <w:p w:rsidR="008D654F" w:rsidRDefault="008D65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B2B" w:rsidRDefault="0095362B">
    <w:pPr>
      <w:pStyle w:val="Footer"/>
      <w:jc w:val="center"/>
    </w:pPr>
    <w:fldSimple w:instr=" PAGE   \* MERGEFORMAT ">
      <w:r w:rsidR="00A61FD0">
        <w:rPr>
          <w:noProof/>
        </w:rPr>
        <w:t>1</w:t>
      </w:r>
    </w:fldSimple>
  </w:p>
  <w:p w:rsidR="00885B2B" w:rsidRDefault="00885B2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54F" w:rsidRDefault="008D654F">
      <w:r>
        <w:separator/>
      </w:r>
    </w:p>
  </w:footnote>
  <w:footnote w:type="continuationSeparator" w:id="0">
    <w:p w:rsidR="008D654F" w:rsidRDefault="008D654F">
      <w:r>
        <w:continuationSeparator/>
      </w:r>
    </w:p>
  </w:footnote>
  <w:footnote w:id="1">
    <w:p w:rsidR="00885B2B" w:rsidRPr="00AC5273" w:rsidRDefault="00885B2B" w:rsidP="00AC5273">
      <w:pPr>
        <w:pStyle w:val="FootnoteText"/>
        <w:rPr>
          <w:sz w:val="20"/>
        </w:rPr>
      </w:pPr>
      <w:r w:rsidRPr="0026349A">
        <w:rPr>
          <w:rStyle w:val="FootnoteReference"/>
        </w:rPr>
        <w:footnoteRef/>
      </w:r>
      <w:r>
        <w:t xml:space="preserve"> </w:t>
      </w:r>
      <w:r w:rsidRPr="007208B4">
        <w:rPr>
          <w:sz w:val="20"/>
        </w:rPr>
        <w:t>The IESO is not subject to the Commission's jurisdiction, and joining these comments does not constitute agreement or acknowledgement that it can be subject to the Commission's jurisdiction</w:t>
      </w:r>
    </w:p>
  </w:footnote>
  <w:footnote w:id="2">
    <w:p w:rsidR="00885B2B" w:rsidRPr="00F518F4" w:rsidRDefault="00885B2B">
      <w:pPr>
        <w:pStyle w:val="FootnoteText"/>
        <w:rPr>
          <w:sz w:val="20"/>
        </w:rPr>
      </w:pPr>
      <w:r w:rsidRPr="00F518F4">
        <w:rPr>
          <w:rStyle w:val="FootnoteReference"/>
          <w:sz w:val="20"/>
        </w:rPr>
        <w:footnoteRef/>
      </w:r>
      <w:r w:rsidRPr="00F518F4">
        <w:rPr>
          <w:sz w:val="20"/>
        </w:rPr>
        <w:t xml:space="preserve">  </w:t>
      </w:r>
      <w:r w:rsidRPr="00F518F4">
        <w:rPr>
          <w:i/>
          <w:sz w:val="20"/>
        </w:rPr>
        <w:t>See</w:t>
      </w:r>
      <w:r w:rsidRPr="00F518F4">
        <w:rPr>
          <w:sz w:val="20"/>
        </w:rPr>
        <w:t xml:space="preserve"> FPA Section</w:t>
      </w:r>
      <w:r>
        <w:rPr>
          <w:sz w:val="20"/>
        </w:rPr>
        <w:t>s</w:t>
      </w:r>
      <w:r w:rsidRPr="00F518F4">
        <w:rPr>
          <w:sz w:val="20"/>
        </w:rPr>
        <w:t xml:space="preserve"> 215 (a)(3) and (4).</w:t>
      </w:r>
    </w:p>
  </w:footnote>
  <w:footnote w:id="3">
    <w:p w:rsidR="00885B2B" w:rsidRPr="00B410A0" w:rsidRDefault="00885B2B" w:rsidP="00AD7ACC">
      <w:pPr>
        <w:autoSpaceDE w:val="0"/>
        <w:autoSpaceDN w:val="0"/>
        <w:adjustRightInd w:val="0"/>
        <w:rPr>
          <w:sz w:val="20"/>
          <w:szCs w:val="20"/>
        </w:rPr>
      </w:pPr>
      <w:r w:rsidRPr="00B410A0">
        <w:rPr>
          <w:rStyle w:val="FootnoteReference"/>
          <w:sz w:val="20"/>
          <w:szCs w:val="20"/>
        </w:rPr>
        <w:footnoteRef/>
      </w:r>
      <w:r w:rsidRPr="00B410A0">
        <w:rPr>
          <w:i/>
          <w:sz w:val="20"/>
          <w:szCs w:val="20"/>
        </w:rPr>
        <w:t xml:space="preserve"> See</w:t>
      </w:r>
      <w:r w:rsidRPr="00B410A0">
        <w:rPr>
          <w:sz w:val="20"/>
          <w:szCs w:val="20"/>
        </w:rPr>
        <w:t xml:space="preserve"> comments submitted in response to NERC Comment Form soliciting comments from August 29, 2012 through September 27, 2012.  A summary of these comments are available at</w:t>
      </w:r>
      <w:r>
        <w:rPr>
          <w:sz w:val="20"/>
          <w:szCs w:val="20"/>
        </w:rPr>
        <w:t>:</w:t>
      </w:r>
      <w:r w:rsidRPr="00B410A0">
        <w:rPr>
          <w:sz w:val="20"/>
          <w:szCs w:val="20"/>
        </w:rPr>
        <w:t xml:space="preserve"> </w:t>
      </w:r>
      <w:hyperlink r:id="rId1" w:history="1">
        <w:r w:rsidRPr="00B410A0">
          <w:rPr>
            <w:rStyle w:val="Hyperlink"/>
            <w:sz w:val="20"/>
            <w:szCs w:val="20"/>
          </w:rPr>
          <w:t>http://www.nerc.com/docs/standards/sar/Comments_received_2009-01_100112.pdf</w:t>
        </w:r>
      </w:hyperlink>
      <w:r w:rsidRPr="00B410A0">
        <w:rPr>
          <w:sz w:val="20"/>
          <w:szCs w:val="20"/>
        </w:rPr>
        <w:t>.</w:t>
      </w:r>
    </w:p>
    <w:p w:rsidR="00885B2B" w:rsidRPr="00EB6B1E" w:rsidRDefault="00885B2B" w:rsidP="00AD7ACC">
      <w:pPr>
        <w:autoSpaceDE w:val="0"/>
        <w:autoSpaceDN w:val="0"/>
        <w:adjustRightInd w:val="0"/>
      </w:pPr>
    </w:p>
    <w:p w:rsidR="00885B2B" w:rsidRPr="00AD7ACC" w:rsidRDefault="00885B2B">
      <w:pPr>
        <w:pStyle w:val="FootnoteText"/>
      </w:pPr>
    </w:p>
  </w:footnote>
  <w:footnote w:id="4">
    <w:p w:rsidR="00885B2B" w:rsidRDefault="00885B2B" w:rsidP="00F518F4">
      <w:pPr>
        <w:pStyle w:val="FootnoteText"/>
        <w:rPr>
          <w:sz w:val="20"/>
        </w:rPr>
      </w:pPr>
      <w:r w:rsidRPr="00F518F4">
        <w:rPr>
          <w:rStyle w:val="FootnoteReference"/>
          <w:sz w:val="20"/>
        </w:rPr>
        <w:footnoteRef/>
      </w:r>
      <w:r w:rsidRPr="00F518F4">
        <w:rPr>
          <w:sz w:val="20"/>
        </w:rPr>
        <w:t xml:space="preserve"> In approving NERC’</w:t>
      </w:r>
      <w:r>
        <w:rPr>
          <w:sz w:val="20"/>
        </w:rPr>
        <w:t>s</w:t>
      </w:r>
      <w:r w:rsidRPr="00F518F4">
        <w:rPr>
          <w:sz w:val="20"/>
        </w:rPr>
        <w:t xml:space="preserve"> initial Find Fix and Track proposal the Commission stated:</w:t>
      </w:r>
    </w:p>
    <w:p w:rsidR="00885B2B" w:rsidRPr="00F518F4" w:rsidRDefault="00885B2B" w:rsidP="00F518F4">
      <w:pPr>
        <w:pStyle w:val="FootnoteText"/>
        <w:rPr>
          <w:i/>
          <w:sz w:val="20"/>
        </w:rPr>
      </w:pPr>
      <w:r w:rsidRPr="00F518F4">
        <w:rPr>
          <w:i/>
          <w:sz w:val="20"/>
        </w:rPr>
        <w:t>81.</w:t>
      </w:r>
      <w:r w:rsidRPr="00F518F4">
        <w:rPr>
          <w:i/>
          <w:sz w:val="20"/>
        </w:rPr>
        <w:tab/>
        <w:t>The Commission notes that NERC’s FFT initiative is predicated on the view that many violations of requirements currently included in Reliability Standards pose lesser risk to the Bulk-Power System.  If so, some current requirements likely provide little protection for Bulk-Power System reliability or may be redundant.  The Commission is interested in obtaining views on whether such requirements could be removed from the Reliability Standards with little effect on reliability and an increase in efficiency of the ERO compliance program.  If NERC believes that specific Reliability Standards or specific requirements within certain Standards should be revised or removed, we invite NERC to make specific proposals to the Commission identifying the Standards or requirements and setting forth in detail the technical basis for its belief.  In addition, or in the alternative, we invite NERC, the Regional Entities and other interested entities to propose appropriate mechanisms to identify and remove from the Commission-approved Reliability Standards unnecessary or redundant requirements.  We will not impose a deadline on when these comments should be submitted, but ask that to the extent such comments are submitted NERC, the Regional Entities, and interested entities coordinate to submit their respective comments concurrently.</w:t>
      </w:r>
    </w:p>
    <w:p w:rsidR="00885B2B" w:rsidRPr="00F518F4" w:rsidRDefault="00885B2B" w:rsidP="00F518F4">
      <w:pPr>
        <w:pStyle w:val="FootnoteText"/>
        <w:rPr>
          <w:sz w:val="20"/>
        </w:rPr>
      </w:pPr>
      <w:r w:rsidRPr="00F518F4">
        <w:rPr>
          <w:sz w:val="20"/>
        </w:rPr>
        <w:t xml:space="preserve">This resulted in an initiative to remove or revise requirements that pose lesser risk to the BPS.  There was supposed to be a second phase to the P 81 initiative, but it is the </w:t>
      </w:r>
      <w:r w:rsidRPr="00AF46E4">
        <w:rPr>
          <w:sz w:val="20"/>
        </w:rPr>
        <w:t>Joint ISOs/RTOs</w:t>
      </w:r>
      <w:r>
        <w:rPr>
          <w:sz w:val="20"/>
        </w:rPr>
        <w:t>’</w:t>
      </w:r>
      <w:r w:rsidRPr="00F518F4">
        <w:rPr>
          <w:sz w:val="20"/>
        </w:rPr>
        <w:t xml:space="preserve"> understanding that </w:t>
      </w:r>
      <w:r>
        <w:rPr>
          <w:sz w:val="20"/>
        </w:rPr>
        <w:t xml:space="preserve">this </w:t>
      </w:r>
      <w:r w:rsidRPr="00F518F4">
        <w:rPr>
          <w:sz w:val="20"/>
        </w:rPr>
        <w:t xml:space="preserve">has been either delayed or suspended by NERC.  </w:t>
      </w:r>
    </w:p>
  </w:footnote>
  <w:footnote w:id="5">
    <w:p w:rsidR="00885B2B" w:rsidRPr="001408F8" w:rsidRDefault="00885B2B">
      <w:pPr>
        <w:pStyle w:val="FootnoteText"/>
        <w:rPr>
          <w:sz w:val="20"/>
        </w:rPr>
      </w:pPr>
      <w:r w:rsidRPr="001408F8">
        <w:rPr>
          <w:rStyle w:val="FootnoteReference"/>
          <w:sz w:val="20"/>
        </w:rPr>
        <w:footnoteRef/>
      </w:r>
      <w:r w:rsidRPr="001408F8">
        <w:rPr>
          <w:sz w:val="20"/>
        </w:rPr>
        <w:t xml:space="preserve"> The </w:t>
      </w:r>
      <w:r w:rsidRPr="00AF46E4">
        <w:rPr>
          <w:sz w:val="20"/>
        </w:rPr>
        <w:t>Joint ISOs/RTOs</w:t>
      </w:r>
      <w:r w:rsidRPr="001408F8">
        <w:rPr>
          <w:sz w:val="20"/>
        </w:rPr>
        <w:t xml:space="preserve"> </w:t>
      </w:r>
      <w:r>
        <w:rPr>
          <w:sz w:val="20"/>
        </w:rPr>
        <w:t>submit</w:t>
      </w:r>
      <w:r w:rsidRPr="001408F8">
        <w:rPr>
          <w:sz w:val="20"/>
        </w:rPr>
        <w:t xml:space="preserve"> that many of the reporting requirements imposed by the proposed EOP-004-2 are duplicative of other event data reporting obligations; therefore, for those events where, as discussed above, timely, mandatory reporting provides no reliability benefit, the purpose and objective of the proposed EOP-004-2 could easily be accomplished outside of the reliability standards, </w:t>
      </w:r>
      <w:r w:rsidRPr="00FB3737">
        <w:rPr>
          <w:i/>
          <w:sz w:val="20"/>
        </w:rPr>
        <w:t>e.g.,</w:t>
      </w:r>
      <w:r w:rsidRPr="001408F8">
        <w:rPr>
          <w:sz w:val="20"/>
        </w:rPr>
        <w:t xml:space="preserve"> in the context of NERC’s independent event analysis process.  The Standard is also partly redundant of Department of Energy Form OE-417, which NERC proposes as an alternative for Responsible Entities to use to report events.   This form already elicits much of the same information that NERC seeks.  NERC could request copies of these forms at any time or as a matter of course from Registered Entities, but again, does not need to do so under a reliability standard.  </w:t>
      </w:r>
    </w:p>
  </w:footnote>
  <w:footnote w:id="6">
    <w:p w:rsidR="00885B2B" w:rsidRPr="00776600" w:rsidRDefault="00885B2B">
      <w:pPr>
        <w:pStyle w:val="FootnoteText"/>
      </w:pPr>
      <w:r w:rsidRPr="00776600">
        <w:rPr>
          <w:rStyle w:val="FootnoteReference"/>
          <w:sz w:val="20"/>
        </w:rPr>
        <w:footnoteRef/>
      </w:r>
      <w:r>
        <w:t xml:space="preserve"> </w:t>
      </w:r>
      <w:r w:rsidRPr="00776600">
        <w:rPr>
          <w:sz w:val="20"/>
        </w:rPr>
        <w:t>See NERC Petition Page 5.</w:t>
      </w:r>
    </w:p>
  </w:footnote>
  <w:footnote w:id="7">
    <w:p w:rsidR="00885B2B" w:rsidRPr="002E495E" w:rsidRDefault="00885B2B">
      <w:pPr>
        <w:pStyle w:val="FootnoteText"/>
      </w:pPr>
      <w:r>
        <w:rPr>
          <w:rStyle w:val="FootnoteReference"/>
        </w:rPr>
        <w:footnoteRef/>
      </w:r>
      <w:r>
        <w:t xml:space="preserve"> </w:t>
      </w:r>
      <w:r w:rsidRPr="00020F07">
        <w:rPr>
          <w:i/>
          <w:sz w:val="20"/>
        </w:rPr>
        <w:t>See</w:t>
      </w:r>
      <w:r w:rsidRPr="00020F07">
        <w:rPr>
          <w:sz w:val="20"/>
        </w:rPr>
        <w:t xml:space="preserve"> NERC Glossary of Terms Used in Reliability Standards.</w:t>
      </w:r>
    </w:p>
  </w:footnote>
  <w:footnote w:id="8">
    <w:p w:rsidR="00885B2B" w:rsidRPr="004571FD" w:rsidRDefault="00885B2B" w:rsidP="002E495E">
      <w:pPr>
        <w:autoSpaceDE w:val="0"/>
        <w:autoSpaceDN w:val="0"/>
        <w:adjustRightInd w:val="0"/>
        <w:ind w:left="720"/>
        <w:rPr>
          <w:color w:val="000000"/>
        </w:rPr>
      </w:pPr>
      <w:r>
        <w:rPr>
          <w:rStyle w:val="FootnoteReference"/>
        </w:rPr>
        <w:footnoteRef/>
      </w:r>
      <w:r>
        <w:t xml:space="preserve"> </w:t>
      </w:r>
      <w:r w:rsidRPr="00776600">
        <w:rPr>
          <w:sz w:val="20"/>
          <w:szCs w:val="20"/>
        </w:rPr>
        <w:t>As used, “Facility” is meant to be the defined term in the NERC Glossary of Terms Used in Reliability Standards:  “</w:t>
      </w:r>
      <w:r w:rsidRPr="00776600">
        <w:rPr>
          <w:color w:val="000000"/>
          <w:sz w:val="20"/>
          <w:szCs w:val="20"/>
        </w:rPr>
        <w:t>A set of electrical equipment that operates as a single Bulk Electric System Element (</w:t>
      </w:r>
      <w:r w:rsidR="006E6A02" w:rsidRPr="006E6A02">
        <w:rPr>
          <w:i/>
          <w:color w:val="000000"/>
          <w:sz w:val="20"/>
          <w:szCs w:val="20"/>
        </w:rPr>
        <w:t>e.g.,</w:t>
      </w:r>
      <w:r w:rsidRPr="00776600">
        <w:rPr>
          <w:color w:val="000000"/>
          <w:sz w:val="20"/>
          <w:szCs w:val="20"/>
        </w:rPr>
        <w:t xml:space="preserve"> a line, a generator, a shunt compensator, transformer, etc.)”.</w:t>
      </w:r>
    </w:p>
    <w:p w:rsidR="00885B2B" w:rsidRPr="002E495E" w:rsidRDefault="00885B2B">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CEECA3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41C33FD"/>
    <w:multiLevelType w:val="hybridMultilevel"/>
    <w:tmpl w:val="82D822E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75F15B9"/>
    <w:multiLevelType w:val="hybridMultilevel"/>
    <w:tmpl w:val="AC9A21CA"/>
    <w:lvl w:ilvl="0" w:tplc="620CEC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22C019C"/>
    <w:multiLevelType w:val="hybridMultilevel"/>
    <w:tmpl w:val="37287606"/>
    <w:lvl w:ilvl="0" w:tplc="4050C55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AE866C7"/>
    <w:multiLevelType w:val="hybridMultilevel"/>
    <w:tmpl w:val="799A6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0D7552F"/>
    <w:multiLevelType w:val="hybridMultilevel"/>
    <w:tmpl w:val="625E2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992062"/>
    <w:multiLevelType w:val="hybridMultilevel"/>
    <w:tmpl w:val="DD1654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EE6CCF"/>
    <w:multiLevelType w:val="hybridMultilevel"/>
    <w:tmpl w:val="8294F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F93F20"/>
    <w:multiLevelType w:val="hybridMultilevel"/>
    <w:tmpl w:val="CB9CB0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8"/>
  </w:num>
  <w:num w:numId="4">
    <w:abstractNumId w:val="8"/>
  </w:num>
  <w:num w:numId="5">
    <w:abstractNumId w:val="1"/>
  </w:num>
  <w:num w:numId="6">
    <w:abstractNumId w:val="4"/>
  </w:num>
  <w:num w:numId="7">
    <w:abstractNumId w:val="7"/>
  </w:num>
  <w:num w:numId="8">
    <w:abstractNumId w:val="5"/>
  </w:num>
  <w:num w:numId="9">
    <w:abstractNumId w:val="6"/>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US" w:vendorID="64" w:dllVersion="131078" w:nlCheck="1" w:checkStyle="1"/>
  <w:activeWritingStyle w:appName="MSWord" w:lang="en-CA" w:vendorID="64" w:dllVersion="131078" w:nlCheck="1" w:checkStyle="1"/>
  <w:stylePaneFormatFilter w:val="3F0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
  <w:docVars>
    <w:docVar w:name="SWDocIDDate" w:val="0"/>
    <w:docVar w:name="SWDocIDLocation" w:val="0"/>
  </w:docVars>
  <w:rsids>
    <w:rsidRoot w:val="00305747"/>
    <w:rsid w:val="00000039"/>
    <w:rsid w:val="00003B5C"/>
    <w:rsid w:val="0000585E"/>
    <w:rsid w:val="00015ED8"/>
    <w:rsid w:val="00020F07"/>
    <w:rsid w:val="00037D40"/>
    <w:rsid w:val="000512DF"/>
    <w:rsid w:val="00053064"/>
    <w:rsid w:val="00057A74"/>
    <w:rsid w:val="00072220"/>
    <w:rsid w:val="000A33F4"/>
    <w:rsid w:val="000A3533"/>
    <w:rsid w:val="000A4543"/>
    <w:rsid w:val="000D64FB"/>
    <w:rsid w:val="000E01DC"/>
    <w:rsid w:val="000E275F"/>
    <w:rsid w:val="000F1CB5"/>
    <w:rsid w:val="00121804"/>
    <w:rsid w:val="001408F8"/>
    <w:rsid w:val="00142DD9"/>
    <w:rsid w:val="0014631E"/>
    <w:rsid w:val="00151068"/>
    <w:rsid w:val="001A25EA"/>
    <w:rsid w:val="001A4ABE"/>
    <w:rsid w:val="001B69BE"/>
    <w:rsid w:val="001D2719"/>
    <w:rsid w:val="001E2101"/>
    <w:rsid w:val="00205331"/>
    <w:rsid w:val="002150EF"/>
    <w:rsid w:val="00221D66"/>
    <w:rsid w:val="00226BAD"/>
    <w:rsid w:val="0023749E"/>
    <w:rsid w:val="00240070"/>
    <w:rsid w:val="0026349A"/>
    <w:rsid w:val="0026748B"/>
    <w:rsid w:val="00272915"/>
    <w:rsid w:val="002A584E"/>
    <w:rsid w:val="002D6A27"/>
    <w:rsid w:val="002E495E"/>
    <w:rsid w:val="002F08C9"/>
    <w:rsid w:val="00305747"/>
    <w:rsid w:val="0030613B"/>
    <w:rsid w:val="00312754"/>
    <w:rsid w:val="00333222"/>
    <w:rsid w:val="00355F21"/>
    <w:rsid w:val="00356B36"/>
    <w:rsid w:val="00360C4C"/>
    <w:rsid w:val="003652EE"/>
    <w:rsid w:val="0037410B"/>
    <w:rsid w:val="00384520"/>
    <w:rsid w:val="003B0965"/>
    <w:rsid w:val="00414332"/>
    <w:rsid w:val="00420B92"/>
    <w:rsid w:val="00427720"/>
    <w:rsid w:val="004322AB"/>
    <w:rsid w:val="004362C1"/>
    <w:rsid w:val="00464217"/>
    <w:rsid w:val="00492ACF"/>
    <w:rsid w:val="004C6881"/>
    <w:rsid w:val="004D5EC2"/>
    <w:rsid w:val="004E113F"/>
    <w:rsid w:val="004F6674"/>
    <w:rsid w:val="005012AF"/>
    <w:rsid w:val="0050650A"/>
    <w:rsid w:val="00515302"/>
    <w:rsid w:val="00524AFD"/>
    <w:rsid w:val="00530B92"/>
    <w:rsid w:val="00543B37"/>
    <w:rsid w:val="00543C7F"/>
    <w:rsid w:val="00546879"/>
    <w:rsid w:val="005533F2"/>
    <w:rsid w:val="005612F0"/>
    <w:rsid w:val="00575D43"/>
    <w:rsid w:val="00590780"/>
    <w:rsid w:val="00594D32"/>
    <w:rsid w:val="00595572"/>
    <w:rsid w:val="005B48AB"/>
    <w:rsid w:val="005B6B7F"/>
    <w:rsid w:val="005C0D4F"/>
    <w:rsid w:val="006126B1"/>
    <w:rsid w:val="0062391F"/>
    <w:rsid w:val="00624CB7"/>
    <w:rsid w:val="0062694C"/>
    <w:rsid w:val="0062699D"/>
    <w:rsid w:val="00640F69"/>
    <w:rsid w:val="00646BFD"/>
    <w:rsid w:val="0067463B"/>
    <w:rsid w:val="00675F1C"/>
    <w:rsid w:val="006A1385"/>
    <w:rsid w:val="006E160A"/>
    <w:rsid w:val="006E38E7"/>
    <w:rsid w:val="006E48BA"/>
    <w:rsid w:val="006E6504"/>
    <w:rsid w:val="006E6A02"/>
    <w:rsid w:val="006F1638"/>
    <w:rsid w:val="006F1EA4"/>
    <w:rsid w:val="006F2639"/>
    <w:rsid w:val="006F6804"/>
    <w:rsid w:val="0070466D"/>
    <w:rsid w:val="00713FF2"/>
    <w:rsid w:val="007208B4"/>
    <w:rsid w:val="007239BF"/>
    <w:rsid w:val="00723F6C"/>
    <w:rsid w:val="00724D17"/>
    <w:rsid w:val="007301AD"/>
    <w:rsid w:val="007308BD"/>
    <w:rsid w:val="007401E3"/>
    <w:rsid w:val="007447B1"/>
    <w:rsid w:val="00757168"/>
    <w:rsid w:val="0076198B"/>
    <w:rsid w:val="00776600"/>
    <w:rsid w:val="00777F62"/>
    <w:rsid w:val="0078230D"/>
    <w:rsid w:val="007E0A82"/>
    <w:rsid w:val="007E5818"/>
    <w:rsid w:val="00821C66"/>
    <w:rsid w:val="00824D72"/>
    <w:rsid w:val="0085022A"/>
    <w:rsid w:val="008648D2"/>
    <w:rsid w:val="00870E8D"/>
    <w:rsid w:val="00880FC0"/>
    <w:rsid w:val="00884649"/>
    <w:rsid w:val="00885B2B"/>
    <w:rsid w:val="008B2D6F"/>
    <w:rsid w:val="008B33D5"/>
    <w:rsid w:val="008D618E"/>
    <w:rsid w:val="008D654F"/>
    <w:rsid w:val="008E62B0"/>
    <w:rsid w:val="00916B27"/>
    <w:rsid w:val="00951FFA"/>
    <w:rsid w:val="0095362B"/>
    <w:rsid w:val="009A3038"/>
    <w:rsid w:val="009B0252"/>
    <w:rsid w:val="009F33C1"/>
    <w:rsid w:val="00A01C33"/>
    <w:rsid w:val="00A02656"/>
    <w:rsid w:val="00A056EB"/>
    <w:rsid w:val="00A108DA"/>
    <w:rsid w:val="00A16C39"/>
    <w:rsid w:val="00A17487"/>
    <w:rsid w:val="00A310E1"/>
    <w:rsid w:val="00A42B33"/>
    <w:rsid w:val="00A45DC9"/>
    <w:rsid w:val="00A5216F"/>
    <w:rsid w:val="00A53432"/>
    <w:rsid w:val="00A61FD0"/>
    <w:rsid w:val="00A86101"/>
    <w:rsid w:val="00A91785"/>
    <w:rsid w:val="00AA1904"/>
    <w:rsid w:val="00AA425E"/>
    <w:rsid w:val="00AC5273"/>
    <w:rsid w:val="00AD3DCC"/>
    <w:rsid w:val="00AD7ACC"/>
    <w:rsid w:val="00AE0AFC"/>
    <w:rsid w:val="00AE1827"/>
    <w:rsid w:val="00AE1992"/>
    <w:rsid w:val="00AE468B"/>
    <w:rsid w:val="00AE63B9"/>
    <w:rsid w:val="00AF2AE9"/>
    <w:rsid w:val="00AF46E4"/>
    <w:rsid w:val="00B03E8B"/>
    <w:rsid w:val="00B05C61"/>
    <w:rsid w:val="00B1289D"/>
    <w:rsid w:val="00B15289"/>
    <w:rsid w:val="00B27185"/>
    <w:rsid w:val="00B304B6"/>
    <w:rsid w:val="00B410A0"/>
    <w:rsid w:val="00B5174E"/>
    <w:rsid w:val="00B72540"/>
    <w:rsid w:val="00B76EF8"/>
    <w:rsid w:val="00B842CE"/>
    <w:rsid w:val="00B87228"/>
    <w:rsid w:val="00BA3324"/>
    <w:rsid w:val="00BB49E0"/>
    <w:rsid w:val="00BE1674"/>
    <w:rsid w:val="00BE2944"/>
    <w:rsid w:val="00BE5A8E"/>
    <w:rsid w:val="00BE7A70"/>
    <w:rsid w:val="00BF2340"/>
    <w:rsid w:val="00BF4CC6"/>
    <w:rsid w:val="00BF7072"/>
    <w:rsid w:val="00C04DFF"/>
    <w:rsid w:val="00C067DA"/>
    <w:rsid w:val="00C07F25"/>
    <w:rsid w:val="00C2253D"/>
    <w:rsid w:val="00C24D55"/>
    <w:rsid w:val="00C2548B"/>
    <w:rsid w:val="00C60359"/>
    <w:rsid w:val="00C80E4B"/>
    <w:rsid w:val="00C8372E"/>
    <w:rsid w:val="00CA0B25"/>
    <w:rsid w:val="00CA27C6"/>
    <w:rsid w:val="00CC3912"/>
    <w:rsid w:val="00CD4B3E"/>
    <w:rsid w:val="00D06416"/>
    <w:rsid w:val="00D25A7D"/>
    <w:rsid w:val="00D377A0"/>
    <w:rsid w:val="00D43C19"/>
    <w:rsid w:val="00D65961"/>
    <w:rsid w:val="00D75565"/>
    <w:rsid w:val="00D779C8"/>
    <w:rsid w:val="00D9028A"/>
    <w:rsid w:val="00DA609A"/>
    <w:rsid w:val="00DB1ABF"/>
    <w:rsid w:val="00DB2CB5"/>
    <w:rsid w:val="00DE5EA7"/>
    <w:rsid w:val="00E121BE"/>
    <w:rsid w:val="00E25F5E"/>
    <w:rsid w:val="00E26AA6"/>
    <w:rsid w:val="00E31CC6"/>
    <w:rsid w:val="00E64DCF"/>
    <w:rsid w:val="00E70147"/>
    <w:rsid w:val="00E70AD8"/>
    <w:rsid w:val="00E74F94"/>
    <w:rsid w:val="00E8333F"/>
    <w:rsid w:val="00EA1404"/>
    <w:rsid w:val="00EB4589"/>
    <w:rsid w:val="00EB6B1E"/>
    <w:rsid w:val="00EC46FA"/>
    <w:rsid w:val="00ED35C4"/>
    <w:rsid w:val="00F029C0"/>
    <w:rsid w:val="00F21DFB"/>
    <w:rsid w:val="00F243F7"/>
    <w:rsid w:val="00F247E7"/>
    <w:rsid w:val="00F25B77"/>
    <w:rsid w:val="00F35BE4"/>
    <w:rsid w:val="00F37FD9"/>
    <w:rsid w:val="00F518F4"/>
    <w:rsid w:val="00F77F5E"/>
    <w:rsid w:val="00FA0316"/>
    <w:rsid w:val="00FB3051"/>
    <w:rsid w:val="00FB3737"/>
    <w:rsid w:val="00FB4011"/>
    <w:rsid w:val="00FC4FD3"/>
    <w:rsid w:val="00FC6FC9"/>
    <w:rsid w:val="00FD76E7"/>
    <w:rsid w:val="00FF4F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160A"/>
    <w:rPr>
      <w:sz w:val="24"/>
      <w:szCs w:val="24"/>
    </w:rPr>
  </w:style>
  <w:style w:type="paragraph" w:styleId="Heading1">
    <w:name w:val="heading 1"/>
    <w:basedOn w:val="Normal"/>
    <w:next w:val="Normal"/>
    <w:qFormat/>
    <w:rsid w:val="006E160A"/>
    <w:pPr>
      <w:keepNext/>
      <w:spacing w:after="240"/>
      <w:outlineLvl w:val="0"/>
    </w:pPr>
    <w:rPr>
      <w:rFonts w:cs="Arial"/>
      <w:bCs/>
      <w:szCs w:val="32"/>
    </w:rPr>
  </w:style>
  <w:style w:type="paragraph" w:styleId="Heading2">
    <w:name w:val="heading 2"/>
    <w:basedOn w:val="Normal"/>
    <w:next w:val="Normal"/>
    <w:qFormat/>
    <w:rsid w:val="006E160A"/>
    <w:pPr>
      <w:keepNext/>
      <w:spacing w:after="240"/>
      <w:outlineLvl w:val="1"/>
    </w:pPr>
    <w:rPr>
      <w:rFonts w:cs="Arial"/>
      <w:bCs/>
      <w:iCs/>
      <w:szCs w:val="28"/>
    </w:rPr>
  </w:style>
  <w:style w:type="paragraph" w:styleId="Heading3">
    <w:name w:val="heading 3"/>
    <w:basedOn w:val="Normal"/>
    <w:next w:val="Normal"/>
    <w:qFormat/>
    <w:rsid w:val="006E160A"/>
    <w:pPr>
      <w:spacing w:after="240"/>
      <w:outlineLvl w:val="2"/>
    </w:pPr>
    <w:rPr>
      <w:rFonts w:cs="Arial"/>
      <w:bCs/>
      <w:szCs w:val="26"/>
    </w:rPr>
  </w:style>
  <w:style w:type="paragraph" w:styleId="Heading4">
    <w:name w:val="heading 4"/>
    <w:basedOn w:val="Normal"/>
    <w:next w:val="Normal"/>
    <w:qFormat/>
    <w:rsid w:val="006E160A"/>
    <w:pPr>
      <w:spacing w:after="240"/>
      <w:outlineLvl w:val="3"/>
    </w:pPr>
    <w:rPr>
      <w:bCs/>
      <w:szCs w:val="28"/>
    </w:rPr>
  </w:style>
  <w:style w:type="paragraph" w:styleId="Heading5">
    <w:name w:val="heading 5"/>
    <w:basedOn w:val="Normal"/>
    <w:next w:val="Normal"/>
    <w:qFormat/>
    <w:rsid w:val="006E160A"/>
    <w:pPr>
      <w:spacing w:after="240"/>
      <w:outlineLvl w:val="4"/>
    </w:pPr>
    <w:rPr>
      <w:bCs/>
      <w:iCs/>
      <w:szCs w:val="26"/>
    </w:rPr>
  </w:style>
  <w:style w:type="paragraph" w:styleId="Heading6">
    <w:name w:val="heading 6"/>
    <w:basedOn w:val="Normal"/>
    <w:next w:val="Normal"/>
    <w:qFormat/>
    <w:rsid w:val="006E160A"/>
    <w:pPr>
      <w:spacing w:after="240"/>
      <w:outlineLvl w:val="5"/>
    </w:pPr>
    <w:rPr>
      <w:bCs/>
      <w:szCs w:val="22"/>
    </w:rPr>
  </w:style>
  <w:style w:type="paragraph" w:styleId="Heading7">
    <w:name w:val="heading 7"/>
    <w:basedOn w:val="Normal"/>
    <w:next w:val="Normal"/>
    <w:qFormat/>
    <w:rsid w:val="006E160A"/>
    <w:pPr>
      <w:spacing w:after="240"/>
      <w:outlineLvl w:val="6"/>
    </w:pPr>
  </w:style>
  <w:style w:type="paragraph" w:styleId="Heading8">
    <w:name w:val="heading 8"/>
    <w:basedOn w:val="Normal"/>
    <w:next w:val="Normal"/>
    <w:qFormat/>
    <w:rsid w:val="006E160A"/>
    <w:pPr>
      <w:spacing w:after="240"/>
      <w:outlineLvl w:val="7"/>
    </w:pPr>
    <w:rPr>
      <w:iCs/>
    </w:rPr>
  </w:style>
  <w:style w:type="paragraph" w:styleId="Heading9">
    <w:name w:val="heading 9"/>
    <w:basedOn w:val="Normal"/>
    <w:next w:val="Normal"/>
    <w:qFormat/>
    <w:rsid w:val="006E160A"/>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E16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6E160A"/>
    <w:pPr>
      <w:spacing w:after="120"/>
      <w:ind w:left="1440" w:right="1440"/>
    </w:pPr>
  </w:style>
  <w:style w:type="paragraph" w:styleId="BodyText2">
    <w:name w:val="Body Text 2"/>
    <w:basedOn w:val="Normal"/>
    <w:rsid w:val="006E160A"/>
    <w:pPr>
      <w:spacing w:line="480" w:lineRule="auto"/>
    </w:pPr>
  </w:style>
  <w:style w:type="paragraph" w:customStyle="1" w:styleId="BodyText2First1">
    <w:name w:val="Body Text 2 First 1&quot;"/>
    <w:basedOn w:val="Normal"/>
    <w:rsid w:val="006E160A"/>
    <w:pPr>
      <w:spacing w:line="480" w:lineRule="auto"/>
      <w:ind w:firstLine="1440"/>
    </w:pPr>
  </w:style>
  <w:style w:type="paragraph" w:customStyle="1" w:styleId="BodyTextFirst1">
    <w:name w:val="Body Text First 1&quot;"/>
    <w:basedOn w:val="Normal"/>
    <w:rsid w:val="006E160A"/>
    <w:pPr>
      <w:spacing w:after="240"/>
      <w:ind w:firstLine="1440"/>
    </w:pPr>
  </w:style>
  <w:style w:type="paragraph" w:styleId="BodyTextIndent">
    <w:name w:val="Body Text Indent"/>
    <w:aliases w:val="bi"/>
    <w:basedOn w:val="Normal"/>
    <w:rsid w:val="006E160A"/>
    <w:pPr>
      <w:spacing w:after="240"/>
      <w:ind w:left="720"/>
    </w:pPr>
  </w:style>
  <w:style w:type="paragraph" w:styleId="BodyTextFirstIndent2">
    <w:name w:val="Body Text First Indent 2"/>
    <w:basedOn w:val="BodyTextIndent"/>
    <w:rsid w:val="006E160A"/>
    <w:pPr>
      <w:spacing w:after="0" w:line="480" w:lineRule="auto"/>
      <w:ind w:left="0" w:firstLine="720"/>
    </w:pPr>
  </w:style>
  <w:style w:type="paragraph" w:styleId="BodyText">
    <w:name w:val="Body Text"/>
    <w:aliases w:val="b"/>
    <w:basedOn w:val="Normal"/>
    <w:rsid w:val="006E160A"/>
    <w:pPr>
      <w:spacing w:after="240"/>
    </w:pPr>
  </w:style>
  <w:style w:type="paragraph" w:styleId="BodyTextFirstIndent">
    <w:name w:val="Body Text First Indent"/>
    <w:aliases w:val="bf"/>
    <w:basedOn w:val="BodyText"/>
    <w:rsid w:val="006E160A"/>
    <w:pPr>
      <w:ind w:firstLine="720"/>
    </w:pPr>
  </w:style>
  <w:style w:type="paragraph" w:styleId="BodyTextIndent2">
    <w:name w:val="Body Text Indent 2"/>
    <w:basedOn w:val="Normal"/>
    <w:rsid w:val="006E160A"/>
    <w:pPr>
      <w:spacing w:line="480" w:lineRule="auto"/>
      <w:ind w:left="720"/>
    </w:pPr>
  </w:style>
  <w:style w:type="paragraph" w:styleId="EnvelopeAddress">
    <w:name w:val="envelope address"/>
    <w:basedOn w:val="Normal"/>
    <w:rsid w:val="006E160A"/>
    <w:pPr>
      <w:framePr w:w="7920" w:h="1980" w:hRule="exact" w:hSpace="180" w:wrap="auto" w:hAnchor="page" w:xAlign="center" w:yAlign="bottom"/>
      <w:ind w:left="2880"/>
    </w:pPr>
    <w:rPr>
      <w:rFonts w:cs="Arial"/>
    </w:rPr>
  </w:style>
  <w:style w:type="paragraph" w:styleId="EnvelopeReturn">
    <w:name w:val="envelope return"/>
    <w:basedOn w:val="Normal"/>
    <w:rsid w:val="006E160A"/>
    <w:rPr>
      <w:rFonts w:cs="Arial"/>
      <w:sz w:val="20"/>
      <w:szCs w:val="20"/>
    </w:rPr>
  </w:style>
  <w:style w:type="paragraph" w:styleId="Footer">
    <w:name w:val="footer"/>
    <w:basedOn w:val="Normal"/>
    <w:link w:val="FooterChar"/>
    <w:uiPriority w:val="99"/>
    <w:rsid w:val="006E160A"/>
    <w:pPr>
      <w:tabs>
        <w:tab w:val="center" w:pos="4680"/>
        <w:tab w:val="right" w:pos="9360"/>
      </w:tabs>
    </w:pPr>
  </w:style>
  <w:style w:type="paragraph" w:customStyle="1" w:styleId="FooterDocPath">
    <w:name w:val="FooterDocPath"/>
    <w:basedOn w:val="Footer"/>
    <w:rsid w:val="006E160A"/>
    <w:pPr>
      <w:jc w:val="right"/>
    </w:pPr>
    <w:rPr>
      <w:sz w:val="18"/>
    </w:rPr>
  </w:style>
  <w:style w:type="character" w:styleId="FootnoteReference">
    <w:name w:val="footnote reference"/>
    <w:semiHidden/>
    <w:rsid w:val="006E160A"/>
    <w:rPr>
      <w:vertAlign w:val="superscript"/>
    </w:rPr>
  </w:style>
  <w:style w:type="paragraph" w:styleId="FootnoteText">
    <w:name w:val="footnote text"/>
    <w:aliases w:val="fn,Footnote Text Char1,Footnote Text Char Char,Footnote Text Char1 Char,Footnote Text Char Char Char,Footnote Text Char2 Char,Footnote Text Char1 Char Char,Footnote Text Char Char Char Char,ft Char,fn Char Char,ft,f"/>
    <w:basedOn w:val="Normal"/>
    <w:link w:val="FootnoteTextChar"/>
    <w:uiPriority w:val="99"/>
    <w:semiHidden/>
    <w:rsid w:val="006E160A"/>
    <w:pPr>
      <w:spacing w:after="240"/>
      <w:ind w:firstLine="720"/>
    </w:pPr>
    <w:rPr>
      <w:szCs w:val="20"/>
    </w:rPr>
  </w:style>
  <w:style w:type="paragraph" w:customStyle="1" w:styleId="HangingIndent5">
    <w:name w:val="Hanging Indent .5"/>
    <w:basedOn w:val="Normal"/>
    <w:rsid w:val="006E160A"/>
    <w:pPr>
      <w:spacing w:after="240"/>
      <w:ind w:left="1440" w:hanging="720"/>
    </w:pPr>
  </w:style>
  <w:style w:type="paragraph" w:customStyle="1" w:styleId="HangingIndent1">
    <w:name w:val="Hanging Indent 1&quot;"/>
    <w:basedOn w:val="Normal"/>
    <w:rsid w:val="006E160A"/>
    <w:pPr>
      <w:spacing w:after="240"/>
      <w:ind w:left="2160" w:hanging="720"/>
    </w:pPr>
  </w:style>
  <w:style w:type="paragraph" w:customStyle="1" w:styleId="HangingIndent">
    <w:name w:val="Hanging Indent"/>
    <w:aliases w:val="h"/>
    <w:basedOn w:val="Normal"/>
    <w:rsid w:val="006E160A"/>
    <w:pPr>
      <w:spacing w:after="240"/>
      <w:ind w:left="720" w:hanging="720"/>
    </w:pPr>
  </w:style>
  <w:style w:type="paragraph" w:styleId="Header">
    <w:name w:val="header"/>
    <w:basedOn w:val="Normal"/>
    <w:link w:val="HeaderChar"/>
    <w:uiPriority w:val="99"/>
    <w:rsid w:val="006E160A"/>
    <w:pPr>
      <w:tabs>
        <w:tab w:val="center" w:pos="4680"/>
        <w:tab w:val="right" w:pos="9360"/>
      </w:tabs>
    </w:pPr>
  </w:style>
  <w:style w:type="paragraph" w:customStyle="1" w:styleId="Indent1FirstLine">
    <w:name w:val="Indent 1&quot; First Line"/>
    <w:basedOn w:val="Normal"/>
    <w:rsid w:val="006E160A"/>
    <w:pPr>
      <w:spacing w:after="240"/>
      <w:ind w:left="1440" w:firstLine="720"/>
    </w:pPr>
  </w:style>
  <w:style w:type="paragraph" w:customStyle="1" w:styleId="IndentFirstLine">
    <w:name w:val="Indent First Line"/>
    <w:aliases w:val="if"/>
    <w:basedOn w:val="Normal"/>
    <w:rsid w:val="006E160A"/>
    <w:pPr>
      <w:spacing w:after="240"/>
      <w:ind w:left="720" w:firstLine="720"/>
    </w:pPr>
  </w:style>
  <w:style w:type="paragraph" w:styleId="ListBullet">
    <w:name w:val="List Bullet"/>
    <w:basedOn w:val="Normal"/>
    <w:autoRedefine/>
    <w:rsid w:val="006E160A"/>
    <w:pPr>
      <w:numPr>
        <w:numId w:val="2"/>
      </w:numPr>
      <w:spacing w:after="240"/>
    </w:pPr>
  </w:style>
  <w:style w:type="character" w:styleId="PageNumber">
    <w:name w:val="page number"/>
    <w:basedOn w:val="DefaultParagraphFont"/>
    <w:rsid w:val="006E160A"/>
  </w:style>
  <w:style w:type="character" w:customStyle="1" w:styleId="FootnoteTextChar">
    <w:name w:val="Footnote Text Char"/>
    <w:aliases w:val="fn Char,Footnote Text Char1 Char1,Footnote Text Char Char Char1,Footnote Text Char1 Char Char1,Footnote Text Char Char Char Char1,Footnote Text Char2 Char Char,Footnote Text Char1 Char Char Char,Footnote Text Char Char Char Char Char"/>
    <w:link w:val="FootnoteText"/>
    <w:uiPriority w:val="99"/>
    <w:semiHidden/>
    <w:locked/>
    <w:rsid w:val="003B0965"/>
    <w:rPr>
      <w:sz w:val="24"/>
    </w:rPr>
  </w:style>
  <w:style w:type="paragraph" w:customStyle="1" w:styleId="Quote1">
    <w:name w:val="Quote1"/>
    <w:aliases w:val="q"/>
    <w:basedOn w:val="Normal"/>
    <w:rsid w:val="006E160A"/>
    <w:pPr>
      <w:spacing w:after="240"/>
      <w:ind w:left="1440" w:right="1440"/>
      <w:jc w:val="both"/>
    </w:pPr>
  </w:style>
  <w:style w:type="paragraph" w:styleId="Title">
    <w:name w:val="Title"/>
    <w:basedOn w:val="Normal"/>
    <w:qFormat/>
    <w:rsid w:val="006E160A"/>
    <w:pPr>
      <w:spacing w:after="240"/>
      <w:jc w:val="center"/>
    </w:pPr>
    <w:rPr>
      <w:rFonts w:cs="Arial"/>
      <w:bCs/>
      <w:szCs w:val="32"/>
    </w:rPr>
  </w:style>
  <w:style w:type="paragraph" w:customStyle="1" w:styleId="TitleB">
    <w:name w:val="TitleB"/>
    <w:basedOn w:val="Normal"/>
    <w:rsid w:val="006E160A"/>
    <w:pPr>
      <w:spacing w:after="240"/>
      <w:jc w:val="center"/>
    </w:pPr>
    <w:rPr>
      <w:b/>
    </w:rPr>
  </w:style>
  <w:style w:type="paragraph" w:customStyle="1" w:styleId="TitleBC">
    <w:name w:val="TitleBC"/>
    <w:basedOn w:val="Normal"/>
    <w:rsid w:val="006E160A"/>
    <w:pPr>
      <w:spacing w:after="240"/>
      <w:jc w:val="center"/>
    </w:pPr>
    <w:rPr>
      <w:b/>
      <w:caps/>
    </w:rPr>
  </w:style>
  <w:style w:type="paragraph" w:customStyle="1" w:styleId="TitleC">
    <w:name w:val="TitleC"/>
    <w:basedOn w:val="Normal"/>
    <w:rsid w:val="006E160A"/>
    <w:pPr>
      <w:spacing w:after="240"/>
      <w:jc w:val="center"/>
    </w:pPr>
    <w:rPr>
      <w:caps/>
    </w:rPr>
  </w:style>
  <w:style w:type="character" w:styleId="Hyperlink">
    <w:name w:val="Hyperlink"/>
    <w:unhideWhenUsed/>
    <w:rsid w:val="00713FF2"/>
    <w:rPr>
      <w:color w:val="0000FF"/>
      <w:u w:val="single"/>
    </w:rPr>
  </w:style>
  <w:style w:type="paragraph" w:styleId="NoSpacing">
    <w:name w:val="No Spacing"/>
    <w:uiPriority w:val="99"/>
    <w:qFormat/>
    <w:rsid w:val="00713FF2"/>
    <w:rPr>
      <w:rFonts w:ascii="Calibri" w:eastAsia="Calibri" w:hAnsi="Calibri" w:cs="Calibri"/>
      <w:sz w:val="22"/>
      <w:szCs w:val="22"/>
    </w:rPr>
  </w:style>
  <w:style w:type="paragraph" w:customStyle="1" w:styleId="00BodyText1">
    <w:name w:val="00 Body Text 1"/>
    <w:basedOn w:val="Normal"/>
    <w:rsid w:val="00713FF2"/>
    <w:pPr>
      <w:spacing w:after="240"/>
      <w:ind w:firstLine="1440"/>
    </w:pPr>
  </w:style>
  <w:style w:type="paragraph" w:customStyle="1" w:styleId="00BodyTextDbl">
    <w:name w:val="00 Body Text Dbl"/>
    <w:basedOn w:val="Normal"/>
    <w:rsid w:val="00713FF2"/>
    <w:pPr>
      <w:spacing w:line="480" w:lineRule="auto"/>
      <w:ind w:firstLine="720"/>
    </w:pPr>
  </w:style>
  <w:style w:type="paragraph" w:styleId="BalloonText">
    <w:name w:val="Balloon Text"/>
    <w:basedOn w:val="Normal"/>
    <w:link w:val="BalloonTextChar"/>
    <w:rsid w:val="006F1638"/>
    <w:rPr>
      <w:rFonts w:ascii="Tahoma" w:hAnsi="Tahoma"/>
      <w:sz w:val="16"/>
      <w:szCs w:val="16"/>
    </w:rPr>
  </w:style>
  <w:style w:type="character" w:customStyle="1" w:styleId="BalloonTextChar">
    <w:name w:val="Balloon Text Char"/>
    <w:link w:val="BalloonText"/>
    <w:rsid w:val="006F1638"/>
    <w:rPr>
      <w:rFonts w:ascii="Tahoma" w:hAnsi="Tahoma" w:cs="Tahoma"/>
      <w:sz w:val="16"/>
      <w:szCs w:val="16"/>
    </w:rPr>
  </w:style>
  <w:style w:type="character" w:customStyle="1" w:styleId="HeaderChar">
    <w:name w:val="Header Char"/>
    <w:link w:val="Header"/>
    <w:uiPriority w:val="99"/>
    <w:rsid w:val="00BB49E0"/>
    <w:rPr>
      <w:sz w:val="24"/>
      <w:szCs w:val="24"/>
    </w:rPr>
  </w:style>
  <w:style w:type="character" w:styleId="CommentReference">
    <w:name w:val="annotation reference"/>
    <w:rsid w:val="006E48BA"/>
    <w:rPr>
      <w:sz w:val="16"/>
      <w:szCs w:val="16"/>
    </w:rPr>
  </w:style>
  <w:style w:type="paragraph" w:styleId="CommentText">
    <w:name w:val="annotation text"/>
    <w:basedOn w:val="Normal"/>
    <w:link w:val="CommentTextChar"/>
    <w:rsid w:val="006E48BA"/>
    <w:rPr>
      <w:sz w:val="20"/>
      <w:szCs w:val="20"/>
    </w:rPr>
  </w:style>
  <w:style w:type="character" w:customStyle="1" w:styleId="CommentTextChar">
    <w:name w:val="Comment Text Char"/>
    <w:basedOn w:val="DefaultParagraphFont"/>
    <w:link w:val="CommentText"/>
    <w:rsid w:val="006E48BA"/>
  </w:style>
  <w:style w:type="paragraph" w:styleId="CommentSubject">
    <w:name w:val="annotation subject"/>
    <w:basedOn w:val="CommentText"/>
    <w:next w:val="CommentText"/>
    <w:link w:val="CommentSubjectChar"/>
    <w:rsid w:val="006E48BA"/>
    <w:rPr>
      <w:b/>
      <w:bCs/>
    </w:rPr>
  </w:style>
  <w:style w:type="character" w:customStyle="1" w:styleId="CommentSubjectChar">
    <w:name w:val="Comment Subject Char"/>
    <w:link w:val="CommentSubject"/>
    <w:rsid w:val="006E48BA"/>
    <w:rPr>
      <w:b/>
      <w:bCs/>
    </w:rPr>
  </w:style>
  <w:style w:type="paragraph" w:styleId="ListParagraph">
    <w:name w:val="List Paragraph"/>
    <w:basedOn w:val="Normal"/>
    <w:uiPriority w:val="34"/>
    <w:qFormat/>
    <w:rsid w:val="00AF2AE9"/>
    <w:pPr>
      <w:ind w:left="720"/>
      <w:contextualSpacing/>
    </w:pPr>
  </w:style>
  <w:style w:type="paragraph" w:customStyle="1" w:styleId="Default">
    <w:name w:val="Default"/>
    <w:rsid w:val="00AF2AE9"/>
    <w:pPr>
      <w:autoSpaceDE w:val="0"/>
      <w:autoSpaceDN w:val="0"/>
      <w:adjustRightInd w:val="0"/>
    </w:pPr>
    <w:rPr>
      <w:color w:val="000000"/>
      <w:sz w:val="24"/>
      <w:szCs w:val="24"/>
    </w:rPr>
  </w:style>
  <w:style w:type="character" w:customStyle="1" w:styleId="BoxText">
    <w:name w:val="Box Text"/>
    <w:rsid w:val="00AF2AE9"/>
    <w:rPr>
      <w:rFonts w:ascii="Arial" w:hAnsi="Arial" w:cs="Arial" w:hint="default"/>
      <w:sz w:val="20"/>
    </w:rPr>
  </w:style>
  <w:style w:type="character" w:customStyle="1" w:styleId="FooterChar">
    <w:name w:val="Footer Char"/>
    <w:link w:val="Footer"/>
    <w:uiPriority w:val="99"/>
    <w:rsid w:val="00E64DCF"/>
    <w:rPr>
      <w:sz w:val="24"/>
      <w:szCs w:val="24"/>
    </w:rPr>
  </w:style>
  <w:style w:type="paragraph" w:styleId="Revision">
    <w:name w:val="Revision"/>
    <w:hidden/>
    <w:uiPriority w:val="99"/>
    <w:semiHidden/>
    <w:rsid w:val="007401E3"/>
    <w:rPr>
      <w:sz w:val="24"/>
      <w:szCs w:val="24"/>
    </w:rPr>
  </w:style>
  <w:style w:type="paragraph" w:styleId="PlainText">
    <w:name w:val="Plain Text"/>
    <w:basedOn w:val="Normal"/>
    <w:link w:val="PlainTextChar"/>
    <w:uiPriority w:val="99"/>
    <w:unhideWhenUsed/>
    <w:rsid w:val="00AE1992"/>
    <w:rPr>
      <w:rFonts w:ascii="Consolas" w:eastAsia="Calibri" w:hAnsi="Consolas"/>
      <w:sz w:val="21"/>
      <w:szCs w:val="21"/>
    </w:rPr>
  </w:style>
  <w:style w:type="character" w:customStyle="1" w:styleId="PlainTextChar">
    <w:name w:val="Plain Text Char"/>
    <w:link w:val="PlainText"/>
    <w:uiPriority w:val="99"/>
    <w:rsid w:val="00AE1992"/>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194925515">
      <w:bodyDiv w:val="1"/>
      <w:marLeft w:val="0"/>
      <w:marRight w:val="0"/>
      <w:marTop w:val="0"/>
      <w:marBottom w:val="0"/>
      <w:divBdr>
        <w:top w:val="none" w:sz="0" w:space="0" w:color="auto"/>
        <w:left w:val="none" w:sz="0" w:space="0" w:color="auto"/>
        <w:bottom w:val="none" w:sz="0" w:space="0" w:color="auto"/>
        <w:right w:val="none" w:sz="0" w:space="0" w:color="auto"/>
      </w:divBdr>
    </w:div>
    <w:div w:id="84436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ckenna@caiso.com" TargetMode="External"/><Relationship Id="rId13" Type="http://schemas.openxmlformats.org/officeDocument/2006/relationships/hyperlink" Target="mailto:brian.rivard@ieso.c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atka@nyis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ozey@midwestiso.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paradise@iso-ne.com" TargetMode="External"/><Relationship Id="rId4" Type="http://schemas.openxmlformats.org/officeDocument/2006/relationships/settings" Target="settings.xml"/><Relationship Id="rId9" Type="http://schemas.openxmlformats.org/officeDocument/2006/relationships/hyperlink" Target="mailto:mmorais@ercot.com" TargetMode="External"/><Relationship Id="rId14" Type="http://schemas.openxmlformats.org/officeDocument/2006/relationships/hyperlink" Target="mailto:psuskie@spp.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nerc.com/docs/standards/sar/Comments_received_2009-01_1001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00A5044-38F5-445B-80FB-1180D303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3863</Words>
  <Characters>23202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New York Independent System Operator</Company>
  <LinksUpToDate>false</LinksUpToDate>
  <CharactersWithSpaces>27011</CharactersWithSpaces>
  <SharedDoc>false</SharedDoc>
  <HyperlinkBase/>
  <HLinks>
    <vt:vector size="48" baseType="variant">
      <vt:variant>
        <vt:i4>6422607</vt:i4>
      </vt:variant>
      <vt:variant>
        <vt:i4>18</vt:i4>
      </vt:variant>
      <vt:variant>
        <vt:i4>0</vt:i4>
      </vt:variant>
      <vt:variant>
        <vt:i4>5</vt:i4>
      </vt:variant>
      <vt:variant>
        <vt:lpwstr>mailto:psuskie@spp.org</vt:lpwstr>
      </vt:variant>
      <vt:variant>
        <vt:lpwstr/>
      </vt:variant>
      <vt:variant>
        <vt:i4>5767215</vt:i4>
      </vt:variant>
      <vt:variant>
        <vt:i4>15</vt:i4>
      </vt:variant>
      <vt:variant>
        <vt:i4>0</vt:i4>
      </vt:variant>
      <vt:variant>
        <vt:i4>5</vt:i4>
      </vt:variant>
      <vt:variant>
        <vt:lpwstr>mailto:brian.rivard@ieso.ca</vt:lpwstr>
      </vt:variant>
      <vt:variant>
        <vt:lpwstr/>
      </vt:variant>
      <vt:variant>
        <vt:i4>36</vt:i4>
      </vt:variant>
      <vt:variant>
        <vt:i4>12</vt:i4>
      </vt:variant>
      <vt:variant>
        <vt:i4>0</vt:i4>
      </vt:variant>
      <vt:variant>
        <vt:i4>5</vt:i4>
      </vt:variant>
      <vt:variant>
        <vt:lpwstr>mailto:cpatka@nyiso.com</vt:lpwstr>
      </vt:variant>
      <vt:variant>
        <vt:lpwstr/>
      </vt:variant>
      <vt:variant>
        <vt:i4>3670037</vt:i4>
      </vt:variant>
      <vt:variant>
        <vt:i4>9</vt:i4>
      </vt:variant>
      <vt:variant>
        <vt:i4>0</vt:i4>
      </vt:variant>
      <vt:variant>
        <vt:i4>5</vt:i4>
      </vt:variant>
      <vt:variant>
        <vt:lpwstr>mailto:skozey@midwestiso.org</vt:lpwstr>
      </vt:variant>
      <vt:variant>
        <vt:lpwstr/>
      </vt:variant>
      <vt:variant>
        <vt:i4>3342407</vt:i4>
      </vt:variant>
      <vt:variant>
        <vt:i4>6</vt:i4>
      </vt:variant>
      <vt:variant>
        <vt:i4>0</vt:i4>
      </vt:variant>
      <vt:variant>
        <vt:i4>5</vt:i4>
      </vt:variant>
      <vt:variant>
        <vt:lpwstr>mailto:tparadise@iso-ne.com</vt:lpwstr>
      </vt:variant>
      <vt:variant>
        <vt:lpwstr/>
      </vt:variant>
      <vt:variant>
        <vt:i4>917536</vt:i4>
      </vt:variant>
      <vt:variant>
        <vt:i4>3</vt:i4>
      </vt:variant>
      <vt:variant>
        <vt:i4>0</vt:i4>
      </vt:variant>
      <vt:variant>
        <vt:i4>5</vt:i4>
      </vt:variant>
      <vt:variant>
        <vt:lpwstr>mailto:mmorais@ercot.com</vt:lpwstr>
      </vt:variant>
      <vt:variant>
        <vt:lpwstr/>
      </vt:variant>
      <vt:variant>
        <vt:i4>7864389</vt:i4>
      </vt:variant>
      <vt:variant>
        <vt:i4>0</vt:i4>
      </vt:variant>
      <vt:variant>
        <vt:i4>0</vt:i4>
      </vt:variant>
      <vt:variant>
        <vt:i4>5</vt:i4>
      </vt:variant>
      <vt:variant>
        <vt:lpwstr>mailto:amckenna@caiso.com</vt:lpwstr>
      </vt:variant>
      <vt:variant>
        <vt:lpwstr/>
      </vt:variant>
      <vt:variant>
        <vt:i4>327798</vt:i4>
      </vt:variant>
      <vt:variant>
        <vt:i4>0</vt:i4>
      </vt:variant>
      <vt:variant>
        <vt:i4>0</vt:i4>
      </vt:variant>
      <vt:variant>
        <vt:i4>5</vt:i4>
      </vt:variant>
      <vt:variant>
        <vt:lpwstr>http://www.nerc.com/docs/standards/sar/Comments_received_2009-01_100112.pdf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 zimberlin</dc:creator>
  <cp:keywords/>
  <cp:lastModifiedBy>joy zimberlin</cp:lastModifiedBy>
  <cp:revision>4</cp:revision>
  <cp:lastPrinted>1901-01-01T06:00:00Z</cp:lastPrinted>
  <dcterms:created xsi:type="dcterms:W3CDTF">2013-03-07T20:13:00Z</dcterms:created>
  <dcterms:modified xsi:type="dcterms:W3CDTF">2013-03-07T20:26:00Z</dcterms:modified>
</cp:coreProperties>
</file>