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FC" w:rsidRDefault="00471E27" w:rsidP="003E70FC">
      <w:pPr>
        <w:ind w:left="5760" w:firstLine="720"/>
        <w:rPr>
          <w:b/>
        </w:rPr>
      </w:pPr>
      <w:bookmarkStart w:id="0" w:name="_GoBack"/>
      <w:bookmarkEnd w:id="0"/>
      <w:r>
        <w:rPr>
          <w:b/>
        </w:rPr>
        <w:t>Service Agreement No. 125</w:t>
      </w:r>
    </w:p>
    <w:p w:rsidR="00652A3D" w:rsidRPr="00A8744B" w:rsidRDefault="00471E27" w:rsidP="003E70FC">
      <w:pPr>
        <w:ind w:left="5760" w:firstLine="720"/>
        <w:rPr>
          <w:b/>
        </w:rPr>
      </w:pPr>
      <w:r w:rsidRPr="00A8744B">
        <w:rPr>
          <w:b/>
        </w:rPr>
        <w:t>Attachment 6</w:t>
      </w:r>
    </w:p>
    <w:p w:rsidR="00652A3D" w:rsidRDefault="00471E27" w:rsidP="00652A3D"/>
    <w:p w:rsidR="00652A3D" w:rsidRPr="00A8744B" w:rsidRDefault="00471E27" w:rsidP="00652A3D">
      <w:pPr>
        <w:jc w:val="center"/>
        <w:rPr>
          <w:b/>
          <w:sz w:val="28"/>
          <w:szCs w:val="28"/>
        </w:rPr>
      </w:pPr>
      <w:r w:rsidRPr="00A8744B">
        <w:rPr>
          <w:b/>
          <w:sz w:val="28"/>
          <w:szCs w:val="28"/>
        </w:rPr>
        <w:t>Transmission Owner's Description of its Upgrades</w:t>
      </w:r>
      <w:r w:rsidRPr="00A8744B">
        <w:rPr>
          <w:b/>
          <w:sz w:val="28"/>
          <w:szCs w:val="28"/>
        </w:rPr>
        <w:br/>
        <w:t>And Best Estimate of Upgrade Costs</w:t>
      </w:r>
    </w:p>
    <w:p w:rsidR="00652A3D" w:rsidRDefault="00471E27" w:rsidP="00652A3D"/>
    <w:p w:rsidR="00652A3D" w:rsidRDefault="00471E27" w:rsidP="00652A3D"/>
    <w:p w:rsidR="00652A3D" w:rsidRPr="00A8744B" w:rsidRDefault="00471E27" w:rsidP="00652A3D">
      <w:r w:rsidRPr="00A8744B">
        <w:t xml:space="preserve">The Transmission Owner shall describe Upgrades and provide an itemized best estimate of the cost, including overheads, of the </w:t>
      </w:r>
      <w:r w:rsidRPr="00A8744B">
        <w:t>Upgrades and annual operation and maintenance expenses associated with such Upgrades. The Transmission Owner shall functionalize Upgrade costs and annual expenses as either transmission or distribution related.</w:t>
      </w:r>
    </w:p>
    <w:p w:rsidR="00652A3D" w:rsidRDefault="00471E27" w:rsidP="00652A3D"/>
    <w:p w:rsidR="00652A3D" w:rsidRPr="00A8744B" w:rsidRDefault="00471E27" w:rsidP="00652A3D">
      <w:r w:rsidRPr="00A8744B">
        <w:t>It is acknowledged that the Small Generating</w:t>
      </w:r>
      <w:r w:rsidRPr="00A8744B">
        <w:t xml:space="preserve"> Facility, Interconnection Facilities, and metering equipment are existing and in service at the time of signing of this agreement and that no Upgrades are required to continue interconnection of the Small Generating Facility to the Transmission Owner's Tr</w:t>
      </w:r>
      <w:r w:rsidRPr="00A8744B">
        <w:t>ansmission System.</w:t>
      </w:r>
    </w:p>
    <w:p w:rsidR="00307AFF" w:rsidRDefault="00471E27"/>
    <w:sectPr w:rsidR="00307AFF">
      <w:headerReference w:type="even" r:id="rId7"/>
      <w:headerReference w:type="default" r:id="rId8"/>
      <w:footerReference w:type="even" r:id="rId9"/>
      <w:footerReference w:type="default" r:id="rId10"/>
      <w:headerReference w:type="first" r:id="rId11"/>
      <w:footerReference w:type="first" r:id="rId12"/>
      <w:pgSz w:w="12240" w:h="15840"/>
      <w:pgMar w:top="1440" w:right="1367" w:bottom="8890" w:left="13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E27">
      <w:r>
        <w:separator/>
      </w:r>
    </w:p>
  </w:endnote>
  <w:endnote w:type="continuationSeparator" w:id="0">
    <w:p w:rsidR="00000000" w:rsidRDefault="0047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2" w:rsidRDefault="00471E27">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2" w:rsidRDefault="00471E27">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2" w:rsidRDefault="00471E27">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E27">
      <w:r>
        <w:separator/>
      </w:r>
    </w:p>
  </w:footnote>
  <w:footnote w:type="continuationSeparator" w:id="0">
    <w:p w:rsidR="00000000" w:rsidRDefault="0047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2" w:rsidRDefault="00471E27">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2" w:rsidRDefault="00471E27">
    <w:pPr>
      <w:rPr>
        <w:rFonts w:ascii="Arial" w:eastAsia="Arial" w:hAnsi="Arial" w:cs="Arial"/>
        <w:color w:val="000000"/>
        <w:sz w:val="16"/>
      </w:rPr>
    </w:pPr>
    <w:r>
      <w:rPr>
        <w:rFonts w:ascii="Arial" w:eastAsia="Arial" w:hAnsi="Arial" w:cs="Arial"/>
        <w:color w:val="000000"/>
        <w:sz w:val="16"/>
      </w:rPr>
      <w:t>NYISO Agreements --&gt; IA - Niagara Mohawk and Tug Hill</w:t>
    </w:r>
    <w:r>
      <w:rPr>
        <w:rFonts w:ascii="Arial" w:eastAsia="Arial" w:hAnsi="Arial" w:cs="Arial"/>
        <w:color w:val="000000"/>
        <w:sz w:val="16"/>
      </w:rPr>
      <w:t xml:space="preserve"> Energy --&gt; IA - Niagara Mohawk and Tug Hill Energy - Att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2" w:rsidRDefault="00471E27">
    <w:pPr>
      <w:rPr>
        <w:rFonts w:ascii="Arial" w:eastAsia="Arial" w:hAnsi="Arial" w:cs="Arial"/>
        <w:color w:val="000000"/>
        <w:sz w:val="16"/>
      </w:rPr>
    </w:pPr>
    <w:r>
      <w:rPr>
        <w:rFonts w:ascii="Arial" w:eastAsia="Arial" w:hAnsi="Arial" w:cs="Arial"/>
        <w:color w:val="000000"/>
        <w:sz w:val="16"/>
      </w:rPr>
      <w:t>NYISO Agreements --&gt; IA - Niagara Mohawk and Tug Hill Energy -</w:t>
    </w:r>
    <w:r>
      <w:rPr>
        <w:rFonts w:ascii="Arial" w:eastAsia="Arial" w:hAnsi="Arial" w:cs="Arial"/>
        <w:color w:val="000000"/>
        <w:sz w:val="16"/>
      </w:rPr>
      <w:t>-&gt; IA - Niagara Mohawk and Tug Hill Energy - Att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92"/>
    <w:rsid w:val="00471E27"/>
    <w:rsid w:val="00D2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A3D"/>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 Starter</dc:creator>
  <cp:lastModifiedBy>TMSServices Starter</cp:lastModifiedBy>
  <cp:revision>2</cp:revision>
  <dcterms:created xsi:type="dcterms:W3CDTF">2018-09-17T10:31:00Z</dcterms:created>
  <dcterms:modified xsi:type="dcterms:W3CDTF">2018-09-17T10:31:00Z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1173926875</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