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14:paraId="0FD22758" w14:textId="77777777">
      <w:pPr>
        <w:pStyle w:val="Heading2"/>
      </w:pPr>
      <w:bookmarkStart w:id="0" w:name="_Toc261446141"/>
      <w:r>
        <w:t>5.12</w:t>
      </w:r>
      <w:r>
        <w:tab/>
        <w:t>Requirements Applicable to Installed Capacity Suppliers</w:t>
      </w:r>
      <w:bookmarkEnd w:id="0"/>
    </w:p>
    <w:p w:rsidR="00CA3ADB" w14:paraId="0C3C0648" w14:textId="77777777">
      <w:pPr>
        <w:pStyle w:val="Heading3"/>
      </w:pPr>
      <w:bookmarkStart w:id="1" w:name="_Toc261446142"/>
      <w:r>
        <w:t>5.12.1</w:t>
      </w:r>
      <w:r>
        <w:tab/>
        <w:t>Installed Capacity Supplier Qualification Requirements</w:t>
      </w:r>
      <w:bookmarkEnd w:id="1"/>
    </w:p>
    <w:p w:rsidR="00CA3ADB" w14:paraId="75C9AB2E" w14:textId="7CB9201E">
      <w:pPr>
        <w:pStyle w:val="Bodypara"/>
      </w:pPr>
      <w:r>
        <w:t>In order to qualify as an Installed Capa</w:t>
      </w:r>
      <w:r w:rsidRPr="001F392F">
        <w:t>city Supplier</w:t>
      </w:r>
      <w:r w:rsidR="003D6FE3">
        <w:t xml:space="preserve"> or be part of an Aggregation that is qualified as an Installed Capacity Supplier</w:t>
      </w:r>
      <w:r w:rsidRPr="001F392F">
        <w:t>, Generators</w:t>
      </w:r>
      <w:r w:rsidR="003D6FE3">
        <w:t>,</w:t>
      </w:r>
      <w:r w:rsidRPr="001F392F">
        <w:t xml:space="preserve"> controllable transmission projects electrically located in the NYCA, transmission projects with associated incremental transfer capability, </w:t>
      </w:r>
      <w:r w:rsidR="003D6FE3">
        <w:t xml:space="preserve">and Distributed Energy Resources that have the ability to inject Energy </w:t>
      </w:r>
      <w:r w:rsidRPr="001F392F">
        <w:t xml:space="preserve">must have obtained Capacity Resource </w:t>
      </w:r>
      <w:r w:rsidRPr="001F392F">
        <w:rPr>
          <w:rFonts w:eastAsia="Times New Roman"/>
          <w:snapToGrid w:val="0"/>
          <w:szCs w:val="20"/>
        </w:rPr>
        <w:t>Interconnection</w:t>
      </w:r>
      <w:r w:rsidRPr="001F392F">
        <w:t xml:space="preserve"> Service (“CRIS”) pursuant to the applicable provisions of Attachment S to the ISO OATT and have entered service: controllable transmission projects must also have obtained Unforced Capacity Deliverability Rights and transmission projects with associated incremental transfer capability must also have obtained External-to-ROS Deliverability Rights.  Generators that are Co-located Storage Resources must each, independently, obtain CRIS </w:t>
      </w:r>
      <w:r w:rsidRPr="001F392F">
        <w:t>in order to</w:t>
      </w:r>
      <w:r w:rsidRPr="001F392F">
        <w:t xml:space="preserve"> qualify as Installed Capacity Suppliers.  Even if a </w:t>
      </w:r>
      <w:r w:rsidR="003D6FE3">
        <w:t>Resource</w:t>
      </w:r>
      <w:r w:rsidRPr="001F392F" w:rsidR="003D6FE3">
        <w:t xml:space="preserve"> </w:t>
      </w:r>
      <w:r w:rsidRPr="001F392F">
        <w:t xml:space="preserve">has otherwise satisfied the requirements to participate in the ISO’s Installed Capacity market, a </w:t>
      </w:r>
      <w:r w:rsidR="003D6FE3">
        <w:t>Resource</w:t>
      </w:r>
      <w:r w:rsidRPr="001F392F" w:rsidR="003D6FE3">
        <w:t xml:space="preserve"> </w:t>
      </w:r>
      <w:r w:rsidRPr="001F392F">
        <w:t xml:space="preserve">in Inactive Reserves, an ICAP Ineligible Forced Outage, a Mothball Outage, or that is Retired is ineligible to participate in the ISO’s Installed Capacity market.  A </w:t>
      </w:r>
      <w:r w:rsidR="003D6FE3">
        <w:t>Resource</w:t>
      </w:r>
      <w:r w:rsidRPr="001F392F" w:rsidR="003D6FE3">
        <w:t xml:space="preserve"> </w:t>
      </w:r>
      <w:r w:rsidRPr="001F392F">
        <w:t>that elects to participate in the</w:t>
      </w:r>
      <w:r>
        <w:t xml:space="preserve"> ICAP Market, and is within a defined electrical boundary, electrically interconnected with</w:t>
      </w:r>
      <w:r w:rsidRPr="001F392F">
        <w:t xml:space="preserve">, and routinely serves a Host Load (which Host Load does not consist solely of Station Power) at a single PTID </w:t>
      </w:r>
      <w:r w:rsidR="003D6FE3">
        <w:t>may</w:t>
      </w:r>
      <w:r w:rsidRPr="001F392F" w:rsidR="003D6FE3">
        <w:t xml:space="preserve"> </w:t>
      </w:r>
      <w:r w:rsidRPr="001F392F">
        <w:t xml:space="preserve">only participate in the Installed Capacity market as a Behind-the-Meter Net Generation Resource.  </w:t>
      </w:r>
      <w:r w:rsidR="003D6FE3">
        <w:t>In order to</w:t>
      </w:r>
      <w:r w:rsidR="003D6FE3">
        <w:t xml:space="preserve"> participate as part of an Aggregation or as an Energy Storage Resource, such </w:t>
      </w:r>
      <w:r w:rsidR="00A20196">
        <w:t xml:space="preserve">a </w:t>
      </w:r>
      <w:r w:rsidR="003D6FE3">
        <w:t xml:space="preserve">resource may not participate with the Behind-the-Meter Net Generation configuration.  </w:t>
      </w:r>
      <w:r w:rsidRPr="001F392F">
        <w:t>Generators</w:t>
      </w:r>
      <w:r>
        <w:t xml:space="preserve"> that are Co-located Storage Resources must each, independently, comply with all applicable market rules contained in this </w:t>
      </w:r>
      <w:r>
        <w:t>Services Tariff Section 5.12 as an Energy Storage Resource or as an Intermittent Power Resource, as appropriate.</w:t>
      </w:r>
    </w:p>
    <w:p w:rsidR="00CA3ADB" w:rsidRPr="001F392F" w14:paraId="54B8F84C" w14:textId="6AC06B55">
      <w:pPr>
        <w:pStyle w:val="Bodypara"/>
      </w:pPr>
      <w:r>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below, Responsible Interface Parties, existing municipally-owned generation, Energy Limited Resources, and Intermittent Power Resources, to the extent those entities are subject to the requirements of Section 5.12.11 of this Tariff, </w:t>
      </w:r>
      <w:r w:rsidR="003D6FE3">
        <w:t xml:space="preserve">Aggregations with a capacity rating of 0.1 MW or greater, </w:t>
      </w:r>
      <w:r>
        <w:t>and Energy Storage Resources with a nameplate capacity rating that allows a minimum injection to the NYS Transmiss</w:t>
      </w:r>
      <w:r w:rsidRPr="001F392F">
        <w:t>ion System or distribution system of 0.1 MW or greater shall:</w:t>
      </w:r>
    </w:p>
    <w:p w:rsidR="00CA3ADB" w:rsidRPr="001F392F" w14:paraId="571A6DB9" w14:textId="533034C9">
      <w:pPr>
        <w:pStyle w:val="alphapara"/>
      </w:pPr>
      <w:r w:rsidRPr="001F392F">
        <w:t>5.12.1.1</w:t>
      </w:r>
      <w:r w:rsidRPr="001F392F">
        <w:tab/>
      </w:r>
      <w:r w:rsidRPr="001F392F">
        <w:rPr>
          <w:rFonts w:eastAsia="Times New Roman"/>
          <w:snapToGrid w:val="0"/>
          <w:szCs w:val="20"/>
        </w:rPr>
        <w:t>provide</w:t>
      </w:r>
      <w:r w:rsidRPr="001F392F">
        <w:t xml:space="preserve"> information reasonably requested by the ISO including the name and location of </w:t>
      </w:r>
      <w:r w:rsidR="003D6FE3">
        <w:rPr>
          <w:bCs/>
        </w:rPr>
        <w:t>Resources</w:t>
      </w:r>
      <w:r w:rsidRPr="001F392F">
        <w:t>, and System Resources;</w:t>
      </w:r>
    </w:p>
    <w:p w:rsidR="00CA3ADB" w14:paraId="2BF0448D" w14:textId="77777777">
      <w:pPr>
        <w:pStyle w:val="alphapara"/>
      </w:pPr>
      <w:r w:rsidRPr="001F392F">
        <w:t>5.12.1.2</w:t>
      </w:r>
      <w:r w:rsidRPr="001F392F">
        <w:tab/>
        <w:t>in accordance with the ISO Procedures, perform DMNC or DMGC tests and submit the results to the ISO, or provide to the ISO appropriate historical production data;</w:t>
      </w:r>
    </w:p>
    <w:p w:rsidR="00CA3ADB" w14:paraId="3B828FBE" w14:textId="77777777">
      <w:pPr>
        <w:pStyle w:val="alphapara"/>
      </w:pPr>
      <w:r>
        <w:t>5.12.1.3</w:t>
      </w:r>
      <w:r>
        <w:tab/>
        <w:t xml:space="preserve">abide by the </w:t>
      </w:r>
      <w:r>
        <w:rPr>
          <w:bCs/>
        </w:rPr>
        <w:t>ISO</w:t>
      </w:r>
      <w:r>
        <w:t xml:space="preserve"> Generator maintenance coordination procedures;</w:t>
      </w:r>
    </w:p>
    <w:p w:rsidR="00CA3ADB" w14:paraId="1AD1408C" w14:textId="77777777">
      <w:pPr>
        <w:pStyle w:val="alphapara"/>
      </w:pPr>
      <w:r>
        <w:t>5.12.1.4</w:t>
      </w:r>
      <w:r>
        <w:tab/>
        <w:t xml:space="preserve">provide the </w:t>
      </w:r>
      <w:r>
        <w:rPr>
          <w:bCs/>
        </w:rPr>
        <w:t>expected</w:t>
      </w:r>
      <w:r>
        <w:t xml:space="preserve"> return date from any outages (including partial outages) to the ISO;</w:t>
      </w:r>
    </w:p>
    <w:p w:rsidR="00CA3ADB" w14:paraId="68A5EA23" w14:textId="77777777">
      <w:pPr>
        <w:pStyle w:val="alphapara"/>
      </w:pPr>
      <w:r>
        <w:t>5.12.1.5</w:t>
      </w:r>
      <w:r>
        <w:tab/>
        <w:t>in accordance with the ISO Procedures,</w:t>
      </w:r>
    </w:p>
    <w:p w:rsidR="00CA3ADB" w14:paraId="40143228" w14:textId="77777777">
      <w:pPr>
        <w:pStyle w:val="alphapara"/>
      </w:pPr>
      <w:r>
        <w:t>5.12.1.5.1</w:t>
      </w:r>
      <w:r>
        <w:tab/>
        <w:t>provide documentation demonstrating that it will not use the same Unforced Capacity for more than one (1) buyer at the same time, and</w:t>
      </w:r>
    </w:p>
    <w:p w:rsidR="00CA3ADB" w14:paraId="61D50285" w14:textId="77777777">
      <w:pPr>
        <w:pStyle w:val="alphapara"/>
      </w:pPr>
      <w:r>
        <w:t>5.12.1.5.2</w:t>
      </w:r>
      <w:r>
        <w:tab/>
      </w:r>
      <w:r>
        <w:t>in the event that</w:t>
      </w:r>
      <w:r>
        <w:t xml:space="preserve"> the Installed Capacity Supplier supplies more Unforced Capacity than it is qualified to supply in any specific month (</w:t>
      </w:r>
      <w:r>
        <w:rPr>
          <w:i/>
        </w:rPr>
        <w:t>i.e.</w:t>
      </w:r>
      <w:r>
        <w:t xml:space="preserve">, </w:t>
      </w:r>
      <w:r>
        <w:t>is</w:t>
      </w:r>
      <w:r>
        <w:t xml:space="preserve"> short on Capacity), </w:t>
      </w:r>
      <w:r>
        <w:rPr>
          <w:bCs/>
        </w:rPr>
        <w:t>documentation</w:t>
      </w:r>
      <w:r>
        <w:t xml:space="preserve"> that it has procured sufficient Unforced Capacity to cover this shortfall.</w:t>
      </w:r>
    </w:p>
    <w:p w:rsidR="00CA3ADB" w:rsidRPr="001F392F" w14:paraId="43CE87ED" w14:textId="07E17BD3">
      <w:pPr>
        <w:pStyle w:val="alphapara"/>
      </w:pPr>
      <w:r>
        <w:t>5.12.1.6</w:t>
      </w:r>
      <w:r>
        <w:tab/>
        <w:t>except for Installed Capacity Marketers and Intermittent Power Resources that depend upon wind or solar as their fuel</w:t>
      </w:r>
      <w:r w:rsidR="003D6FE3">
        <w:t xml:space="preserve"> or Aggregations that are comprised of Intermittent Power Resources that depend on the same type of fuel, with that fuel being wind or solar</w:t>
      </w:r>
      <w:r>
        <w:t xml:space="preserve">, Bid into the Day-Ahead Market, unless the Energy Limited Resource, Generator, </w:t>
      </w:r>
      <w:r w:rsidR="003D6FE3">
        <w:t xml:space="preserve">Aggregation, </w:t>
      </w:r>
      <w:r>
        <w:t xml:space="preserve">Limited Control Run-of-River </w:t>
      </w:r>
      <w:r w:rsidRPr="001F392F">
        <w:t xml:space="preserve">Hydro Resource or System Resource is unable to do so due to an outage as defined in the ISO Procedures or due to temperature related de-ratings.  </w:t>
      </w:r>
      <w:r w:rsidR="003D6FE3">
        <w:t>Resources</w:t>
      </w:r>
      <w:r w:rsidRPr="001F392F" w:rsidR="003D6FE3">
        <w:t xml:space="preserve"> </w:t>
      </w:r>
      <w:r w:rsidRPr="001F392F">
        <w:t xml:space="preserve">may also </w:t>
      </w:r>
      <w:r w:rsidRPr="001F392F">
        <w:t>enter into</w:t>
      </w:r>
      <w:r w:rsidRPr="001F392F">
        <w:t xml:space="preserve"> the MIS an upper operating limit that would define the operating limit under normal system conditions.  The circumstances under which the ISO will direct a </w:t>
      </w:r>
      <w:r w:rsidR="003D6FE3">
        <w:t>Resource</w:t>
      </w:r>
      <w:r w:rsidRPr="001F392F" w:rsidR="003D6FE3">
        <w:t xml:space="preserve"> </w:t>
      </w:r>
      <w:r w:rsidRPr="001F392F">
        <w:t xml:space="preserve">to exceed its upper operating limit are described in the ISO </w:t>
      </w:r>
      <w:r w:rsidRPr="001F392F">
        <w:rPr>
          <w:bCs/>
        </w:rPr>
        <w:t>Procedures</w:t>
      </w:r>
      <w:r w:rsidRPr="001F392F">
        <w:t>;</w:t>
      </w:r>
    </w:p>
    <w:p w:rsidR="00CA3ADB" w14:paraId="6541603E" w14:textId="77777777">
      <w:pPr>
        <w:pStyle w:val="alphapara"/>
      </w:pPr>
      <w:r w:rsidRPr="001F392F">
        <w:t>5.12.1.6.1</w:t>
      </w:r>
      <w:r w:rsidRPr="001F392F">
        <w:tab/>
        <w:t>Co-located Storage Resources must each submit a CSR</w:t>
      </w:r>
      <w:r>
        <w:t xml:space="preserve"> injection Scheduling Limit and a CSR withdrawal Scheduling Limit for each hour of the Day-Ahead Market consistent with Section 5.12.7.1 below;</w:t>
      </w:r>
    </w:p>
    <w:p w:rsidR="00CA3ADB" w14:paraId="18161FDD" w14:textId="77777777">
      <w:pPr>
        <w:pStyle w:val="alphapara"/>
      </w:pPr>
      <w:r>
        <w:t>5.12.1.7</w:t>
      </w:r>
      <w:r>
        <w:tab/>
        <w:t xml:space="preserve">provide </w:t>
      </w:r>
      <w:r>
        <w:rPr>
          <w:bCs/>
        </w:rPr>
        <w:t>Operating</w:t>
      </w:r>
      <w:r>
        <w:t xml:space="preserve"> Data in accordance with Section 5.12.5 of this Tariff;</w:t>
      </w:r>
    </w:p>
    <w:p w:rsidR="00CA3ADB" w14:paraId="23D125FF" w14:textId="77777777">
      <w:pPr>
        <w:pStyle w:val="alphapara"/>
      </w:pPr>
      <w:r>
        <w:t>5.12.1.8</w:t>
      </w:r>
      <w:r>
        <w:tab/>
        <w:t xml:space="preserve">provide notice to the ISO of any proposed transfers of deliverability rights to be carried out pursuant to Sections 25.9.4 - 25.9.6 of Attachment S to the </w:t>
      </w:r>
      <w:r>
        <w:rPr>
          <w:bCs/>
        </w:rPr>
        <w:t>ISO</w:t>
      </w:r>
      <w:r>
        <w:t xml:space="preserve"> </w:t>
      </w:r>
      <w:r>
        <w:t>OATT, on the Class Year Start Date if a request to transfer CRIS at a different location, and upon the submission of the request if it is a request to transfer CRIS at the same location.</w:t>
      </w:r>
    </w:p>
    <w:p w:rsidR="00CA3ADB" w14:paraId="29AB70C5" w14:textId="77777777">
      <w:pPr>
        <w:pStyle w:val="alphapara"/>
      </w:pPr>
      <w:r>
        <w:t>5.12.1.9</w:t>
      </w:r>
      <w:r>
        <w:tab/>
        <w:t>comply with the ISO Procedures;</w:t>
      </w:r>
    </w:p>
    <w:p w:rsidR="00CA3ADB" w14:paraId="3111F3D5" w14:textId="77777777">
      <w:pPr>
        <w:pStyle w:val="alphapara"/>
      </w:pPr>
      <w:r>
        <w:t>5.12.1.10</w:t>
      </w:r>
      <w:r>
        <w:tab/>
        <w:t xml:space="preserve">when the ISO issues a Supplemental Resource Evaluation request (an SRE), NYCA Resources must Bid into the in-day market unless (and only to the extent) the entity has a bid pending in the </w:t>
      </w:r>
      <w:r>
        <w:rPr>
          <w:iCs/>
        </w:rPr>
        <w:t xml:space="preserve">Real-Time </w:t>
      </w:r>
      <w:r>
        <w:t xml:space="preserve">Market when the SRE </w:t>
      </w:r>
      <w:r>
        <w:rPr>
          <w:bCs/>
        </w:rPr>
        <w:t>request</w:t>
      </w:r>
      <w:r>
        <w:t xml:space="preserve"> is made or is unable to bid in response to the SRE request due to an outage as defined in the ISO Procedures, or due to other operational issues, or due to temperature related deratings.</w:t>
      </w:r>
    </w:p>
    <w:p w:rsidR="00CA3ADB" w14:paraId="18C40A0C" w14:textId="77777777">
      <w:pPr>
        <w:pStyle w:val="alphapara"/>
        <w:ind w:firstLine="720"/>
      </w:pPr>
      <w:r>
        <w:t xml:space="preserve">If an External Installed Capacity Supplier is a Generator, or if an External Generator is associated with an Unforced Capacity sale using UDRs or EDRs, then except to the extent such a Generator is unable to Bid in response to the SRE 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w:t>
      </w:r>
      <w:r>
        <w:t xml:space="preserve">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14:paraId="33C235C4" w14:textId="77777777">
      <w:pPr>
        <w:pStyle w:val="alphapara"/>
        <w:ind w:firstLine="720"/>
      </w:pPr>
      <w:r>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below that applies solely to violations of this Section 5.12.1.10, shall not be assessed.  </w:t>
      </w:r>
    </w:p>
    <w:p w:rsidR="00CA3ADB" w14:paraId="3C957E04" w14:textId="77777777">
      <w:pPr>
        <w:pStyle w:val="alphapara"/>
        <w:ind w:firstLine="720"/>
      </w:pPr>
      <w:r>
        <w:t xml:space="preserve">If an External Installed Capacity Supplier is a Control Area System Resource then, except to the extent it is unable to Bid in response to the SRE request due to an outage as defined in the ISO Procedures or due to operational </w:t>
      </w:r>
      <w:r>
        <w:t xml:space="preserve">issues that are outside the Installed Capacity Supplier’s control,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14:paraId="4E1022D0" w14:textId="77777777">
      <w:pPr>
        <w:pStyle w:val="alphapara"/>
        <w:ind w:firstLine="720"/>
      </w:pPr>
      <w:r>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provide to the ISO an explanation of the reasons for its failure or inability to perform, including evidence demonstrating any operational issues that prevented the External ICAP 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below that applies solely to violations of this Section 5.12.1.10, shall not be assessed.  A Control Area System Resource must demonstrate that transmission outage(s) prevented delivery of all available Resources </w:t>
      </w:r>
      <w:r>
        <w:t>in order for</w:t>
      </w:r>
      <w:r>
        <w:t xml:space="preserve"> the ISO to determine that the Control Area </w:t>
      </w:r>
      <w:r>
        <w:t>System Resource’s failure to Import the quantity of Energy equal to the ICAP equivalent of the UCAP sold occurred for a reason that was outside the External Installed Capacity Supplier’s control.</w:t>
      </w:r>
    </w:p>
    <w:p w:rsidR="00CA3ADB" w14:paraId="5C146AB7" w14:textId="77777777">
      <w:pPr>
        <w:pStyle w:val="alphapara"/>
        <w:ind w:firstLine="720"/>
      </w:pPr>
      <w:r>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1F392F" w14:paraId="164ED091" w14:textId="6EF95D1E">
      <w:pPr>
        <w:pStyle w:val="alphapara"/>
      </w:pPr>
      <w:r>
        <w:t>5.12.1.11</w:t>
      </w:r>
      <w:r>
        <w:tab/>
        <w:t xml:space="preserve">Installed Capacity Suppliers located </w:t>
      </w:r>
      <w:r>
        <w:rPr>
          <w:iCs/>
        </w:rPr>
        <w:t>E</w:t>
      </w:r>
      <w:r>
        <w:t xml:space="preserve">ast of </w:t>
      </w:r>
      <w:r>
        <w:rPr>
          <w:iCs/>
        </w:rPr>
        <w:t>C</w:t>
      </w:r>
      <w:r>
        <w:t>entral-</w:t>
      </w:r>
      <w:r>
        <w:rPr>
          <w:iCs/>
        </w:rPr>
        <w:t>E</w:t>
      </w:r>
      <w:r>
        <w:t xml:space="preserve">ast shall Bid in the </w:t>
      </w:r>
      <w:r w:rsidRPr="001F392F">
        <w:t>Day-Ahead and Real-Time Markets all Capacity available for supplying 10</w:t>
      </w:r>
      <w:r w:rsidRPr="001F392F">
        <w:noBreakHyphen/>
        <w:t>Minute Non-</w:t>
      </w:r>
      <w:r w:rsidRPr="001F392F">
        <w:rPr>
          <w:iCs/>
        </w:rPr>
        <w:t xml:space="preserve">Synchronized </w:t>
      </w:r>
      <w:r w:rsidRPr="001F392F">
        <w:t xml:space="preserve">Reserve (unless the Generator </w:t>
      </w:r>
      <w:r w:rsidR="003D6FE3">
        <w:t xml:space="preserve">or Aggregation </w:t>
      </w:r>
      <w:r w:rsidRPr="001F392F">
        <w:t xml:space="preserve">is unable to meet its commitment because of an </w:t>
      </w:r>
      <w:r w:rsidRPr="001F392F">
        <w:rPr>
          <w:bCs/>
        </w:rPr>
        <w:t>outage</w:t>
      </w:r>
      <w:r w:rsidRPr="001F392F">
        <w:t xml:space="preserve"> as defined in the ISO Procedures), except for the </w:t>
      </w:r>
      <w:r w:rsidR="003D6FE3">
        <w:t>Resources</w:t>
      </w:r>
      <w:r w:rsidRPr="001F392F" w:rsidR="003D6FE3">
        <w:t xml:space="preserve"> </w:t>
      </w:r>
      <w:r w:rsidRPr="001F392F">
        <w:t>described in Subsections 5.12.1.11.1, 5.12.1.11.2 and 5.12.1.11.3 below;</w:t>
      </w:r>
    </w:p>
    <w:p w:rsidR="00CA3ADB" w14:paraId="68A3F53C" w14:textId="77777777">
      <w:pPr>
        <w:pStyle w:val="alphapara"/>
      </w:pPr>
      <w:r w:rsidRPr="001F392F">
        <w:t>5.12.1.11.1</w:t>
      </w:r>
      <w:r w:rsidRPr="001F392F">
        <w:tab/>
        <w:t>Generators providing Energy under contracts executed and effective on or before November 18, 1999 (including PURPA contracts) in which the power purchasers do not control the op</w:t>
      </w:r>
      <w:r>
        <w:t>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14:paraId="7503DF3A" w14:textId="77777777">
      <w:pPr>
        <w:pStyle w:val="alphapara"/>
      </w:pPr>
      <w:r>
        <w:t>5.12.1.11.2</w:t>
      </w:r>
      <w:r>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1F392F" w14:paraId="3097AB82" w14:textId="1F4DA14A">
      <w:pPr>
        <w:pStyle w:val="alphapara"/>
      </w:pPr>
      <w:r w:rsidRPr="001F392F">
        <w:t>5.12.1.11.3</w:t>
      </w:r>
      <w:r w:rsidRPr="001F392F">
        <w:tab/>
      </w:r>
      <w:r w:rsidR="003D6FE3">
        <w:t>Resources</w:t>
      </w:r>
      <w:r w:rsidRPr="001F392F" w:rsidR="003D6FE3">
        <w:t xml:space="preserve"> </w:t>
      </w:r>
      <w:r w:rsidRPr="001F392F">
        <w:t xml:space="preserve">that have </w:t>
      </w:r>
      <w:r w:rsidRPr="001F392F">
        <w:rPr>
          <w:bCs/>
        </w:rPr>
        <w:t>demonstrated</w:t>
      </w:r>
      <w:r w:rsidRPr="001F392F">
        <w:t xml:space="preserve"> to the ISO that they are subject to environmental, contractual or other legal or physical requirements that would otherwise preclude them from providing 10-Minute </w:t>
      </w:r>
      <w:r w:rsidRPr="001F392F">
        <w:t>NSR</w:t>
      </w:r>
      <w:r w:rsidR="003D6FE3">
        <w:t>;</w:t>
      </w:r>
    </w:p>
    <w:p w:rsidR="00CA3ADB" w14:paraId="459B6262" w14:textId="77777777">
      <w:pPr>
        <w:pStyle w:val="alphapara"/>
      </w:pPr>
      <w:r w:rsidRPr="001F392F">
        <w:t>5.12.1.12</w:t>
      </w:r>
      <w:r w:rsidRPr="001F392F">
        <w:tab/>
        <w:t>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w:t>
      </w:r>
      <w:r>
        <w:t xml:space="preserv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w:t>
      </w:r>
      <w:r>
        <w:t>in order to</w:t>
      </w:r>
      <w:r>
        <w:t xml:space="preserve"> seek to re-qualify as a Behind-the-Meter Net Generation Resource.</w:t>
      </w:r>
    </w:p>
    <w:p w:rsidR="00CA3ADB" w14:paraId="751A205E" w14:textId="00314B69">
      <w:pPr>
        <w:pStyle w:val="alphapara"/>
      </w:pPr>
      <w:r>
        <w:t>5.12.1.13</w:t>
      </w:r>
      <w:r>
        <w:tab/>
        <w:t>An Energy Storage Resource</w:t>
      </w:r>
      <w:r w:rsidR="003D6FE3">
        <w:t>, or Aggregation</w:t>
      </w:r>
      <w:r w:rsidR="00A20196">
        <w:t>s</w:t>
      </w:r>
      <w:r w:rsidR="003D6FE3">
        <w:t xml:space="preserve"> comprised entirely of Energy Storage Resources,</w:t>
      </w:r>
      <w:r>
        <w:t xml:space="preserve"> may de-rate its maximum capability </w:t>
      </w:r>
      <w:r>
        <w:t>in order to</w:t>
      </w:r>
      <w:r>
        <w:t xml:space="preserve"> meet the applicable Services Tariff Section 5.12.14 run-time requirement.  ESRs electing to de-rate their maximum capability shall perform a DMNC test at an </w:t>
      </w:r>
      <w:r>
        <w:t>output level consistent with its de-rated capability in accordance with Services Tariff Section 5.12.14 and ISO Procedures (</w:t>
      </w:r>
      <w:r>
        <w:rPr>
          <w:i/>
        </w:rPr>
        <w:t>see</w:t>
      </w:r>
      <w:r>
        <w:t>, Installed Capacity Manual § 4).</w:t>
      </w:r>
    </w:p>
    <w:p w:rsidR="00CA3ADB" w14:paraId="06589D07" w14:textId="51914404">
      <w:pPr>
        <w:pStyle w:val="alphapara"/>
      </w:pPr>
      <w:r>
        <w:t>5.12.1.14</w:t>
      </w:r>
      <w:r>
        <w:tab/>
        <w:t>Energy Limited Resources, Energy Storage Resources</w:t>
      </w:r>
      <w:r w:rsidR="003D6FE3">
        <w:t>, Aggregations comprised entirely of Energy Storage Resources, DER Aggregations, and Aggregations that are Energy Limited Resources</w:t>
      </w:r>
      <w:r>
        <w:t xml:space="preserve"> must elect an Energy Duration Limitation that corresponds to a Duration Adjustment Factor, as described in Section 5.12.14 below, and validate the Energy Duration Limitation pursuant to Section 5.12.1.2 above.  An Installed Capacity Supplier may elect any Energy Duration Limitation that it can demonstrate pursuant to Section 5.12.1.2.</w:t>
      </w:r>
    </w:p>
    <w:p w:rsidR="00CA3ADB" w14:paraId="108CD828" w14:textId="77777777">
      <w:pPr>
        <w:pStyle w:val="Bodypara"/>
      </w:pPr>
      <w:r>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14:paraId="064D3C5E" w14:textId="77777777">
      <w:pPr>
        <w:pStyle w:val="Bodypara"/>
      </w:pPr>
      <w:r>
        <w:t xml:space="preserve">Requirements to qualify as Installed Capacity Suppliers for External System Resources and Control Area System Resources located in External Control Areas that have agreed not to Curtail the </w:t>
      </w:r>
      <w:r>
        <w:rPr>
          <w:rFonts w:eastAsia="Times New Roman"/>
          <w:snapToGrid w:val="0"/>
          <w:szCs w:val="20"/>
        </w:rPr>
        <w:t>Energy</w:t>
      </w:r>
      <w:r>
        <w:t xml:space="preserve"> associated with such Installed Capacity or to afford it the same Curtailment priority that it affords its own Control Area Load shall be established in the ISO Procedures.</w:t>
      </w:r>
    </w:p>
    <w:p w:rsidR="00CA3ADB" w14:paraId="5C11A0B6" w14:textId="77777777">
      <w:pPr>
        <w:pStyle w:val="Bodypara"/>
      </w:pPr>
      <w:r>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Pr>
          <w:rFonts w:eastAsia="Times New Roman"/>
          <w:snapToGrid w:val="0"/>
          <w:szCs w:val="20"/>
        </w:rPr>
        <w:t>listed</w:t>
      </w:r>
      <w:r>
        <w:t xml:space="preserve"> for New York State Electric &amp; Gas Corporation in Table 3 of Attachment L to the ISO OATT, Import Rights, and External System Resources, is only qualified to satisfy a </w:t>
      </w:r>
      <w:r>
        <w:t xml:space="preserve">NYCA Minimum Unforced Capacity Requirement and is not eligible to satisfy a Locational Minimum Installed Capacity Requirement.  </w:t>
      </w:r>
    </w:p>
    <w:p w:rsidR="00CA3ADB" w14:paraId="2B4F59A8" w14:textId="77777777">
      <w:pPr>
        <w:pStyle w:val="Bodypara"/>
      </w:pPr>
      <w:r>
        <w:t xml:space="preserve">Not later than 30 days prior to each ICAP Spot Market Auction, each Market Participant that may make offers to sell Unforced Capacity in such auction shall submit information to the ISO, in </w:t>
      </w:r>
      <w:r>
        <w:rPr>
          <w:rFonts w:eastAsia="Times New Roman"/>
          <w:snapToGrid w:val="0"/>
          <w:szCs w:val="20"/>
        </w:rPr>
        <w:t>accordance</w:t>
      </w:r>
      <w:r>
        <w:t xml:space="preserve"> with ISO Procedures and in the format specified by the ISO that identifies each Affiliated Entity, as that term is defined in Section 23.2.1 of Attachment H of the 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Pr>
          <w:rStyle w:val="FootnoteReference"/>
        </w:rPr>
        <w:t xml:space="preserve"> </w:t>
      </w:r>
      <w:r>
        <w:t xml:space="preserve"> The information submitted to the ISO shall identify the nature of the Affiliated Entity relationship by the applicable </w:t>
      </w:r>
      <w:r>
        <w:rPr>
          <w:rFonts w:eastAsia="Times New Roman"/>
          <w:snapToGrid w:val="0"/>
          <w:szCs w:val="20"/>
        </w:rPr>
        <w:t>category</w:t>
      </w:r>
      <w:r>
        <w:t xml:space="preserve"> specified in the definition of “Affiliated Entity” in Section 23.2.1 of Attachment H of the Services Tariff.</w:t>
      </w:r>
    </w:p>
    <w:p w:rsidR="00CA3ADB" w14:paraId="1E2F5F52" w14:textId="77777777">
      <w:pPr>
        <w:pStyle w:val="Heading3"/>
      </w:pPr>
      <w:bookmarkStart w:id="2" w:name="_Toc261446143"/>
      <w:r>
        <w:t>5.12.2</w:t>
      </w:r>
      <w:r>
        <w:tab/>
        <w:t>Additional Provisions Applicable to External Installed Capacity Suppliers</w:t>
      </w:r>
      <w:bookmarkEnd w:id="2"/>
    </w:p>
    <w:p w:rsidR="00CA3ADB" w14:paraId="1A6885BD" w14:textId="77777777">
      <w:pPr>
        <w:pStyle w:val="Bodypara"/>
      </w:pPr>
      <w:r>
        <w:t xml:space="preserve">Terms in this Section 5.12.2 not defined in the Services Tariff have the meaning set forth in the </w:t>
      </w:r>
      <w:r>
        <w:rPr>
          <w:rFonts w:eastAsia="Times New Roman"/>
          <w:snapToGrid w:val="0"/>
          <w:szCs w:val="20"/>
        </w:rPr>
        <w:t>OATT</w:t>
      </w:r>
      <w:r>
        <w:t xml:space="preserve">.  </w:t>
      </w:r>
      <w:bookmarkStart w:id="3" w:name="_Toc261446144"/>
    </w:p>
    <w:p w:rsidR="00CA3ADB" w14:paraId="36DF58EF" w14:textId="77777777">
      <w:pPr>
        <w:pStyle w:val="Heading4"/>
      </w:pPr>
      <w:r>
        <w:t>5.12.2.1</w:t>
      </w:r>
      <w:r>
        <w:tab/>
        <w:t>Provisions Addressing the Applicable External Control Area</w:t>
      </w:r>
      <w:bookmarkEnd w:id="3"/>
    </w:p>
    <w:p w:rsidR="00CA3ADB" w14:paraId="3163A849" w14:textId="77777777">
      <w:pPr>
        <w:pStyle w:val="Bodypara"/>
      </w:pPr>
      <w:r>
        <w:t xml:space="preserve">External Generators, External System Resources, and Control Area System Resources qualify as Installed Capacity Suppliers if they demonstrate to the satisfaction of the NYISO that the Installed </w:t>
      </w:r>
      <w:r>
        <w:rPr>
          <w:rFonts w:eastAsia="Times New Roman"/>
          <w:snapToGrid w:val="0"/>
          <w:szCs w:val="20"/>
        </w:rPr>
        <w:t>Capacity</w:t>
      </w:r>
      <w:r>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w:t>
      </w:r>
      <w:r>
        <w:t xml:space="preserve">of Control Area System Resources, 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  External Installed Capacity associated with Import Rights, EDRs or UDRs is subject to the same deliverability requirements applied to Internal Installed Capacity Suppliers associated with UDRs.  </w:t>
      </w:r>
    </w:p>
    <w:p w:rsidR="00CA3ADB" w14:paraId="573BBBBB" w14:textId="77777777">
      <w:pPr>
        <w:pStyle w:val="Heading4"/>
      </w:pPr>
      <w:bookmarkStart w:id="4" w:name="_Toc261446145"/>
      <w:r>
        <w:t>5.12.2.2</w:t>
      </w:r>
      <w:r>
        <w:tab/>
        <w:t>Additional Provisions Addressing Internal Deliverability and Import Rights</w:t>
      </w:r>
      <w:bookmarkEnd w:id="4"/>
    </w:p>
    <w:p w:rsidR="00CA3ADB" w14:paraId="299DCC27" w14:textId="77777777">
      <w:pPr>
        <w:pStyle w:val="Bodypara"/>
      </w:pPr>
      <w:r>
        <w:t xml:space="preserve">In addition to the provisions contained in Section 5.12.2.1 above, External Installed Capacity not associated with UDRs, EDRs, or External CRIS Rights will be subject to the deliverability test in Section 25.7.8 and 25.7.9 of Attachment S to the ISO OATT.  The deliverability of External </w:t>
      </w:r>
      <w:r>
        <w:rPr>
          <w:rFonts w:eastAsia="Times New Roman"/>
          <w:snapToGrid w:val="0"/>
          <w:szCs w:val="20"/>
        </w:rPr>
        <w:t>Installed</w:t>
      </w:r>
      <w:r>
        <w:t xml:space="preserve"> Capacity not associated with UDRs, EDRs, or External CRIS Rights will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w:t>
      </w:r>
      <w:r>
        <w:t xml:space="preserve">(via Chateauguay) Interface will </w:t>
      </w:r>
      <w:r>
        <w:t>be considered to be</w:t>
      </w:r>
      <w:r>
        <w:t xml:space="preserve"> deliverable until the end of the 2010 Summer Capability Period.</w:t>
      </w:r>
    </w:p>
    <w:p w:rsidR="00CA3ADB" w14:paraId="25ADB821" w14:textId="77777777">
      <w:pPr>
        <w:pStyle w:val="Bodypara"/>
      </w:pPr>
      <w:r>
        <w:t xml:space="preserve">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25.7.9 of Attachment S to the ISO OATT.  Import limits set for External Installed Capacity will reflect the modeling of awarded </w:t>
      </w:r>
      <w:r>
        <w:rPr>
          <w:rFonts w:eastAsia="Times New Roman"/>
          <w:snapToGrid w:val="0"/>
          <w:szCs w:val="20"/>
        </w:rPr>
        <w:t>External</w:t>
      </w:r>
      <w:r>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14:paraId="147D9A2A" w14:textId="77777777">
      <w:pPr>
        <w:pStyle w:val="Bodypara"/>
      </w:pPr>
      <w:r>
        <w:t xml:space="preserve">Until </w:t>
      </w:r>
      <w:r>
        <w:rPr>
          <w:rFonts w:eastAsia="Times New Roman"/>
          <w:snapToGrid w:val="0"/>
          <w:szCs w:val="20"/>
        </w:rPr>
        <w:t>the</w:t>
      </w:r>
      <w:r>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14:paraId="318FFE5F" w14:textId="77777777">
      <w:pPr>
        <w:pStyle w:val="Bodypara"/>
      </w:pPr>
      <w:r>
        <w:t xml:space="preserve">Additionally, any of the Existing Transmission Capacity for Native Load listed for New York State </w:t>
      </w:r>
      <w:r>
        <w:rPr>
          <w:rFonts w:eastAsia="Times New Roman"/>
          <w:snapToGrid w:val="0"/>
          <w:szCs w:val="20"/>
        </w:rPr>
        <w:t>Electric</w:t>
      </w:r>
      <w:r>
        <w:t xml:space="preserve"> &amp; Gas Corporation not utilized by New York State Electric &amp; Gas </w:t>
      </w:r>
      <w:r>
        <w:t xml:space="preserve">Corporation for a Capability Period will be made available to other external resources for that Capability Period, pursuant to ISO procedures, to the extent the unutilized amount is determined to be deliverable within the Rest of State Capacity Region. </w:t>
      </w:r>
    </w:p>
    <w:p w:rsidR="00CA3ADB" w14:paraId="7C1E566E" w14:textId="77777777">
      <w:pPr>
        <w:pStyle w:val="Bodypara"/>
      </w:pPr>
      <w:r>
        <w:t xml:space="preserve">LSEs with External Installed Capacity as of the effective date of this Tariff will be entitled to designate External Installed Capacity at the same NYCA Interface with another Control Area, in </w:t>
      </w:r>
      <w:r>
        <w:rPr>
          <w:rFonts w:eastAsia="Times New Roman"/>
          <w:snapToGrid w:val="0"/>
          <w:szCs w:val="20"/>
        </w:rPr>
        <w:t>the</w:t>
      </w:r>
      <w:r>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1999 that do not correspond to Table 3 of Attachment L to the ISO OATT shall survive for the </w:t>
      </w:r>
      <w:r>
        <w:rPr>
          <w:rFonts w:eastAsia="Times New Roman"/>
          <w:snapToGrid w:val="0"/>
          <w:szCs w:val="20"/>
        </w:rPr>
        <w:t>term</w:t>
      </w:r>
      <w:r>
        <w:t xml:space="preserve"> of the relevant External Installed Capacity contract or until the relevant External Generator is retired.</w:t>
      </w:r>
    </w:p>
    <w:p w:rsidR="00CA3ADB" w14:paraId="32E6A496" w14:textId="77777777">
      <w:pPr>
        <w:pStyle w:val="Heading4"/>
      </w:pPr>
      <w:bookmarkStart w:id="5" w:name="_Toc261446146"/>
      <w:r>
        <w:t>5.12.2.3</w:t>
      </w:r>
      <w:r>
        <w:tab/>
        <w:t>One-Time Conversion of Grandfathered Quebec (via Chateauguay) Interface Rights.</w:t>
      </w:r>
      <w:bookmarkEnd w:id="5"/>
    </w:p>
    <w:p w:rsidR="00CA3ADB" w14:paraId="5544D440" w14:textId="77777777">
      <w:pPr>
        <w:pStyle w:val="Bodypara"/>
      </w:pPr>
      <w:r>
        <w:t xml:space="preserve">An entity can request to convert a specified number of MW, up to 1090 MW over the Quebec External Interface (via Chateauguay), into External CRIS Rights by making either a Contract </w:t>
      </w:r>
      <w:r>
        <w:rPr>
          <w:rFonts w:eastAsia="Times New Roman"/>
          <w:snapToGrid w:val="0"/>
          <w:szCs w:val="20"/>
        </w:rPr>
        <w:t>Commitment</w:t>
      </w:r>
      <w:r>
        <w:t xml:space="preserve"> or Non-Contract Commitment that satisfies the requirements of Section 25.7.11.1 of Attachment S to the ISO OATT.  The converted number of MW will not be subject to further evaluation for deliverability within a Class Year Deliverability Study under Attachment S to the ISO OATT, </w:t>
      </w:r>
      <w:r>
        <w:t>as long as</w:t>
      </w:r>
      <w:r>
        <w:t xml:space="preserve"> the External CRIS Rights are in effect.  </w:t>
      </w:r>
    </w:p>
    <w:p w:rsidR="00CA3ADB" w14:paraId="4C8F7936" w14:textId="77777777">
      <w:pPr>
        <w:pStyle w:val="alphapara"/>
      </w:pPr>
      <w:r>
        <w:t>5.12.2.3.1</w:t>
      </w:r>
      <w:r>
        <w:tab/>
        <w:t>The External CRIS Rights awarded under this conversion process will first become effective for the 2010-2011 Winter Capability Period.</w:t>
      </w:r>
    </w:p>
    <w:p w:rsidR="00CA3ADB" w14:paraId="3729DDEA" w14:textId="77777777">
      <w:pPr>
        <w:pStyle w:val="alphapara"/>
      </w:pPr>
      <w:r>
        <w:t>5.12.2.3.2</w:t>
      </w:r>
      <w:r>
        <w:tab/>
        <w:t>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25.7.11.1 of Attachment S to the ISO OATT; (b) the length of the commitment in years; (c) for the Summer Capability Period, the requested number of MW; (d) for the Winter Capability Period, the Specified Winter Months, if any, and the requested number of MW; and (e) a minimum number of MW the entity will accept if granted (“Specified Minimum”) for the Summer Capability Period and for all Specified Winter Months, if any.</w:t>
      </w:r>
    </w:p>
    <w:p w:rsidR="00CA3ADB" w14:paraId="5C3336EB" w14:textId="77777777">
      <w:pPr>
        <w:pStyle w:val="alphapara"/>
      </w:pPr>
      <w:r>
        <w:t>5.12.2.3.3</w:t>
      </w:r>
      <w:r>
        <w:tab/>
        <w:t xml:space="preserve">An entity cannot submit one or more requests to convert in the aggregate more than 1090 MW in any single month.  </w:t>
      </w:r>
    </w:p>
    <w:p w:rsidR="00CA3ADB" w14:paraId="33CEB834" w14:textId="77777777">
      <w:pPr>
        <w:pStyle w:val="alphapara"/>
      </w:pPr>
      <w:r>
        <w:t>5.12.2.3.4</w:t>
      </w:r>
      <w:r>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Pr>
          <w:i/>
        </w:rPr>
        <w:t>i.e.,</w:t>
      </w:r>
      <w:r>
        <w:t xml:space="preserve"> number of Summer Capability Periods) in accordance with the following formula: </w:t>
      </w:r>
    </w:p>
    <w:p w:rsidR="00CA3ADB"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14:paraId="12C29F28" w14:textId="77777777">
      <w:pPr>
        <w:spacing w:before="240"/>
        <w:ind w:left="1440"/>
        <w:rPr>
          <w:rFonts w:ascii="Times New Roman" w:hAnsi="Times New Roman"/>
          <w:sz w:val="24"/>
          <w:szCs w:val="24"/>
        </w:rPr>
      </w:pPr>
      <w:r>
        <w:rPr>
          <w:rFonts w:ascii="Times New Roman" w:hAnsi="Times New Roman"/>
          <w:sz w:val="24"/>
          <w:szCs w:val="24"/>
        </w:rPr>
        <w:t xml:space="preserve">j = </w:t>
      </w:r>
      <w:r>
        <w:rPr>
          <w:rFonts w:ascii="Times New Roman" w:hAnsi="Times New Roman"/>
          <w:sz w:val="24"/>
          <w:szCs w:val="24"/>
        </w:rPr>
        <w:t>l,…</w:t>
      </w:r>
      <w:r>
        <w:rPr>
          <w:rFonts w:ascii="Times New Roman" w:hAnsi="Times New Roman"/>
          <w:sz w:val="24"/>
          <w:szCs w:val="24"/>
        </w:rPr>
        <w:t># entities requesting import rights</w:t>
      </w:r>
    </w:p>
    <w:p w:rsidR="00CA3ADB" w14:paraId="4F606FFC" w14:textId="77777777">
      <w:pPr>
        <w:pStyle w:val="alphapara"/>
      </w:pPr>
      <w:r>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will </w:t>
      </w:r>
      <w:r>
        <w:rPr>
          <w:bCs/>
        </w:rPr>
        <w:t>continue</w:t>
      </w:r>
      <w:r>
        <w:t xml:space="preserve"> until the prorated allocation meets or exceeds the specified minimum for all remaining requests.</w:t>
      </w:r>
    </w:p>
    <w:p w:rsidR="00CA3ADB" w14:paraId="41B50810" w14:textId="77777777">
      <w:pPr>
        <w:pStyle w:val="alphapara"/>
      </w:pPr>
      <w:r>
        <w:t>5.12.2.3.5</w:t>
      </w:r>
      <w:r>
        <w:tab/>
        <w:t xml:space="preserve">Any portion of the previously grandfathered 1090 MW not converted through this process will no longer be grandfathered from deliverability.  </w:t>
      </w:r>
      <w:r>
        <w:rPr>
          <w:bCs/>
        </w:rPr>
        <w:t>Previously</w:t>
      </w:r>
      <w:r>
        <w:t xml:space="preserve"> grandfathered rights converted to External CRIS Rights but then terminated will no longer be grandfathered from deliverability.</w:t>
      </w:r>
    </w:p>
    <w:p w:rsidR="00CA3ADB" w14:paraId="59032EC5" w14:textId="77777777">
      <w:pPr>
        <w:pStyle w:val="Heading4"/>
      </w:pPr>
      <w:bookmarkStart w:id="6" w:name="_Toc261446147"/>
      <w:r>
        <w:t>5.12.2.4</w:t>
      </w:r>
      <w:r>
        <w:tab/>
        <w:t>Offer Cap Applicable to Certain External CRIS Rights</w:t>
      </w:r>
      <w:bookmarkEnd w:id="6"/>
    </w:p>
    <w:p w:rsidR="00CA3ADB" w14:paraId="6A26170D" w14:textId="77777777">
      <w:pPr>
        <w:pStyle w:val="Bodypara"/>
      </w:pPr>
      <w:r>
        <w:t xml:space="preserve">Notwithstanding any other capacity mitigation measures or obligations that may apply, the offers of External Installed Capacity submitted pursuant to a Non-Contract Commitment, as described in Section 25.7.11.1.2 of Attachment S of the ISO OATT, will be subject to an offer cap in each </w:t>
      </w:r>
      <w:r>
        <w:rPr>
          <w:rFonts w:eastAsia="Times New Roman"/>
          <w:snapToGrid w:val="0"/>
          <w:szCs w:val="20"/>
        </w:rPr>
        <w:t>month</w:t>
      </w:r>
      <w:r>
        <w:t xml:space="preserve"> of the Summer Capability Period and for all Specified Winter Months.  This offer cap will be determined as the higher of:</w:t>
      </w:r>
    </w:p>
    <w:p w:rsidR="00CA3ADB" w14:paraId="524F459B" w14:textId="77777777">
      <w:pPr>
        <w:pStyle w:val="alphapara"/>
      </w:pPr>
      <w:r>
        <w:t>5.12.2.4.1</w:t>
      </w:r>
      <w:r>
        <w:tab/>
        <w:t xml:space="preserve">1.1 times the price corresponding to all available Unforced Capacity </w:t>
      </w:r>
      <w:r>
        <w:rPr>
          <w:bCs/>
        </w:rPr>
        <w:t>determined</w:t>
      </w:r>
      <w:r>
        <w:t xml:space="preserve"> from the NYCA ICAP Demand Curve for that Period; and</w:t>
      </w:r>
    </w:p>
    <w:p w:rsidR="00CA3ADB" w14:paraId="462E3D20" w14:textId="77777777">
      <w:pPr>
        <w:pStyle w:val="alphapara"/>
      </w:pPr>
      <w:r>
        <w:t>5.12.2.4.2</w:t>
      </w:r>
      <w:r>
        <w:tab/>
        <w:t xml:space="preserve">The most recent auction clearing price (a) in the External market supplying the External Installed Capacity, if any, and if none, then the most recent </w:t>
      </w:r>
      <w:r>
        <w:rPr>
          <w:bCs/>
        </w:rPr>
        <w:t>auction</w:t>
      </w:r>
      <w:r>
        <w:t xml:space="preserve"> clearing price in an External market to which the capacity may be wheeled, less (b) any transmission reservation costs in the External market associated with providing the Installed Capacity, in accordance with ISO Procedures.</w:t>
      </w:r>
    </w:p>
    <w:p w:rsidR="00CA3ADB" w14:paraId="76EBCB17" w14:textId="77777777">
      <w:pPr>
        <w:pStyle w:val="Heading3"/>
      </w:pPr>
      <w:bookmarkStart w:id="7" w:name="_Toc261446148"/>
      <w:r>
        <w:t>5.12.3</w:t>
      </w:r>
      <w:r>
        <w:tab/>
        <w:t>Installed Capacity Supplier Outage Scheduling Requirements</w:t>
      </w:r>
      <w:bookmarkEnd w:id="7"/>
    </w:p>
    <w:p w:rsidR="00CA3ADB" w14:paraId="4EDB22B9" w14:textId="77777777">
      <w:pPr>
        <w:pStyle w:val="Bodypara"/>
      </w:pPr>
      <w:r>
        <w:t xml:space="preserve">All Installed Capacity Suppliers, except for Control Area System Resources and Responsible Interface Parties, that intend to supply Unforced Capacity to the NYCA shall submit a confidential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w:t>
      </w:r>
      <w:r>
        <w:t>actually supplying</w:t>
      </w:r>
      <w:r>
        <w:t xml:space="preserve"> Unforced Capacity to the NYCA, if voluntary rescheduling is ineffective, the ISO will invoke forced rescheduling of their outages to ensure that projected Operating Reserves over the upcoming year are adequate.  </w:t>
      </w:r>
    </w:p>
    <w:p w:rsidR="00CA3ADB" w14:paraId="47CFE64D" w14:textId="77777777">
      <w:pPr>
        <w:pStyle w:val="Bodypara"/>
      </w:pPr>
      <w:r>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14:paraId="0DC302AD" w14:textId="77777777">
      <w:pPr>
        <w:pStyle w:val="Bodypara"/>
      </w:pPr>
      <w:r>
        <w:t xml:space="preserve">An Installed Capacity Supplier that intends to supply Unforced Capacity </w:t>
      </w:r>
      <w:r>
        <w:t>in a given</w:t>
      </w:r>
      <w:r>
        <w:t xml:space="preserve"> month that did not qualify as an Installed Capacity Supplier prior to the beginning of the Capability Period must notify the ISO in accordance with the ISO Procedures so that it may be subject to forced rescheduling of its proposed outages </w:t>
      </w:r>
      <w:r>
        <w:t>in order to</w:t>
      </w:r>
      <w:r>
        <w:t xml:space="preserve"> qualify as an Installed Capacity </w:t>
      </w:r>
      <w:r>
        <w:t xml:space="preserve">Supplier.  A Resource that </w:t>
      </w:r>
      <w:r>
        <w:rPr>
          <w:rFonts w:eastAsia="Times New Roman"/>
          <w:snapToGrid w:val="0"/>
          <w:szCs w:val="20"/>
        </w:rPr>
        <w:t>refuses</w:t>
      </w:r>
      <w:r>
        <w:t xml:space="preserve"> the ISO’s forced rescheduling of its proposed outages shall not qualify as an Installed Capacity Supplier for that unit for any month during which it schedules or conducts an outage.</w:t>
      </w:r>
    </w:p>
    <w:p w:rsidR="00CA3ADB" w14:paraId="0D4A4D24" w14:textId="77777777">
      <w:pPr>
        <w:pStyle w:val="Bodypara"/>
      </w:pPr>
      <w:r>
        <w:t xml:space="preserve">Outage </w:t>
      </w:r>
      <w:r>
        <w:rPr>
          <w:rFonts w:eastAsia="Times New Roman"/>
          <w:snapToGrid w:val="0"/>
          <w:szCs w:val="20"/>
        </w:rPr>
        <w:t>schedules</w:t>
      </w:r>
      <w:r>
        <w:t xml:space="preserve"> for External System Resources and Control Area System Resources shall be coordinated by the External Control Area and the ISO in accordance with the ISO Procedures.</w:t>
      </w:r>
    </w:p>
    <w:p w:rsidR="00CA3ADB" w14:paraId="767E0A95" w14:textId="77777777">
      <w:pPr>
        <w:pStyle w:val="Heading3"/>
      </w:pPr>
      <w:bookmarkStart w:id="8" w:name="_Toc261446149"/>
      <w:r>
        <w:t>5.12.4</w:t>
      </w:r>
      <w:r>
        <w:tab/>
        <w:t>Required Certification for Installed Capacity</w:t>
      </w:r>
      <w:bookmarkEnd w:id="8"/>
      <w:r>
        <w:t xml:space="preserve"> </w:t>
      </w:r>
    </w:p>
    <w:p w:rsidR="00CA3ADB" w14:paraId="5C68F249" w14:textId="77777777">
      <w:pPr>
        <w:pStyle w:val="alphapara"/>
        <w:rPr>
          <w:bCs/>
        </w:rPr>
      </w:pPr>
      <w:r>
        <w:t>(a)</w:t>
      </w:r>
      <w:r>
        <w:tab/>
        <w:t xml:space="preserve">Each Installed Capacity Supplier must confirm to the ISO, in accordance with ISO Procedures that the Unforced </w:t>
      </w:r>
      <w:r>
        <w:rPr>
          <w:bCs/>
        </w:rPr>
        <w:t>Capacity it has certified has not been sold for use in an External Control Area.</w:t>
      </w:r>
    </w:p>
    <w:p w:rsidR="00CA3ADB" w14:paraId="4123B39C" w14:textId="77777777">
      <w:pPr>
        <w:pStyle w:val="alphapara"/>
      </w:pPr>
      <w:r>
        <w:t>(b)</w:t>
      </w:r>
      <w:r>
        <w:tab/>
        <w:t>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(if applicable.)</w:t>
      </w:r>
    </w:p>
    <w:p w:rsidR="00CA3ADB" w14:paraId="11AE4064" w14:textId="77777777">
      <w:pPr>
        <w:pStyle w:val="alphapara"/>
      </w:pPr>
      <w:r>
        <w:t>(c)</w:t>
      </w:r>
      <w:r>
        <w:tab/>
        <w:t xml:space="preserve">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w:t>
      </w:r>
      <w:r>
        <w:t>Administered Markets or otherwise meet its obligations as an Interim Service Provider.</w:t>
      </w:r>
    </w:p>
    <w:p w:rsidR="00CA3ADB" w14:paraId="64E8F233" w14:textId="77777777">
      <w:pPr>
        <w:pStyle w:val="Heading3"/>
      </w:pPr>
      <w:bookmarkStart w:id="9" w:name="_Toc261446150"/>
      <w:r>
        <w:t>5.12.5</w:t>
      </w:r>
      <w:r>
        <w:tab/>
        <w:t>Operating Data Reporting Requirements</w:t>
      </w:r>
      <w:bookmarkEnd w:id="9"/>
    </w:p>
    <w:p w:rsidR="00CA3ADB" w14:paraId="57A07F5E" w14:textId="77777777">
      <w:pPr>
        <w:pStyle w:val="Bodypara"/>
      </w:pPr>
      <w:r>
        <w:t xml:space="preserve">To qualify as Installed Capacity Suppliers in the NYCA, Resources shall submit to the ISO Operating Data in accordance with this Section 5.12.5 and the ISO Procedures.  Resources that do not </w:t>
      </w:r>
      <w:r>
        <w:rPr>
          <w:rFonts w:eastAsia="Times New Roman"/>
          <w:snapToGrid w:val="0"/>
          <w:szCs w:val="20"/>
        </w:rPr>
        <w:t>submit</w:t>
      </w:r>
      <w:r>
        <w:t xml:space="preserve"> Operating Data in accordance with the following subsections and the ISO Procedures may be subject to the sanctions provided in Section 5.12.12.1 of this Tariff.</w:t>
      </w:r>
    </w:p>
    <w:p w:rsidR="00CA3ADB" w14:paraId="4343281E" w14:textId="77777777">
      <w:pPr>
        <w:pStyle w:val="Bodypara"/>
      </w:pPr>
      <w:r>
        <w:t>Resources that were not in operation on January 1, 2000 shall submit Operating Data to the ISO no later than one month after such Resources commence commercial operation, and in accordance with the ISO Procedures and the following subsections as applicable.</w:t>
      </w:r>
    </w:p>
    <w:p w:rsidR="00CA3ADB" w:rsidRPr="00BC4898" w14:paraId="0266E11E" w14:textId="4C6D42A8">
      <w:pPr>
        <w:pStyle w:val="Heading4"/>
      </w:pPr>
      <w:bookmarkStart w:id="10" w:name="_Toc261446151"/>
      <w:r>
        <w:t>5.12.5.1</w:t>
      </w:r>
      <w:r>
        <w:tab/>
        <w:t>Generators, System Resources, Energy Limited Resources, Energy Storage Resources, Responsible Interface Parties, Intermittent Power Resources, Limited Control Run-of-Ri</w:t>
      </w:r>
      <w:r w:rsidRPr="00BC4898">
        <w:t>ver Hydro Resources Municipally Owned Generation</w:t>
      </w:r>
      <w:bookmarkEnd w:id="10"/>
      <w:r w:rsidR="00F90214">
        <w:t xml:space="preserve"> and Distributed Energy Resources</w:t>
      </w:r>
    </w:p>
    <w:p w:rsidR="00CA3ADB" w14:paraId="3FD6E3B0" w14:textId="25383C85">
      <w:pPr>
        <w:pStyle w:val="Bodypara"/>
      </w:pPr>
      <w:r w:rsidRPr="00BC4898">
        <w:t>To qualify as Installed Capacity Suppliers in the NYCA, Generators, External</w:t>
      </w:r>
      <w:r>
        <w:t xml:space="preserve"> Generators, </w:t>
      </w:r>
      <w:r>
        <w:rPr>
          <w:rFonts w:eastAsia="Times New Roman"/>
          <w:snapToGrid w:val="0"/>
          <w:szCs w:val="20"/>
        </w:rPr>
        <w:t>System</w:t>
      </w:r>
      <w:r>
        <w:t xml:space="preserve"> Resources, External System Resources, Energy Limited Resources, Responsible Interface Parties, Intermittent Power Resources, Limited Control Run-of-River Hydro Resources, Energy Storage Resources, and municipally owned generation </w:t>
      </w:r>
      <w:r w:rsidR="00F90214">
        <w:t xml:space="preserve">and Distributed Energy Resources </w:t>
      </w:r>
      <w:r>
        <w:t xml:space="preserve">or the purchasers of Unforced Capacity associated with those Resources shall submit GADS Data, data equivalent to GADS Data, </w:t>
      </w:r>
      <w:r w:rsidR="00F90214">
        <w:t>and/</w:t>
      </w:r>
      <w:r>
        <w:t xml:space="preserve">or other Operating Data to the ISO in accordance with the ISO Procedures.  Prior to the successful implementation of a software modification that allows gas turbines to submit multiple bid points, these units </w:t>
      </w:r>
      <w:r>
        <w:t>shall</w:t>
      </w:r>
      <w:r>
        <w:t xml:space="preserve"> not </w:t>
      </w:r>
      <w:r>
        <w:t>be considered to be</w:t>
      </w:r>
      <w:r>
        <w:t xml:space="preserve"> forced out for any hours that the unit was available at its base load capability in accordance with the ISO Procedures.  This section shall also apply to any Installed </w:t>
      </w:r>
      <w:r>
        <w:rPr>
          <w:rFonts w:eastAsia="Times New Roman"/>
          <w:snapToGrid w:val="0"/>
          <w:szCs w:val="20"/>
        </w:rPr>
        <w:t>Capacity</w:t>
      </w:r>
      <w:r>
        <w:t xml:space="preserve"> </w:t>
      </w:r>
      <w:r>
        <w:t>Supplier, External or Internal, using UDRs to meet Locational Minimum Installed Capacity Requirements.</w:t>
      </w:r>
    </w:p>
    <w:p w:rsidR="00CA3ADB" w14:paraId="31E99BBA" w14:textId="77777777">
      <w:pPr>
        <w:pStyle w:val="Heading4"/>
      </w:pPr>
      <w:bookmarkStart w:id="11" w:name="_Toc261446152"/>
      <w:r>
        <w:t>5.12.5.2</w:t>
      </w:r>
      <w:r>
        <w:tab/>
        <w:t>Control Area System Resources</w:t>
      </w:r>
      <w:bookmarkEnd w:id="11"/>
    </w:p>
    <w:p w:rsidR="00CA3ADB" w14:paraId="6A07EF4E" w14:textId="77777777">
      <w:pPr>
        <w:pStyle w:val="Bodypara"/>
      </w:pPr>
      <w:r>
        <w:t xml:space="preserve">To qualify </w:t>
      </w:r>
      <w:r>
        <w:rPr>
          <w:rFonts w:eastAsia="Times New Roman"/>
          <w:snapToGrid w:val="0"/>
          <w:szCs w:val="20"/>
        </w:rPr>
        <w:t>as</w:t>
      </w:r>
      <w:r>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14:paraId="4D748124" w14:textId="77777777">
      <w:pPr>
        <w:pStyle w:val="Heading4"/>
      </w:pPr>
      <w:bookmarkStart w:id="12" w:name="_Toc261446153"/>
      <w:r>
        <w:t>5.12.5.3</w:t>
      </w:r>
      <w:r>
        <w:tab/>
        <w:t>Transmission Projects Granted Unforced Capacity Deliverability Rights</w:t>
      </w:r>
      <w:bookmarkEnd w:id="12"/>
    </w:p>
    <w:p w:rsidR="00CA3ADB" w14:paraId="098B1AF2" w14:textId="77777777">
      <w:pPr>
        <w:pStyle w:val="Bodypara"/>
      </w:pPr>
      <w:r>
        <w:t xml:space="preserve">An owner of a transmission project that receives UDRs must, among other obligations, submit outage data or other operational information in accordance with the ISO procedures to allow the ISO </w:t>
      </w:r>
      <w:r>
        <w:rPr>
          <w:rFonts w:eastAsia="Times New Roman"/>
          <w:snapToGrid w:val="0"/>
          <w:szCs w:val="20"/>
        </w:rPr>
        <w:t>to</w:t>
      </w:r>
      <w:r>
        <w:t xml:space="preserve"> determine the number of UDRs associated with the transmission facility.</w:t>
      </w:r>
    </w:p>
    <w:p w:rsidR="00CA3ADB" w14:paraId="389579BA" w14:textId="77777777">
      <w:pPr>
        <w:pStyle w:val="Heading4"/>
      </w:pPr>
      <w:r>
        <w:t>5.12.5.4</w:t>
      </w:r>
      <w:r>
        <w:tab/>
        <w:t>Transmission Projects Granted External-to ROS Deliverability Rights</w:t>
      </w:r>
    </w:p>
    <w:p w:rsidR="00CA3ADB" w14:paraId="596B96CE" w14:textId="77777777">
      <w:pPr>
        <w:pStyle w:val="Bodypara"/>
      </w:pPr>
      <w:r>
        <w:t>An owner of a transmission project that receives EDRs must, among other obligations, submit outage data or other operational information when determined applicable by the ISO and in accordance with ISO Procedures.</w:t>
      </w:r>
    </w:p>
    <w:p w:rsidR="00CA3ADB" w14:paraId="0F854C8F" w14:textId="77777777">
      <w:pPr>
        <w:pStyle w:val="Heading4"/>
      </w:pPr>
      <w:r>
        <w:t>5.12.5.5</w:t>
      </w:r>
      <w:r>
        <w:tab/>
        <w:t>Co-located Storage Resources</w:t>
      </w:r>
    </w:p>
    <w:p w:rsidR="00CA3ADB" w14:paraId="07D6B6C3" w14:textId="77777777">
      <w:pPr>
        <w:pStyle w:val="Bodypara"/>
      </w:pPr>
      <w:r>
        <w:t>Generators that are Co-located Storage Resources must each, individually, comply with the requirements of Section 5.12.5.1 of this Services Tariff.  Generators that are Co-located Storage Resources must submit outage data or other operational information in accordance with ISO Procedures that will allow the ISO to validate the CSR Scheduling Limits associated with the Co-located Storage Resources.  CSR Scheduling Limits will be incorporated into each CSR Generator’s UCAP calculation (</w:t>
      </w:r>
      <w:r>
        <w:rPr>
          <w:i/>
        </w:rPr>
        <w:t>see</w:t>
      </w:r>
      <w:r>
        <w:t xml:space="preserve"> Services Tariff Section 5.12.6.2).</w:t>
      </w:r>
    </w:p>
    <w:p w:rsidR="00CA3ADB" w14:paraId="532DFBC7" w14:textId="77777777">
      <w:pPr>
        <w:pStyle w:val="Heading3"/>
      </w:pPr>
      <w:bookmarkStart w:id="13" w:name="_Toc261446154"/>
      <w:r>
        <w:t>5.12.6</w:t>
      </w:r>
      <w:r>
        <w:tab/>
      </w:r>
      <w:r>
        <w:rPr>
          <w:szCs w:val="24"/>
        </w:rPr>
        <w:t xml:space="preserve">Capacity Calculations, </w:t>
      </w:r>
      <w:r>
        <w:t>Operating Data Default, Value and Collection</w:t>
      </w:r>
      <w:bookmarkEnd w:id="13"/>
    </w:p>
    <w:p w:rsidR="00CA3ADB" w14:paraId="2620F030" w14:textId="77777777">
      <w:pPr>
        <w:pStyle w:val="Heading4"/>
      </w:pPr>
      <w:bookmarkStart w:id="14" w:name="_Toc261446155"/>
      <w:r>
        <w:t>5.12.6.1</w:t>
      </w:r>
      <w:r>
        <w:tab/>
        <w:t>ICAP Calculation for Behind-the-Meter Net Generation Resources</w:t>
      </w:r>
    </w:p>
    <w:p w:rsidR="00CA3ADB" w14:paraId="58AB34AF" w14:textId="77777777">
      <w:pPr>
        <w:pStyle w:val="Bodypara"/>
      </w:pPr>
      <w:r>
        <w:t xml:space="preserve">The </w:t>
      </w:r>
      <w:r>
        <w:rPr>
          <w:rFonts w:eastAsia="Times New Roman"/>
          <w:snapToGrid w:val="0"/>
          <w:szCs w:val="20"/>
        </w:rPr>
        <w:t>ISO</w:t>
      </w:r>
      <w:r>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14:paraId="3B10EFD9" w14:textId="77777777">
      <w:pPr>
        <w:pStyle w:val="subhead"/>
      </w:pPr>
      <w:r>
        <w:t>5.12.6.1.1</w:t>
      </w:r>
      <w:r>
        <w:tab/>
        <w:t>Adjusted DMGC</w:t>
      </w:r>
    </w:p>
    <w:p w:rsidR="00CA3ADB" w14:paraId="13CE1C3F" w14:textId="77777777">
      <w:pPr>
        <w:pStyle w:val="Bodypara"/>
      </w:pPr>
      <w:r>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OATT Section 25 (OATT Attachment S) and ISO Procedures.  </w:t>
      </w:r>
    </w:p>
    <w:p w:rsidR="00CA3ADB" w14:paraId="651E4A24" w14:textId="77777777">
      <w:pPr>
        <w:pStyle w:val="Bodypara"/>
      </w:pPr>
      <w:r>
        <w:t xml:space="preserve">If the Station Power of a Behind-the-Meter Net Generation Resource is separately metered from all other Load of the Resource, such that the Station Power Load can be independently </w:t>
      </w:r>
      <w:r>
        <w:rPr>
          <w:rFonts w:eastAsia="Times New Roman"/>
          <w:snapToGrid w:val="0"/>
          <w:szCs w:val="20"/>
        </w:rPr>
        <w:t>measured</w:t>
      </w:r>
      <w:r>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14:paraId="560F3C31" w14:textId="77777777">
      <w:pPr>
        <w:pStyle w:val="Bodypara"/>
      </w:pPr>
      <w:r>
        <w:t xml:space="preserve">If a Behind-the-Meter Net Generation Resource elects to take a DMNC Test, the Station Power measured during such DMNC Test shall not be included in the Resource’s Host Load.  A Behind-the-Meter </w:t>
      </w:r>
      <w:r>
        <w:rPr>
          <w:rFonts w:eastAsia="Times New Roman"/>
          <w:snapToGrid w:val="0"/>
          <w:szCs w:val="20"/>
        </w:rPr>
        <w:t>Net</w:t>
      </w:r>
      <w:r>
        <w:t xml:space="preserve"> Generation Resource’s DMNC value for the Capability Period shall be used in lieu of a DMGC value in the calculation of the Resource’s Adjusted DMGC for the purposes of Sections 5.12.6.1 and 5.12.6.2 of this Services Tariff. </w:t>
      </w:r>
    </w:p>
    <w:p w:rsidR="00CA3ADB" w14:paraId="2184F9F8" w14:textId="77777777">
      <w:pPr>
        <w:pStyle w:val="subhead"/>
      </w:pPr>
      <w:r>
        <w:t>5.12.6.1.2</w:t>
      </w:r>
      <w:r>
        <w:tab/>
        <w:t>Adjusted Host Load</w:t>
      </w:r>
    </w:p>
    <w:p w:rsidR="00CA3ADB" w14:paraId="05767497" w14:textId="77777777">
      <w:pPr>
        <w:pStyle w:val="Bodypara"/>
      </w:pPr>
      <w:r>
        <w:t xml:space="preserve">A Behind-the-Meter Net Generation Resource’s Adjusted Host Load shall be equal to the product of the </w:t>
      </w:r>
      <w:r>
        <w:rPr>
          <w:rFonts w:eastAsia="Times New Roman"/>
          <w:snapToGrid w:val="0"/>
          <w:szCs w:val="20"/>
        </w:rPr>
        <w:t>Average</w:t>
      </w:r>
      <w:r>
        <w:t xml:space="preserve"> Coincident Host Load multiplied by one plus the Installed Reserve Margin.</w:t>
      </w:r>
    </w:p>
    <w:p w:rsidR="00CA3ADB" w14:paraId="2C638200" w14:textId="77777777">
      <w:pPr>
        <w:pStyle w:val="Bodypara"/>
      </w:pPr>
      <w:r>
        <w:t xml:space="preserve">The Adjusted Host Load shall be calculated by the ISO on an annual basis prior to the start of the </w:t>
      </w:r>
      <w:r>
        <w:rPr>
          <w:rFonts w:eastAsia="Times New Roman"/>
          <w:snapToGrid w:val="0"/>
          <w:szCs w:val="20"/>
        </w:rPr>
        <w:t>Summer</w:t>
      </w:r>
      <w:r>
        <w:t xml:space="preserve"> Capability Period and in accordance with ISO Procedures, based upon the Behind-the-Meter Net Generation Resource’s Average Coincident Host Load for the prior Summer Capability Period and the Winter Capability Period before that.  </w:t>
      </w:r>
    </w:p>
    <w:p w:rsidR="00CA3ADB" w14:paraId="007EF5DF" w14:textId="77777777">
      <w:pPr>
        <w:pStyle w:val="subhead"/>
      </w:pPr>
      <w:r>
        <w:t>5.12.6.1.2.1</w:t>
      </w:r>
      <w:r>
        <w:tab/>
        <w:t>Average Coincident Host Load</w:t>
      </w:r>
    </w:p>
    <w:p w:rsidR="00CA3ADB" w14:paraId="21AB2483" w14:textId="77777777">
      <w:pPr>
        <w:pStyle w:val="Bodypara"/>
      </w:pPr>
      <w:r>
        <w:t xml:space="preserve">The ISO must receive the Behind-the-Meter Net Generation Resource’s applicable metered Load data required to calculate an Average Coincident Host Load in accordance with ISO Procedures.  The ISO shall compute the Average Coincident Host Load for each Capability Year (i) using the </w:t>
      </w:r>
      <w:r>
        <w:rPr>
          <w:rFonts w:eastAsia="Times New Roman"/>
          <w:snapToGrid w:val="0"/>
          <w:szCs w:val="20"/>
        </w:rPr>
        <w:t>metered</w:t>
      </w:r>
      <w:r>
        <w:t xml:space="preserve"> Host Load data for the applicable NYCA peak Load hours, except as provided below in this Section, and (ii) adjusted for weather normalization and Load growth as determined by the ISO in relation to developing the NYCA Minimum Installed Capacity Requirement in accordance with ISO Procedures.    </w:t>
      </w:r>
    </w:p>
    <w:p w:rsidR="00CA3ADB" w14:paraId="3DA4676B" w14:textId="77777777">
      <w:pPr>
        <w:pStyle w:val="Bodypara"/>
      </w:pPr>
      <w:r>
        <w:t xml:space="preserve">For each Capability Year, the NYISO shall use the average of the highest twenty (20) one-hour peak Loads of the Host Load of the Behind-the-Meter Net Generation Resource that occur during the top </w:t>
      </w:r>
      <w:r>
        <w:rPr>
          <w:rFonts w:eastAsia="Times New Roman"/>
          <w:snapToGrid w:val="0"/>
          <w:szCs w:val="20"/>
        </w:rPr>
        <w:t>forty</w:t>
      </w:r>
      <w:r>
        <w:t xml:space="preserve"> (40) NYCA peak Load hours of the prior Summer Capability Period and the Winter Capability Period before that to calculate the Average Coincident Host Load.</w:t>
      </w:r>
    </w:p>
    <w:p w:rsidR="00CA3ADB" w14:paraId="67205131" w14:textId="77777777">
      <w:pPr>
        <w:pStyle w:val="Bodypara"/>
      </w:pPr>
      <w:r>
        <w:t xml:space="preserve">If a facility meets the criteria to be, and has not previously been, a Behind-the-Meter Net Generation Resource, but does not have </w:t>
      </w:r>
      <w:r>
        <w:t>all of</w:t>
      </w:r>
      <w:r>
        <w:t xml:space="preserve"> the appropriate meter data, its Average Coincident Host Load shall be </w:t>
      </w:r>
      <w:r>
        <w:t>a value</w:t>
      </w:r>
      <w:r>
        <w:t xml:space="preserve"> forecasted by the Behind-the-Meter Net Generation Resource.  The </w:t>
      </w:r>
      <w:r>
        <w:t xml:space="preserve">Behind-the-Meter Net </w:t>
      </w:r>
      <w:r>
        <w:rPr>
          <w:rFonts w:eastAsia="Times New Roman"/>
          <w:snapToGrid w:val="0"/>
          <w:szCs w:val="20"/>
        </w:rPr>
        <w:t>Generation</w:t>
      </w:r>
      <w:r>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14:paraId="5DD7BABD" w14:textId="77777777">
      <w:pPr>
        <w:pStyle w:val="subhead"/>
      </w:pPr>
      <w:r>
        <w:t>5.12.6.1.2.2</w:t>
      </w:r>
      <w:r>
        <w:tab/>
        <w:t xml:space="preserve">Determination of Adjusted Host Load </w:t>
      </w:r>
    </w:p>
    <w:p w:rsidR="00CA3ADB" w14:paraId="3823BAC1" w14:textId="77777777">
      <w:pPr>
        <w:pStyle w:val="Bodypara"/>
      </w:pPr>
      <w:r>
        <w:t xml:space="preserve">After the ISO has calculated a Behind-the-Meter Net Generation Resource’s Average Coincident Host Load, it shall then apply the NYCA Installed Reserve Margin.  The Behind-the-Meter Net Generation </w:t>
      </w:r>
      <w:r>
        <w:rPr>
          <w:rFonts w:eastAsia="Times New Roman"/>
          <w:snapToGrid w:val="0"/>
          <w:szCs w:val="20"/>
        </w:rPr>
        <w:t>Resource’s</w:t>
      </w:r>
      <w:r>
        <w:t xml:space="preserve"> Adjusted Host Load will be established by multiplying the Resource’s Average Coincident Host Load for the Capability Year by the quantity of one plus the NYCA Installed Reserve Margin. </w:t>
      </w:r>
    </w:p>
    <w:p w:rsidR="00CA3ADB" w14:paraId="4DC04CA3" w14:textId="77777777">
      <w:pPr>
        <w:pStyle w:val="Heading4"/>
      </w:pPr>
      <w:r>
        <w:t>5.12.6.2</w:t>
      </w:r>
      <w:r>
        <w:tab/>
        <w:t>UCAP Calculations</w:t>
      </w:r>
      <w:bookmarkEnd w:id="14"/>
    </w:p>
    <w:p w:rsidR="00CA3ADB" w14:paraId="6548F0D7" w14:textId="77777777">
      <w:pPr>
        <w:pStyle w:val="Bodypara"/>
      </w:pPr>
      <w:r>
        <w:t xml:space="preserve">The ISO shall calculate for each Resource the amount of Unforced Capacity that each Installed </w:t>
      </w:r>
      <w:r>
        <w:rPr>
          <w:rFonts w:eastAsia="Times New Roman"/>
          <w:snapToGrid w:val="0"/>
          <w:szCs w:val="20"/>
        </w:rPr>
        <w:t>Capacity</w:t>
      </w:r>
      <w:r>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CA3ADB" w:rsidP="00942DA3" w14:paraId="1BBE44C0" w14:textId="3B3F4470">
      <w:pPr>
        <w:pStyle w:val="Bodypara"/>
      </w:pPr>
      <w:r>
        <w:t xml:space="preserve">The </w:t>
      </w:r>
      <w:r>
        <w:rPr>
          <w:rFonts w:eastAsia="Times New Roman"/>
          <w:snapToGrid w:val="0"/>
          <w:szCs w:val="20"/>
        </w:rPr>
        <w:t>amount</w:t>
      </w:r>
      <w:r>
        <w:t xml:space="preserve"> of Unforced Capacity that each Generator, except for the Generator of a Behind-the-Meter Net Generation Resource, System Resource, Energy Limited Resource, Special Case Resource, and municipally-owned generation is authorized to supply in the NYCA shall be based on the ISO’s calculations of individual Equivalent Demand Forced Outage Rates.</w:t>
      </w:r>
      <w:r w:rsidR="00942DA3">
        <w:t xml:space="preserve">  </w:t>
      </w:r>
      <w:r>
        <w:t>The amount of Unforced Capacity that each Energy Storage Resource</w:t>
      </w:r>
      <w:r w:rsidR="00F90214">
        <w:t>, Aggregation that is comprised entirely of Energy Storage Resources, and DER Aggregation</w:t>
      </w:r>
      <w:r>
        <w:t xml:space="preserve"> is authorized to supply in the NYCA shall be based on the individual availability of the Energy Storage Resource</w:t>
      </w:r>
      <w:r w:rsidR="00F90214">
        <w:t xml:space="preserve"> or the </w:t>
      </w:r>
      <w:r w:rsidR="00F90214">
        <w:t>availability of the Aggregation</w:t>
      </w:r>
      <w:r>
        <w:t xml:space="preserve"> in the Real-Time Market and calculated by the ISO in accordance with ISO Procedures.  Except as provided in Section 5.12.6.2.1 of this Services Tariff, this calculation shall not include hours in any month that the Energy Storage Resource </w:t>
      </w:r>
      <w:r w:rsidR="00F90214">
        <w:t xml:space="preserve">or Aggregation </w:t>
      </w:r>
      <w:r>
        <w:t>was in an outage state that started on or after May 1, 2015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14:paraId="6D60402E" w14:textId="4D0DC48D">
      <w:pPr>
        <w:pStyle w:val="Bodypara"/>
      </w:pPr>
      <w:r>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00A31BFE">
        <w:t xml:space="preserve"> or an Aggregation that is entirely comprised of Intermittent Power Resources that depend on the same type of fuel</w:t>
      </w:r>
      <w:r>
        <w:t xml:space="preserve"> is authorized to supply in the NYCA shall be based on the ISO’s calculation of the amount of capacity that the Intermittent Power Resource </w:t>
      </w:r>
      <w:r w:rsidR="00A31BFE">
        <w:t xml:space="preserve">or an Aggregation that is entirely comprised of Intermittent Power Resources that depend on the same type of fuel </w:t>
      </w:r>
      <w:r>
        <w:t>can reliably provide during system peak Load hours in accordance with ISO Procedures</w:t>
      </w:r>
      <w:bookmarkStart w:id="15" w:name="_cp_text_1_56"/>
      <w:r>
        <w:t xml:space="preserve">.  </w:t>
      </w:r>
    </w:p>
    <w:p w:rsidR="00CA3ADB" w14:paraId="208B1B06" w14:textId="4A76AA7A">
      <w:pPr>
        <w:pStyle w:val="Bodypara"/>
      </w:pPr>
      <w:bookmarkStart w:id="16" w:name="_Hlk83817566"/>
      <w:r>
        <w:t>Starting with the Capability Year beginning May 1, 2021</w:t>
      </w:r>
      <w:r w:rsidR="00502D27">
        <w:t xml:space="preserve"> and continuing until the Capability Year that begins in May 2024</w:t>
      </w:r>
      <w:r>
        <w:t xml:space="preserve">, this calculation will be weighted according to the respective Peak Load Window weighting factors provided in the table below.  </w:t>
      </w:r>
      <w:bookmarkEnd w:id="16"/>
      <w:r>
        <w:t>Separate Summer and Winter Peak Load Windows are applicable based on the penetration of duration limited resources in Section 5.12.14.</w:t>
      </w:r>
    </w:p>
    <w:tbl>
      <w:tblPr>
        <w:tblW w:w="5440" w:type="dxa"/>
        <w:tblInd w:w="2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070"/>
        <w:gridCol w:w="1070"/>
        <w:gridCol w:w="1020"/>
        <w:gridCol w:w="1020"/>
      </w:tblGrid>
      <w:tr w14:paraId="4864DB3B" w14:textId="77777777">
        <w:tblPrEx>
          <w:tblW w:w="5440" w:type="dxa"/>
          <w:tblInd w:w="2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6"/>
        </w:trPr>
        <w:tc>
          <w:tcPr>
            <w:tcW w:w="1260" w:type="dxa"/>
            <w:noWrap/>
            <w:vAlign w:val="bottom"/>
            <w:hideMark/>
          </w:tcPr>
          <w:p w:rsidR="00CA3ADB" w14:paraId="139887D4" w14:textId="77777777">
            <w:pPr>
              <w:spacing w:after="0" w:line="240" w:lineRule="auto"/>
              <w:rPr>
                <w:rFonts w:ascii="Times New Roman" w:eastAsia="Times New Roman" w:hAnsi="Times New Roman"/>
                <w:sz w:val="20"/>
                <w:szCs w:val="20"/>
              </w:rPr>
            </w:pPr>
          </w:p>
        </w:tc>
        <w:tc>
          <w:tcPr>
            <w:tcW w:w="2140" w:type="dxa"/>
            <w:gridSpan w:val="2"/>
            <w:vAlign w:val="bottom"/>
            <w:hideMark/>
          </w:tcPr>
          <w:p w:rsidR="00CA3ADB" w14:paraId="5D9F90E7" w14:textId="77777777">
            <w:pPr>
              <w:spacing w:after="0" w:line="240" w:lineRule="auto"/>
              <w:jc w:val="center"/>
              <w:rPr>
                <w:rFonts w:eastAsia="Times New Roman" w:cs="Calibri"/>
                <w:color w:val="000000"/>
              </w:rPr>
            </w:pPr>
            <w:r>
              <w:rPr>
                <w:rFonts w:eastAsia="Times New Roman" w:cs="Calibri"/>
                <w:color w:val="000000"/>
              </w:rPr>
              <w:t xml:space="preserve">Summer Peak Load Window </w:t>
            </w:r>
          </w:p>
        </w:tc>
        <w:tc>
          <w:tcPr>
            <w:tcW w:w="2040" w:type="dxa"/>
            <w:gridSpan w:val="2"/>
            <w:vAlign w:val="bottom"/>
            <w:hideMark/>
          </w:tcPr>
          <w:p w:rsidR="00CA3ADB" w14:paraId="4D86D34C" w14:textId="77777777">
            <w:pPr>
              <w:spacing w:after="0" w:line="240" w:lineRule="auto"/>
              <w:jc w:val="center"/>
              <w:rPr>
                <w:rFonts w:eastAsia="Times New Roman" w:cs="Calibri"/>
                <w:color w:val="000000"/>
              </w:rPr>
            </w:pPr>
            <w:r>
              <w:rPr>
                <w:rFonts w:eastAsia="Times New Roman" w:cs="Calibri"/>
                <w:color w:val="000000"/>
              </w:rPr>
              <w:t>Winter Peak Load Window</w:t>
            </w:r>
          </w:p>
        </w:tc>
      </w:tr>
      <w:tr w14:paraId="6811747A" w14:textId="77777777">
        <w:tblPrEx>
          <w:tblW w:w="5440" w:type="dxa"/>
          <w:tblInd w:w="2330" w:type="dxa"/>
          <w:tblLook w:val="04A0"/>
        </w:tblPrEx>
        <w:trPr>
          <w:trHeight w:val="570"/>
        </w:trPr>
        <w:tc>
          <w:tcPr>
            <w:tcW w:w="1260" w:type="dxa"/>
            <w:vAlign w:val="center"/>
            <w:hideMark/>
          </w:tcPr>
          <w:p w:rsidR="00CA3ADB" w14:paraId="603B515B" w14:textId="77777777">
            <w:pPr>
              <w:spacing w:after="0" w:line="240" w:lineRule="auto"/>
              <w:jc w:val="center"/>
              <w:rPr>
                <w:rFonts w:eastAsia="Times New Roman" w:cs="Calibri"/>
                <w:color w:val="000000"/>
              </w:rPr>
            </w:pPr>
            <w:r>
              <w:rPr>
                <w:rFonts w:eastAsia="Times New Roman" w:cs="Calibri"/>
                <w:color w:val="000000"/>
              </w:rPr>
              <w:t>Hour Beginning</w:t>
            </w:r>
          </w:p>
        </w:tc>
        <w:tc>
          <w:tcPr>
            <w:tcW w:w="1070" w:type="dxa"/>
            <w:noWrap/>
            <w:vAlign w:val="center"/>
            <w:hideMark/>
          </w:tcPr>
          <w:p w:rsidR="00CA3ADB" w14:paraId="5EACF19D" w14:textId="77777777">
            <w:pPr>
              <w:spacing w:after="0" w:line="240" w:lineRule="auto"/>
              <w:jc w:val="center"/>
              <w:rPr>
                <w:rFonts w:eastAsia="Times New Roman" w:cs="Calibri"/>
                <w:color w:val="000000"/>
              </w:rPr>
            </w:pPr>
            <w:r>
              <w:rPr>
                <w:rFonts w:eastAsia="Times New Roman" w:cs="Calibri"/>
                <w:color w:val="000000"/>
              </w:rPr>
              <w:t>6 Hour</w:t>
            </w:r>
          </w:p>
        </w:tc>
        <w:tc>
          <w:tcPr>
            <w:tcW w:w="1070" w:type="dxa"/>
            <w:noWrap/>
            <w:vAlign w:val="center"/>
            <w:hideMark/>
          </w:tcPr>
          <w:p w:rsidR="00CA3ADB" w14:paraId="2BBE00E8" w14:textId="77777777">
            <w:pPr>
              <w:spacing w:after="0" w:line="240" w:lineRule="auto"/>
              <w:jc w:val="center"/>
              <w:rPr>
                <w:rFonts w:eastAsia="Times New Roman" w:cs="Calibri"/>
                <w:color w:val="000000"/>
              </w:rPr>
            </w:pPr>
            <w:r>
              <w:rPr>
                <w:rFonts w:eastAsia="Times New Roman" w:cs="Calibri"/>
                <w:color w:val="000000"/>
              </w:rPr>
              <w:t>8 Hour</w:t>
            </w:r>
          </w:p>
        </w:tc>
        <w:tc>
          <w:tcPr>
            <w:tcW w:w="1020" w:type="dxa"/>
            <w:noWrap/>
            <w:vAlign w:val="center"/>
            <w:hideMark/>
          </w:tcPr>
          <w:p w:rsidR="00CA3ADB" w14:paraId="33359B33" w14:textId="77777777">
            <w:pPr>
              <w:spacing w:after="0" w:line="240" w:lineRule="auto"/>
              <w:jc w:val="center"/>
              <w:rPr>
                <w:rFonts w:eastAsia="Times New Roman" w:cs="Calibri"/>
                <w:color w:val="000000"/>
              </w:rPr>
            </w:pPr>
            <w:r>
              <w:rPr>
                <w:rFonts w:eastAsia="Times New Roman" w:cs="Calibri"/>
                <w:color w:val="000000"/>
              </w:rPr>
              <w:t>6 Hour</w:t>
            </w:r>
          </w:p>
        </w:tc>
        <w:tc>
          <w:tcPr>
            <w:tcW w:w="1020" w:type="dxa"/>
            <w:noWrap/>
            <w:vAlign w:val="center"/>
            <w:hideMark/>
          </w:tcPr>
          <w:p w:rsidR="00CA3ADB" w14:paraId="2A8FC1FB" w14:textId="77777777">
            <w:pPr>
              <w:spacing w:after="0" w:line="240" w:lineRule="auto"/>
              <w:jc w:val="center"/>
              <w:rPr>
                <w:rFonts w:eastAsia="Times New Roman" w:cs="Calibri"/>
                <w:color w:val="000000"/>
              </w:rPr>
            </w:pPr>
            <w:r>
              <w:rPr>
                <w:rFonts w:eastAsia="Times New Roman" w:cs="Calibri"/>
                <w:color w:val="000000"/>
              </w:rPr>
              <w:t>8 Hour</w:t>
            </w:r>
          </w:p>
        </w:tc>
      </w:tr>
      <w:tr w14:paraId="4BE584F2" w14:textId="77777777">
        <w:tblPrEx>
          <w:tblW w:w="5440" w:type="dxa"/>
          <w:tblInd w:w="2330" w:type="dxa"/>
          <w:tblLook w:val="04A0"/>
        </w:tblPrEx>
        <w:trPr>
          <w:trHeight w:val="285"/>
        </w:trPr>
        <w:tc>
          <w:tcPr>
            <w:tcW w:w="1260" w:type="dxa"/>
            <w:noWrap/>
            <w:vAlign w:val="center"/>
            <w:hideMark/>
          </w:tcPr>
          <w:p w:rsidR="00CA3ADB" w14:paraId="00AE524D" w14:textId="77777777">
            <w:pPr>
              <w:spacing w:after="0" w:line="240" w:lineRule="auto"/>
              <w:jc w:val="center"/>
              <w:rPr>
                <w:rFonts w:eastAsia="Times New Roman" w:cs="Calibri"/>
                <w:color w:val="000000"/>
              </w:rPr>
            </w:pPr>
            <w:r>
              <w:rPr>
                <w:rFonts w:eastAsia="Times New Roman" w:cs="Calibri"/>
                <w:color w:val="000000"/>
              </w:rPr>
              <w:t>12</w:t>
            </w:r>
          </w:p>
        </w:tc>
        <w:tc>
          <w:tcPr>
            <w:tcW w:w="1070" w:type="dxa"/>
            <w:noWrap/>
            <w:vAlign w:val="center"/>
            <w:hideMark/>
          </w:tcPr>
          <w:p w:rsidR="00CA3ADB" w14:paraId="3A980F9E" w14:textId="77777777">
            <w:pPr>
              <w:spacing w:after="0" w:line="240" w:lineRule="auto"/>
              <w:jc w:val="center"/>
              <w:rPr>
                <w:rFonts w:eastAsia="Times New Roman" w:cs="Calibri"/>
                <w:color w:val="000000"/>
              </w:rPr>
            </w:pPr>
          </w:p>
        </w:tc>
        <w:tc>
          <w:tcPr>
            <w:tcW w:w="1070" w:type="dxa"/>
            <w:noWrap/>
            <w:vAlign w:val="center"/>
            <w:hideMark/>
          </w:tcPr>
          <w:p w:rsidR="00CA3ADB" w14:paraId="769BEA5A" w14:textId="77777777">
            <w:pPr>
              <w:spacing w:after="0" w:line="240" w:lineRule="auto"/>
              <w:jc w:val="center"/>
              <w:rPr>
                <w:rFonts w:eastAsia="Times New Roman" w:cs="Calibri"/>
                <w:color w:val="000000"/>
              </w:rPr>
            </w:pPr>
            <w:r>
              <w:rPr>
                <w:rFonts w:eastAsia="Times New Roman" w:cs="Calibri"/>
                <w:color w:val="000000"/>
              </w:rPr>
              <w:t>5.00%</w:t>
            </w:r>
          </w:p>
        </w:tc>
        <w:tc>
          <w:tcPr>
            <w:tcW w:w="1020" w:type="dxa"/>
            <w:noWrap/>
            <w:vAlign w:val="center"/>
            <w:hideMark/>
          </w:tcPr>
          <w:p w:rsidR="00CA3ADB" w14:paraId="567A6EB6" w14:textId="77777777">
            <w:pPr>
              <w:spacing w:after="0" w:line="240" w:lineRule="auto"/>
              <w:jc w:val="center"/>
              <w:rPr>
                <w:rFonts w:eastAsia="Times New Roman" w:cs="Calibri"/>
                <w:color w:val="000000"/>
              </w:rPr>
            </w:pPr>
          </w:p>
        </w:tc>
        <w:tc>
          <w:tcPr>
            <w:tcW w:w="1020" w:type="dxa"/>
            <w:noWrap/>
            <w:vAlign w:val="center"/>
            <w:hideMark/>
          </w:tcPr>
          <w:p w:rsidR="00CA3ADB" w14:paraId="31F62B3D" w14:textId="77777777">
            <w:pPr>
              <w:spacing w:after="0" w:line="240" w:lineRule="auto"/>
              <w:jc w:val="center"/>
              <w:rPr>
                <w:rFonts w:ascii="Times New Roman" w:eastAsia="Times New Roman" w:hAnsi="Times New Roman"/>
                <w:sz w:val="20"/>
                <w:szCs w:val="20"/>
              </w:rPr>
            </w:pPr>
          </w:p>
        </w:tc>
      </w:tr>
      <w:tr w14:paraId="60D02B68" w14:textId="77777777">
        <w:tblPrEx>
          <w:tblW w:w="5440" w:type="dxa"/>
          <w:tblInd w:w="2330" w:type="dxa"/>
          <w:tblLook w:val="04A0"/>
        </w:tblPrEx>
        <w:trPr>
          <w:trHeight w:val="285"/>
        </w:trPr>
        <w:tc>
          <w:tcPr>
            <w:tcW w:w="1260" w:type="dxa"/>
            <w:noWrap/>
            <w:vAlign w:val="center"/>
            <w:hideMark/>
          </w:tcPr>
          <w:p w:rsidR="00CA3ADB" w14:paraId="3F2A2430" w14:textId="77777777">
            <w:pPr>
              <w:spacing w:after="0" w:line="240" w:lineRule="auto"/>
              <w:jc w:val="center"/>
              <w:rPr>
                <w:rFonts w:eastAsia="Times New Roman" w:cs="Calibri"/>
                <w:color w:val="000000"/>
              </w:rPr>
            </w:pPr>
            <w:r>
              <w:rPr>
                <w:rFonts w:eastAsia="Times New Roman" w:cs="Calibri"/>
                <w:color w:val="000000"/>
              </w:rPr>
              <w:t>13</w:t>
            </w:r>
          </w:p>
        </w:tc>
        <w:tc>
          <w:tcPr>
            <w:tcW w:w="1070" w:type="dxa"/>
            <w:noWrap/>
            <w:vAlign w:val="center"/>
            <w:hideMark/>
          </w:tcPr>
          <w:p w:rsidR="00CA3ADB" w14:paraId="4EBB0AF8" w14:textId="77777777">
            <w:pPr>
              <w:spacing w:after="0" w:line="240" w:lineRule="auto"/>
              <w:jc w:val="center"/>
              <w:rPr>
                <w:rFonts w:eastAsia="Times New Roman" w:cs="Calibri"/>
                <w:color w:val="000000"/>
              </w:rPr>
            </w:pPr>
            <w:r>
              <w:rPr>
                <w:rFonts w:eastAsia="Times New Roman" w:cs="Calibri"/>
                <w:color w:val="000000"/>
              </w:rPr>
              <w:t>12.50%</w:t>
            </w:r>
          </w:p>
        </w:tc>
        <w:tc>
          <w:tcPr>
            <w:tcW w:w="1070" w:type="dxa"/>
            <w:noWrap/>
            <w:vAlign w:val="center"/>
            <w:hideMark/>
          </w:tcPr>
          <w:p w:rsidR="00CA3ADB" w14:paraId="78A0BB82" w14:textId="77777777">
            <w:pPr>
              <w:spacing w:after="0" w:line="240" w:lineRule="auto"/>
              <w:jc w:val="center"/>
              <w:rPr>
                <w:rFonts w:eastAsia="Times New Roman" w:cs="Calibri"/>
                <w:color w:val="000000"/>
              </w:rPr>
            </w:pPr>
            <w:r>
              <w:rPr>
                <w:rFonts w:eastAsia="Times New Roman" w:cs="Calibri"/>
                <w:color w:val="000000"/>
              </w:rPr>
              <w:t>10.00%</w:t>
            </w:r>
          </w:p>
        </w:tc>
        <w:tc>
          <w:tcPr>
            <w:tcW w:w="1020" w:type="dxa"/>
            <w:noWrap/>
            <w:vAlign w:val="center"/>
            <w:hideMark/>
          </w:tcPr>
          <w:p w:rsidR="00CA3ADB" w14:paraId="49466E40" w14:textId="77777777">
            <w:pPr>
              <w:spacing w:after="0" w:line="240" w:lineRule="auto"/>
              <w:jc w:val="center"/>
              <w:rPr>
                <w:rFonts w:eastAsia="Times New Roman" w:cs="Calibri"/>
                <w:color w:val="000000"/>
              </w:rPr>
            </w:pPr>
          </w:p>
        </w:tc>
        <w:tc>
          <w:tcPr>
            <w:tcW w:w="1020" w:type="dxa"/>
            <w:noWrap/>
            <w:vAlign w:val="center"/>
            <w:hideMark/>
          </w:tcPr>
          <w:p w:rsidR="00CA3ADB" w14:paraId="2E006930" w14:textId="77777777">
            <w:pPr>
              <w:spacing w:after="0" w:line="240" w:lineRule="auto"/>
              <w:jc w:val="center"/>
              <w:rPr>
                <w:rFonts w:ascii="Times New Roman" w:eastAsia="Times New Roman" w:hAnsi="Times New Roman"/>
                <w:sz w:val="20"/>
                <w:szCs w:val="20"/>
              </w:rPr>
            </w:pPr>
          </w:p>
        </w:tc>
      </w:tr>
      <w:tr w14:paraId="1E460F08" w14:textId="77777777">
        <w:tblPrEx>
          <w:tblW w:w="5440" w:type="dxa"/>
          <w:tblInd w:w="2330" w:type="dxa"/>
          <w:tblLook w:val="04A0"/>
        </w:tblPrEx>
        <w:trPr>
          <w:trHeight w:val="285"/>
        </w:trPr>
        <w:tc>
          <w:tcPr>
            <w:tcW w:w="1260" w:type="dxa"/>
            <w:noWrap/>
            <w:vAlign w:val="center"/>
            <w:hideMark/>
          </w:tcPr>
          <w:p w:rsidR="00CA3ADB" w14:paraId="2D1E0DDF" w14:textId="77777777">
            <w:pPr>
              <w:spacing w:after="0" w:line="240" w:lineRule="auto"/>
              <w:jc w:val="center"/>
              <w:rPr>
                <w:rFonts w:eastAsia="Times New Roman" w:cs="Calibri"/>
                <w:color w:val="000000"/>
              </w:rPr>
            </w:pPr>
            <w:r>
              <w:rPr>
                <w:rFonts w:eastAsia="Times New Roman" w:cs="Calibri"/>
                <w:color w:val="000000"/>
              </w:rPr>
              <w:t>14</w:t>
            </w:r>
          </w:p>
        </w:tc>
        <w:tc>
          <w:tcPr>
            <w:tcW w:w="1070" w:type="dxa"/>
            <w:noWrap/>
            <w:vAlign w:val="center"/>
            <w:hideMark/>
          </w:tcPr>
          <w:p w:rsidR="00CA3ADB" w14:paraId="7506FCB9" w14:textId="77777777">
            <w:pPr>
              <w:spacing w:after="0" w:line="240" w:lineRule="auto"/>
              <w:jc w:val="center"/>
              <w:rPr>
                <w:rFonts w:eastAsia="Times New Roman" w:cs="Calibri"/>
                <w:color w:val="000000"/>
              </w:rPr>
            </w:pPr>
            <w:r>
              <w:rPr>
                <w:rFonts w:eastAsia="Times New Roman" w:cs="Calibri"/>
                <w:color w:val="000000"/>
              </w:rPr>
              <w:t>18.75%</w:t>
            </w:r>
          </w:p>
        </w:tc>
        <w:tc>
          <w:tcPr>
            <w:tcW w:w="1070" w:type="dxa"/>
            <w:noWrap/>
            <w:vAlign w:val="center"/>
            <w:hideMark/>
          </w:tcPr>
          <w:p w:rsidR="00CA3ADB" w14:paraId="281A47CF" w14:textId="77777777">
            <w:pPr>
              <w:spacing w:after="0" w:line="240" w:lineRule="auto"/>
              <w:jc w:val="center"/>
              <w:rPr>
                <w:rFonts w:eastAsia="Times New Roman" w:cs="Calibri"/>
                <w:color w:val="000000"/>
              </w:rPr>
            </w:pPr>
            <w:r>
              <w:rPr>
                <w:rFonts w:eastAsia="Times New Roman" w:cs="Calibri"/>
                <w:color w:val="000000"/>
              </w:rPr>
              <w:t>17.50%</w:t>
            </w:r>
          </w:p>
        </w:tc>
        <w:tc>
          <w:tcPr>
            <w:tcW w:w="1020" w:type="dxa"/>
            <w:noWrap/>
            <w:vAlign w:val="center"/>
            <w:hideMark/>
          </w:tcPr>
          <w:p w:rsidR="00CA3ADB" w14:paraId="13419AC2" w14:textId="77777777">
            <w:pPr>
              <w:spacing w:after="0" w:line="240" w:lineRule="auto"/>
              <w:jc w:val="center"/>
              <w:rPr>
                <w:rFonts w:eastAsia="Times New Roman" w:cs="Calibri"/>
                <w:color w:val="000000"/>
              </w:rPr>
            </w:pPr>
          </w:p>
        </w:tc>
        <w:tc>
          <w:tcPr>
            <w:tcW w:w="1020" w:type="dxa"/>
            <w:noWrap/>
            <w:vAlign w:val="center"/>
            <w:hideMark/>
          </w:tcPr>
          <w:p w:rsidR="00CA3ADB" w14:paraId="56DAADB0" w14:textId="77777777">
            <w:pPr>
              <w:spacing w:after="0" w:line="240" w:lineRule="auto"/>
              <w:jc w:val="center"/>
              <w:rPr>
                <w:rFonts w:eastAsia="Times New Roman" w:cs="Calibri"/>
                <w:color w:val="000000"/>
              </w:rPr>
            </w:pPr>
            <w:r>
              <w:rPr>
                <w:rFonts w:eastAsia="Times New Roman" w:cs="Calibri"/>
                <w:color w:val="000000"/>
              </w:rPr>
              <w:t>5.00%</w:t>
            </w:r>
          </w:p>
        </w:tc>
      </w:tr>
      <w:tr w14:paraId="7A7BF41B" w14:textId="77777777">
        <w:tblPrEx>
          <w:tblW w:w="5440" w:type="dxa"/>
          <w:tblInd w:w="2330" w:type="dxa"/>
          <w:tblLook w:val="04A0"/>
        </w:tblPrEx>
        <w:trPr>
          <w:trHeight w:val="285"/>
        </w:trPr>
        <w:tc>
          <w:tcPr>
            <w:tcW w:w="1260" w:type="dxa"/>
            <w:noWrap/>
            <w:vAlign w:val="center"/>
            <w:hideMark/>
          </w:tcPr>
          <w:p w:rsidR="00CA3ADB" w14:paraId="00BB746F" w14:textId="77777777">
            <w:pPr>
              <w:spacing w:after="0" w:line="240" w:lineRule="auto"/>
              <w:jc w:val="center"/>
              <w:rPr>
                <w:rFonts w:eastAsia="Times New Roman" w:cs="Calibri"/>
                <w:color w:val="000000"/>
              </w:rPr>
            </w:pPr>
            <w:r>
              <w:rPr>
                <w:rFonts w:eastAsia="Times New Roman" w:cs="Calibri"/>
                <w:color w:val="000000"/>
              </w:rPr>
              <w:t>15</w:t>
            </w:r>
          </w:p>
        </w:tc>
        <w:tc>
          <w:tcPr>
            <w:tcW w:w="1070" w:type="dxa"/>
            <w:noWrap/>
            <w:vAlign w:val="center"/>
            <w:hideMark/>
          </w:tcPr>
          <w:p w:rsidR="00CA3ADB" w14:paraId="326E8797" w14:textId="77777777">
            <w:pPr>
              <w:spacing w:after="0" w:line="240" w:lineRule="auto"/>
              <w:jc w:val="center"/>
              <w:rPr>
                <w:rFonts w:eastAsia="Times New Roman" w:cs="Calibri"/>
                <w:color w:val="000000"/>
              </w:rPr>
            </w:pPr>
            <w:r>
              <w:rPr>
                <w:rFonts w:eastAsia="Times New Roman" w:cs="Calibri"/>
                <w:color w:val="000000"/>
              </w:rPr>
              <w:t>18.75%</w:t>
            </w:r>
          </w:p>
        </w:tc>
        <w:tc>
          <w:tcPr>
            <w:tcW w:w="1070" w:type="dxa"/>
            <w:noWrap/>
            <w:vAlign w:val="center"/>
            <w:hideMark/>
          </w:tcPr>
          <w:p w:rsidR="00CA3ADB" w14:paraId="55546759" w14:textId="77777777">
            <w:pPr>
              <w:spacing w:after="0" w:line="240" w:lineRule="auto"/>
              <w:jc w:val="center"/>
              <w:rPr>
                <w:rFonts w:eastAsia="Times New Roman" w:cs="Calibri"/>
                <w:color w:val="000000"/>
              </w:rPr>
            </w:pPr>
            <w:r>
              <w:rPr>
                <w:rFonts w:eastAsia="Times New Roman" w:cs="Calibri"/>
                <w:color w:val="000000"/>
              </w:rPr>
              <w:t>17.50%</w:t>
            </w:r>
          </w:p>
        </w:tc>
        <w:tc>
          <w:tcPr>
            <w:tcW w:w="1020" w:type="dxa"/>
            <w:noWrap/>
            <w:vAlign w:val="center"/>
            <w:hideMark/>
          </w:tcPr>
          <w:p w:rsidR="00CA3ADB" w14:paraId="220DAF37" w14:textId="77777777">
            <w:pPr>
              <w:spacing w:after="0" w:line="240" w:lineRule="auto"/>
              <w:jc w:val="center"/>
              <w:rPr>
                <w:rFonts w:eastAsia="Times New Roman" w:cs="Calibri"/>
                <w:color w:val="000000"/>
              </w:rPr>
            </w:pPr>
          </w:p>
        </w:tc>
        <w:tc>
          <w:tcPr>
            <w:tcW w:w="1020" w:type="dxa"/>
            <w:noWrap/>
            <w:vAlign w:val="center"/>
            <w:hideMark/>
          </w:tcPr>
          <w:p w:rsidR="00CA3ADB" w14:paraId="0207A61A" w14:textId="77777777">
            <w:pPr>
              <w:spacing w:after="0" w:line="240" w:lineRule="auto"/>
              <w:jc w:val="center"/>
              <w:rPr>
                <w:rFonts w:eastAsia="Times New Roman" w:cs="Calibri"/>
                <w:color w:val="000000"/>
              </w:rPr>
            </w:pPr>
            <w:r>
              <w:rPr>
                <w:rFonts w:eastAsia="Times New Roman" w:cs="Calibri"/>
                <w:color w:val="000000"/>
              </w:rPr>
              <w:t>5.00%</w:t>
            </w:r>
          </w:p>
        </w:tc>
      </w:tr>
      <w:tr w14:paraId="22BEF923" w14:textId="77777777">
        <w:tblPrEx>
          <w:tblW w:w="5440" w:type="dxa"/>
          <w:tblInd w:w="2330" w:type="dxa"/>
          <w:tblLook w:val="04A0"/>
        </w:tblPrEx>
        <w:trPr>
          <w:trHeight w:val="285"/>
        </w:trPr>
        <w:tc>
          <w:tcPr>
            <w:tcW w:w="1260" w:type="dxa"/>
            <w:noWrap/>
            <w:vAlign w:val="center"/>
            <w:hideMark/>
          </w:tcPr>
          <w:p w:rsidR="00CA3ADB" w14:paraId="0050A6A7" w14:textId="77777777">
            <w:pPr>
              <w:spacing w:after="0" w:line="240" w:lineRule="auto"/>
              <w:jc w:val="center"/>
              <w:rPr>
                <w:rFonts w:eastAsia="Times New Roman" w:cs="Calibri"/>
                <w:color w:val="000000"/>
              </w:rPr>
            </w:pPr>
            <w:r>
              <w:rPr>
                <w:rFonts w:eastAsia="Times New Roman" w:cs="Calibri"/>
                <w:color w:val="000000"/>
              </w:rPr>
              <w:t>16</w:t>
            </w:r>
          </w:p>
        </w:tc>
        <w:tc>
          <w:tcPr>
            <w:tcW w:w="1070" w:type="dxa"/>
            <w:noWrap/>
            <w:vAlign w:val="center"/>
            <w:hideMark/>
          </w:tcPr>
          <w:p w:rsidR="00CA3ADB" w14:paraId="3115FC02" w14:textId="77777777">
            <w:pPr>
              <w:spacing w:after="0" w:line="240" w:lineRule="auto"/>
              <w:jc w:val="center"/>
              <w:rPr>
                <w:rFonts w:eastAsia="Times New Roman" w:cs="Calibri"/>
                <w:color w:val="000000"/>
              </w:rPr>
            </w:pPr>
            <w:r>
              <w:rPr>
                <w:rFonts w:eastAsia="Times New Roman" w:cs="Calibri"/>
                <w:color w:val="000000"/>
              </w:rPr>
              <w:t>18.75%</w:t>
            </w:r>
          </w:p>
        </w:tc>
        <w:tc>
          <w:tcPr>
            <w:tcW w:w="1070" w:type="dxa"/>
            <w:noWrap/>
            <w:vAlign w:val="center"/>
            <w:hideMark/>
          </w:tcPr>
          <w:p w:rsidR="00CA3ADB" w14:paraId="33719A11" w14:textId="77777777">
            <w:pPr>
              <w:spacing w:after="0" w:line="240" w:lineRule="auto"/>
              <w:jc w:val="center"/>
              <w:rPr>
                <w:rFonts w:eastAsia="Times New Roman" w:cs="Calibri"/>
                <w:color w:val="000000"/>
              </w:rPr>
            </w:pPr>
            <w:r>
              <w:rPr>
                <w:rFonts w:eastAsia="Times New Roman" w:cs="Calibri"/>
                <w:color w:val="000000"/>
              </w:rPr>
              <w:t>17.50%</w:t>
            </w:r>
          </w:p>
        </w:tc>
        <w:tc>
          <w:tcPr>
            <w:tcW w:w="1020" w:type="dxa"/>
            <w:noWrap/>
            <w:vAlign w:val="center"/>
            <w:hideMark/>
          </w:tcPr>
          <w:p w:rsidR="00CA3ADB" w14:paraId="28304F06" w14:textId="77777777">
            <w:pPr>
              <w:spacing w:after="0" w:line="240" w:lineRule="auto"/>
              <w:jc w:val="center"/>
              <w:rPr>
                <w:rFonts w:eastAsia="Times New Roman" w:cs="Calibri"/>
                <w:color w:val="000000"/>
              </w:rPr>
            </w:pPr>
            <w:r>
              <w:rPr>
                <w:rFonts w:eastAsia="Times New Roman" w:cs="Calibri"/>
                <w:color w:val="000000"/>
              </w:rPr>
              <w:t>18.75%</w:t>
            </w:r>
          </w:p>
        </w:tc>
        <w:tc>
          <w:tcPr>
            <w:tcW w:w="1020" w:type="dxa"/>
            <w:noWrap/>
            <w:vAlign w:val="center"/>
            <w:hideMark/>
          </w:tcPr>
          <w:p w:rsidR="00CA3ADB" w14:paraId="605472A4" w14:textId="77777777">
            <w:pPr>
              <w:spacing w:after="0" w:line="240" w:lineRule="auto"/>
              <w:jc w:val="center"/>
              <w:rPr>
                <w:rFonts w:eastAsia="Times New Roman" w:cs="Calibri"/>
                <w:color w:val="000000"/>
              </w:rPr>
            </w:pPr>
            <w:r>
              <w:rPr>
                <w:rFonts w:eastAsia="Times New Roman" w:cs="Calibri"/>
                <w:color w:val="000000"/>
              </w:rPr>
              <w:t>17.50%</w:t>
            </w:r>
          </w:p>
        </w:tc>
      </w:tr>
      <w:tr w14:paraId="2890A713" w14:textId="77777777">
        <w:tblPrEx>
          <w:tblW w:w="5440" w:type="dxa"/>
          <w:tblInd w:w="2330" w:type="dxa"/>
          <w:tblLook w:val="04A0"/>
        </w:tblPrEx>
        <w:trPr>
          <w:trHeight w:val="285"/>
        </w:trPr>
        <w:tc>
          <w:tcPr>
            <w:tcW w:w="1260" w:type="dxa"/>
            <w:noWrap/>
            <w:vAlign w:val="center"/>
            <w:hideMark/>
          </w:tcPr>
          <w:p w:rsidR="00CA3ADB" w14:paraId="13687B59" w14:textId="77777777">
            <w:pPr>
              <w:spacing w:after="0" w:line="240" w:lineRule="auto"/>
              <w:jc w:val="center"/>
              <w:rPr>
                <w:rFonts w:eastAsia="Times New Roman" w:cs="Calibri"/>
                <w:color w:val="000000"/>
              </w:rPr>
            </w:pPr>
            <w:r>
              <w:rPr>
                <w:rFonts w:eastAsia="Times New Roman" w:cs="Calibri"/>
                <w:color w:val="000000"/>
              </w:rPr>
              <w:t>17</w:t>
            </w:r>
          </w:p>
        </w:tc>
        <w:tc>
          <w:tcPr>
            <w:tcW w:w="1070" w:type="dxa"/>
            <w:noWrap/>
            <w:vAlign w:val="center"/>
            <w:hideMark/>
          </w:tcPr>
          <w:p w:rsidR="00CA3ADB" w14:paraId="2A50D1B0" w14:textId="77777777">
            <w:pPr>
              <w:spacing w:after="0" w:line="240" w:lineRule="auto"/>
              <w:jc w:val="center"/>
              <w:rPr>
                <w:rFonts w:eastAsia="Times New Roman" w:cs="Calibri"/>
                <w:color w:val="000000"/>
              </w:rPr>
            </w:pPr>
            <w:r>
              <w:rPr>
                <w:rFonts w:eastAsia="Times New Roman" w:cs="Calibri"/>
                <w:color w:val="000000"/>
              </w:rPr>
              <w:t>18.75%</w:t>
            </w:r>
          </w:p>
        </w:tc>
        <w:tc>
          <w:tcPr>
            <w:tcW w:w="1070" w:type="dxa"/>
            <w:noWrap/>
            <w:vAlign w:val="center"/>
            <w:hideMark/>
          </w:tcPr>
          <w:p w:rsidR="00CA3ADB" w14:paraId="798903EF" w14:textId="77777777">
            <w:pPr>
              <w:spacing w:after="0" w:line="240" w:lineRule="auto"/>
              <w:jc w:val="center"/>
              <w:rPr>
                <w:rFonts w:eastAsia="Times New Roman" w:cs="Calibri"/>
                <w:color w:val="000000"/>
              </w:rPr>
            </w:pPr>
            <w:r>
              <w:rPr>
                <w:rFonts w:eastAsia="Times New Roman" w:cs="Calibri"/>
                <w:color w:val="000000"/>
              </w:rPr>
              <w:t>17.50%</w:t>
            </w:r>
          </w:p>
        </w:tc>
        <w:tc>
          <w:tcPr>
            <w:tcW w:w="1020" w:type="dxa"/>
            <w:noWrap/>
            <w:vAlign w:val="center"/>
            <w:hideMark/>
          </w:tcPr>
          <w:p w:rsidR="00CA3ADB" w14:paraId="1868CE1B" w14:textId="77777777">
            <w:pPr>
              <w:spacing w:after="0" w:line="240" w:lineRule="auto"/>
              <w:jc w:val="center"/>
              <w:rPr>
                <w:rFonts w:eastAsia="Times New Roman" w:cs="Calibri"/>
                <w:color w:val="000000"/>
              </w:rPr>
            </w:pPr>
            <w:r>
              <w:rPr>
                <w:rFonts w:eastAsia="Times New Roman" w:cs="Calibri"/>
                <w:color w:val="000000"/>
              </w:rPr>
              <w:t>18.75%</w:t>
            </w:r>
          </w:p>
        </w:tc>
        <w:tc>
          <w:tcPr>
            <w:tcW w:w="1020" w:type="dxa"/>
            <w:noWrap/>
            <w:vAlign w:val="center"/>
            <w:hideMark/>
          </w:tcPr>
          <w:p w:rsidR="00CA3ADB" w14:paraId="07B7930A" w14:textId="77777777">
            <w:pPr>
              <w:spacing w:after="0" w:line="240" w:lineRule="auto"/>
              <w:jc w:val="center"/>
              <w:rPr>
                <w:rFonts w:eastAsia="Times New Roman" w:cs="Calibri"/>
                <w:color w:val="000000"/>
              </w:rPr>
            </w:pPr>
            <w:r>
              <w:rPr>
                <w:rFonts w:eastAsia="Times New Roman" w:cs="Calibri"/>
                <w:color w:val="000000"/>
              </w:rPr>
              <w:t>17.50%</w:t>
            </w:r>
          </w:p>
        </w:tc>
      </w:tr>
      <w:tr w14:paraId="1B011998" w14:textId="77777777">
        <w:tblPrEx>
          <w:tblW w:w="5440" w:type="dxa"/>
          <w:tblInd w:w="2330" w:type="dxa"/>
          <w:tblLook w:val="04A0"/>
        </w:tblPrEx>
        <w:trPr>
          <w:trHeight w:val="285"/>
        </w:trPr>
        <w:tc>
          <w:tcPr>
            <w:tcW w:w="1260" w:type="dxa"/>
            <w:noWrap/>
            <w:vAlign w:val="center"/>
            <w:hideMark/>
          </w:tcPr>
          <w:p w:rsidR="00CA3ADB" w14:paraId="50663F78" w14:textId="77777777">
            <w:pPr>
              <w:spacing w:after="0" w:line="240" w:lineRule="auto"/>
              <w:jc w:val="center"/>
              <w:rPr>
                <w:rFonts w:eastAsia="Times New Roman" w:cs="Calibri"/>
                <w:color w:val="000000"/>
              </w:rPr>
            </w:pPr>
            <w:r>
              <w:rPr>
                <w:rFonts w:eastAsia="Times New Roman" w:cs="Calibri"/>
                <w:color w:val="000000"/>
              </w:rPr>
              <w:t>18</w:t>
            </w:r>
          </w:p>
        </w:tc>
        <w:tc>
          <w:tcPr>
            <w:tcW w:w="1070" w:type="dxa"/>
            <w:noWrap/>
            <w:vAlign w:val="center"/>
            <w:hideMark/>
          </w:tcPr>
          <w:p w:rsidR="00CA3ADB" w14:paraId="7D9DC7F1" w14:textId="77777777">
            <w:pPr>
              <w:spacing w:after="0" w:line="240" w:lineRule="auto"/>
              <w:jc w:val="center"/>
              <w:rPr>
                <w:rFonts w:eastAsia="Times New Roman" w:cs="Calibri"/>
                <w:color w:val="000000"/>
              </w:rPr>
            </w:pPr>
            <w:r>
              <w:rPr>
                <w:rFonts w:eastAsia="Times New Roman" w:cs="Calibri"/>
                <w:color w:val="000000"/>
              </w:rPr>
              <w:t>12.50%</w:t>
            </w:r>
          </w:p>
        </w:tc>
        <w:tc>
          <w:tcPr>
            <w:tcW w:w="1070" w:type="dxa"/>
            <w:noWrap/>
            <w:vAlign w:val="center"/>
            <w:hideMark/>
          </w:tcPr>
          <w:p w:rsidR="00CA3ADB" w14:paraId="290C513A" w14:textId="77777777">
            <w:pPr>
              <w:spacing w:after="0" w:line="240" w:lineRule="auto"/>
              <w:jc w:val="center"/>
              <w:rPr>
                <w:rFonts w:eastAsia="Times New Roman" w:cs="Calibri"/>
                <w:color w:val="000000"/>
              </w:rPr>
            </w:pPr>
            <w:r>
              <w:rPr>
                <w:rFonts w:eastAsia="Times New Roman" w:cs="Calibri"/>
                <w:color w:val="000000"/>
              </w:rPr>
              <w:t>10.00%</w:t>
            </w:r>
          </w:p>
        </w:tc>
        <w:tc>
          <w:tcPr>
            <w:tcW w:w="1020" w:type="dxa"/>
            <w:noWrap/>
            <w:vAlign w:val="center"/>
            <w:hideMark/>
          </w:tcPr>
          <w:p w:rsidR="00CA3ADB" w14:paraId="5894EE78" w14:textId="77777777">
            <w:pPr>
              <w:spacing w:after="0" w:line="240" w:lineRule="auto"/>
              <w:jc w:val="center"/>
              <w:rPr>
                <w:rFonts w:eastAsia="Times New Roman" w:cs="Calibri"/>
                <w:color w:val="000000"/>
              </w:rPr>
            </w:pPr>
            <w:r>
              <w:rPr>
                <w:rFonts w:eastAsia="Times New Roman" w:cs="Calibri"/>
                <w:color w:val="000000"/>
              </w:rPr>
              <w:t>18.75%</w:t>
            </w:r>
          </w:p>
        </w:tc>
        <w:tc>
          <w:tcPr>
            <w:tcW w:w="1020" w:type="dxa"/>
            <w:noWrap/>
            <w:vAlign w:val="center"/>
            <w:hideMark/>
          </w:tcPr>
          <w:p w:rsidR="00CA3ADB" w14:paraId="648D479C" w14:textId="77777777">
            <w:pPr>
              <w:spacing w:after="0" w:line="240" w:lineRule="auto"/>
              <w:jc w:val="center"/>
              <w:rPr>
                <w:rFonts w:eastAsia="Times New Roman" w:cs="Calibri"/>
                <w:color w:val="000000"/>
              </w:rPr>
            </w:pPr>
            <w:r>
              <w:rPr>
                <w:rFonts w:eastAsia="Times New Roman" w:cs="Calibri"/>
                <w:color w:val="000000"/>
              </w:rPr>
              <w:t>17.50%</w:t>
            </w:r>
          </w:p>
        </w:tc>
      </w:tr>
      <w:tr w14:paraId="3E2F2B6F" w14:textId="77777777">
        <w:tblPrEx>
          <w:tblW w:w="5440" w:type="dxa"/>
          <w:tblInd w:w="2330" w:type="dxa"/>
          <w:tblLook w:val="04A0"/>
        </w:tblPrEx>
        <w:trPr>
          <w:trHeight w:val="285"/>
        </w:trPr>
        <w:tc>
          <w:tcPr>
            <w:tcW w:w="1260" w:type="dxa"/>
            <w:noWrap/>
            <w:vAlign w:val="center"/>
            <w:hideMark/>
          </w:tcPr>
          <w:p w:rsidR="00CA3ADB" w14:paraId="143FA19B" w14:textId="77777777">
            <w:pPr>
              <w:spacing w:after="0" w:line="240" w:lineRule="auto"/>
              <w:jc w:val="center"/>
              <w:rPr>
                <w:rFonts w:eastAsia="Times New Roman" w:cs="Calibri"/>
                <w:color w:val="000000"/>
              </w:rPr>
            </w:pPr>
            <w:r>
              <w:rPr>
                <w:rFonts w:eastAsia="Times New Roman" w:cs="Calibri"/>
                <w:color w:val="000000"/>
              </w:rPr>
              <w:t>19</w:t>
            </w:r>
          </w:p>
        </w:tc>
        <w:tc>
          <w:tcPr>
            <w:tcW w:w="1070" w:type="dxa"/>
            <w:noWrap/>
            <w:vAlign w:val="center"/>
            <w:hideMark/>
          </w:tcPr>
          <w:p w:rsidR="00CA3ADB" w14:paraId="6827726D" w14:textId="77777777">
            <w:pPr>
              <w:spacing w:after="0" w:line="240" w:lineRule="auto"/>
              <w:jc w:val="center"/>
              <w:rPr>
                <w:rFonts w:eastAsia="Times New Roman" w:cs="Calibri"/>
                <w:color w:val="000000"/>
              </w:rPr>
            </w:pPr>
          </w:p>
        </w:tc>
        <w:tc>
          <w:tcPr>
            <w:tcW w:w="1070" w:type="dxa"/>
            <w:noWrap/>
            <w:vAlign w:val="center"/>
            <w:hideMark/>
          </w:tcPr>
          <w:p w:rsidR="00CA3ADB" w14:paraId="4C5DA580" w14:textId="77777777">
            <w:pPr>
              <w:spacing w:after="0" w:line="240" w:lineRule="auto"/>
              <w:jc w:val="center"/>
              <w:rPr>
                <w:rFonts w:eastAsia="Times New Roman" w:cs="Calibri"/>
                <w:color w:val="000000"/>
              </w:rPr>
            </w:pPr>
            <w:r>
              <w:rPr>
                <w:rFonts w:eastAsia="Times New Roman" w:cs="Calibri"/>
                <w:color w:val="000000"/>
              </w:rPr>
              <w:t>5.00%</w:t>
            </w:r>
          </w:p>
        </w:tc>
        <w:tc>
          <w:tcPr>
            <w:tcW w:w="1020" w:type="dxa"/>
            <w:noWrap/>
            <w:vAlign w:val="center"/>
            <w:hideMark/>
          </w:tcPr>
          <w:p w:rsidR="00CA3ADB" w14:paraId="3FA2FA8A" w14:textId="77777777">
            <w:pPr>
              <w:spacing w:after="0" w:line="240" w:lineRule="auto"/>
              <w:jc w:val="center"/>
              <w:rPr>
                <w:rFonts w:eastAsia="Times New Roman" w:cs="Calibri"/>
                <w:color w:val="000000"/>
              </w:rPr>
            </w:pPr>
            <w:r>
              <w:rPr>
                <w:rFonts w:eastAsia="Times New Roman" w:cs="Calibri"/>
                <w:color w:val="000000"/>
              </w:rPr>
              <w:t>18.75%</w:t>
            </w:r>
          </w:p>
        </w:tc>
        <w:tc>
          <w:tcPr>
            <w:tcW w:w="1020" w:type="dxa"/>
            <w:noWrap/>
            <w:vAlign w:val="center"/>
            <w:hideMark/>
          </w:tcPr>
          <w:p w:rsidR="00CA3ADB" w14:paraId="6A724E35" w14:textId="77777777">
            <w:pPr>
              <w:spacing w:after="0" w:line="240" w:lineRule="auto"/>
              <w:jc w:val="center"/>
              <w:rPr>
                <w:rFonts w:eastAsia="Times New Roman" w:cs="Calibri"/>
                <w:color w:val="000000"/>
              </w:rPr>
            </w:pPr>
            <w:r>
              <w:rPr>
                <w:rFonts w:eastAsia="Times New Roman" w:cs="Calibri"/>
                <w:color w:val="000000"/>
              </w:rPr>
              <w:t>17.50%</w:t>
            </w:r>
          </w:p>
        </w:tc>
      </w:tr>
      <w:tr w14:paraId="33F858E8" w14:textId="77777777">
        <w:tblPrEx>
          <w:tblW w:w="5440" w:type="dxa"/>
          <w:tblInd w:w="2330" w:type="dxa"/>
          <w:tblLook w:val="04A0"/>
        </w:tblPrEx>
        <w:trPr>
          <w:trHeight w:val="285"/>
        </w:trPr>
        <w:tc>
          <w:tcPr>
            <w:tcW w:w="1260" w:type="dxa"/>
            <w:noWrap/>
            <w:vAlign w:val="center"/>
            <w:hideMark/>
          </w:tcPr>
          <w:p w:rsidR="00CA3ADB" w14:paraId="32A2158B" w14:textId="77777777">
            <w:pPr>
              <w:spacing w:after="0" w:line="240" w:lineRule="auto"/>
              <w:jc w:val="center"/>
              <w:rPr>
                <w:rFonts w:eastAsia="Times New Roman" w:cs="Calibri"/>
                <w:color w:val="000000"/>
              </w:rPr>
            </w:pPr>
            <w:r>
              <w:rPr>
                <w:rFonts w:eastAsia="Times New Roman" w:cs="Calibri"/>
                <w:color w:val="000000"/>
              </w:rPr>
              <w:t>20</w:t>
            </w:r>
          </w:p>
        </w:tc>
        <w:tc>
          <w:tcPr>
            <w:tcW w:w="1070" w:type="dxa"/>
            <w:noWrap/>
            <w:vAlign w:val="center"/>
            <w:hideMark/>
          </w:tcPr>
          <w:p w:rsidR="00CA3ADB" w14:paraId="0F2155A2" w14:textId="77777777">
            <w:pPr>
              <w:spacing w:after="0" w:line="240" w:lineRule="auto"/>
              <w:jc w:val="center"/>
              <w:rPr>
                <w:rFonts w:eastAsia="Times New Roman" w:cs="Calibri"/>
                <w:color w:val="000000"/>
              </w:rPr>
            </w:pPr>
          </w:p>
        </w:tc>
        <w:tc>
          <w:tcPr>
            <w:tcW w:w="1070" w:type="dxa"/>
            <w:noWrap/>
            <w:vAlign w:val="center"/>
            <w:hideMark/>
          </w:tcPr>
          <w:p w:rsidR="00CA3ADB" w14:paraId="0CDEDD0E" w14:textId="77777777">
            <w:pPr>
              <w:spacing w:after="0" w:line="240" w:lineRule="auto"/>
              <w:jc w:val="center"/>
              <w:rPr>
                <w:rFonts w:ascii="Times New Roman" w:eastAsia="Times New Roman" w:hAnsi="Times New Roman"/>
                <w:sz w:val="20"/>
                <w:szCs w:val="20"/>
              </w:rPr>
            </w:pPr>
          </w:p>
        </w:tc>
        <w:tc>
          <w:tcPr>
            <w:tcW w:w="1020" w:type="dxa"/>
            <w:noWrap/>
            <w:vAlign w:val="center"/>
            <w:hideMark/>
          </w:tcPr>
          <w:p w:rsidR="00CA3ADB" w14:paraId="5CD31436" w14:textId="77777777">
            <w:pPr>
              <w:spacing w:after="0" w:line="240" w:lineRule="auto"/>
              <w:jc w:val="center"/>
              <w:rPr>
                <w:rFonts w:eastAsia="Times New Roman" w:cs="Calibri"/>
                <w:color w:val="000000"/>
              </w:rPr>
            </w:pPr>
            <w:r>
              <w:rPr>
                <w:rFonts w:eastAsia="Times New Roman" w:cs="Calibri"/>
                <w:color w:val="000000"/>
              </w:rPr>
              <w:t>12.50%</w:t>
            </w:r>
          </w:p>
        </w:tc>
        <w:tc>
          <w:tcPr>
            <w:tcW w:w="1020" w:type="dxa"/>
            <w:noWrap/>
            <w:vAlign w:val="center"/>
            <w:hideMark/>
          </w:tcPr>
          <w:p w:rsidR="00CA3ADB" w14:paraId="28BB4950" w14:textId="77777777">
            <w:pPr>
              <w:spacing w:after="0" w:line="240" w:lineRule="auto"/>
              <w:jc w:val="center"/>
              <w:rPr>
                <w:rFonts w:eastAsia="Times New Roman" w:cs="Calibri"/>
                <w:color w:val="000000"/>
              </w:rPr>
            </w:pPr>
            <w:r>
              <w:rPr>
                <w:rFonts w:eastAsia="Times New Roman" w:cs="Calibri"/>
                <w:color w:val="000000"/>
              </w:rPr>
              <w:t>10.00%</w:t>
            </w:r>
          </w:p>
        </w:tc>
      </w:tr>
      <w:tr w14:paraId="21878B80" w14:textId="77777777">
        <w:tblPrEx>
          <w:tblW w:w="5440" w:type="dxa"/>
          <w:tblInd w:w="2330" w:type="dxa"/>
          <w:tblLook w:val="04A0"/>
        </w:tblPrEx>
        <w:trPr>
          <w:trHeight w:val="285"/>
        </w:trPr>
        <w:tc>
          <w:tcPr>
            <w:tcW w:w="1260" w:type="dxa"/>
            <w:noWrap/>
            <w:vAlign w:val="center"/>
            <w:hideMark/>
          </w:tcPr>
          <w:p w:rsidR="00CA3ADB" w14:paraId="597783C3" w14:textId="77777777">
            <w:pPr>
              <w:spacing w:after="0" w:line="240" w:lineRule="auto"/>
              <w:jc w:val="center"/>
              <w:rPr>
                <w:rFonts w:eastAsia="Times New Roman" w:cs="Calibri"/>
                <w:color w:val="000000"/>
              </w:rPr>
            </w:pPr>
            <w:r>
              <w:rPr>
                <w:rFonts w:eastAsia="Times New Roman" w:cs="Calibri"/>
                <w:color w:val="000000"/>
              </w:rPr>
              <w:t>21</w:t>
            </w:r>
          </w:p>
        </w:tc>
        <w:tc>
          <w:tcPr>
            <w:tcW w:w="1070" w:type="dxa"/>
            <w:noWrap/>
            <w:vAlign w:val="center"/>
            <w:hideMark/>
          </w:tcPr>
          <w:p w:rsidR="00CA3ADB" w14:paraId="5906B49E" w14:textId="77777777">
            <w:pPr>
              <w:spacing w:after="0" w:line="240" w:lineRule="auto"/>
              <w:jc w:val="center"/>
              <w:rPr>
                <w:rFonts w:eastAsia="Times New Roman" w:cs="Calibri"/>
                <w:color w:val="000000"/>
              </w:rPr>
            </w:pPr>
          </w:p>
        </w:tc>
        <w:tc>
          <w:tcPr>
            <w:tcW w:w="1070" w:type="dxa"/>
            <w:noWrap/>
            <w:vAlign w:val="center"/>
            <w:hideMark/>
          </w:tcPr>
          <w:p w:rsidR="00CA3ADB" w14:paraId="714BF700" w14:textId="77777777">
            <w:pPr>
              <w:spacing w:after="0" w:line="240" w:lineRule="auto"/>
              <w:jc w:val="center"/>
              <w:rPr>
                <w:rFonts w:ascii="Times New Roman" w:eastAsia="Times New Roman" w:hAnsi="Times New Roman"/>
                <w:sz w:val="20"/>
                <w:szCs w:val="20"/>
              </w:rPr>
            </w:pPr>
          </w:p>
        </w:tc>
        <w:tc>
          <w:tcPr>
            <w:tcW w:w="1020" w:type="dxa"/>
            <w:noWrap/>
            <w:vAlign w:val="center"/>
            <w:hideMark/>
          </w:tcPr>
          <w:p w:rsidR="00CA3ADB" w14:paraId="0A4FA088" w14:textId="77777777">
            <w:pPr>
              <w:spacing w:after="0" w:line="240" w:lineRule="auto"/>
              <w:jc w:val="center"/>
              <w:rPr>
                <w:rFonts w:eastAsia="Times New Roman" w:cs="Calibri"/>
                <w:color w:val="000000"/>
              </w:rPr>
            </w:pPr>
            <w:r>
              <w:rPr>
                <w:rFonts w:eastAsia="Times New Roman" w:cs="Calibri"/>
                <w:color w:val="000000"/>
              </w:rPr>
              <w:t>12.50%</w:t>
            </w:r>
          </w:p>
        </w:tc>
        <w:tc>
          <w:tcPr>
            <w:tcW w:w="1020" w:type="dxa"/>
            <w:noWrap/>
            <w:vAlign w:val="center"/>
            <w:hideMark/>
          </w:tcPr>
          <w:p w:rsidR="00CA3ADB" w14:paraId="2BCE39AE" w14:textId="77777777">
            <w:pPr>
              <w:spacing w:after="0" w:line="240" w:lineRule="auto"/>
              <w:jc w:val="center"/>
              <w:rPr>
                <w:rFonts w:eastAsia="Times New Roman" w:cs="Calibri"/>
                <w:color w:val="000000"/>
              </w:rPr>
            </w:pPr>
            <w:r>
              <w:rPr>
                <w:rFonts w:eastAsia="Times New Roman" w:cs="Calibri"/>
                <w:color w:val="000000"/>
              </w:rPr>
              <w:t>10.00%</w:t>
            </w:r>
          </w:p>
        </w:tc>
      </w:tr>
    </w:tbl>
    <w:p w:rsidR="00CA3ADB" w14:paraId="67FF6552" w14:textId="77777777"/>
    <w:p w:rsidR="00CA3ADB" w14:paraId="4BDEE0FE" w14:textId="57E269BD">
      <w:pPr>
        <w:pStyle w:val="Bodypara"/>
      </w:pPr>
      <w:r>
        <w:t xml:space="preserve">Except as </w:t>
      </w:r>
      <w:bookmarkEnd w:id="15"/>
      <w:r>
        <w:t xml:space="preserve">provided in Section 5.12.6.2.1 of this Services Tariff, this calculation shall not include hours in any month that the Intermittent Power Resource </w:t>
      </w:r>
      <w:r w:rsidR="00A31BFE">
        <w:t xml:space="preserve">or an Aggregation that is entirely comprised of Intermittent Power Resources that depend on the same type of fuel </w:t>
      </w:r>
      <w:r>
        <w:t xml:space="preserve">was in an outage state that started on or after May 1, 2015 and that precluded its eligibility to participate in the </w:t>
      </w:r>
      <w:bookmarkStart w:id="17" w:name="_cp_text_2_62"/>
      <w:r>
        <w:t xml:space="preserve">Installed Capacity </w:t>
      </w:r>
      <w:bookmarkEnd w:id="17"/>
      <w:r>
        <w:t xml:space="preserve">market.  </w:t>
      </w:r>
    </w:p>
    <w:p w:rsidR="00CA3ADB" w14:paraId="406A40D2" w14:textId="77777777">
      <w:pPr>
        <w:pStyle w:val="Bodypara"/>
      </w:pPr>
      <w:r>
        <w:t>The amount of Unforced Capacity that an Intermittent Power Resource that is participating as part of a Co-located Storage Resource is authorized to supply in the NYCA shall account for reductions to the CSR Scheduling Limits, or the unavailability of the associated facilities, in accordance with ISO Procedures.</w:t>
      </w:r>
    </w:p>
    <w:p w:rsidR="00CA3ADB" w14:paraId="47459C3E" w14:textId="2AF8F400">
      <w:pPr>
        <w:pStyle w:val="Bodypara"/>
      </w:pPr>
      <w:r>
        <w:t>Until the Capability Year that begins in May 2024, t</w:t>
      </w:r>
      <w:r w:rsidR="00D31250">
        <w:t>he amount of Unforced Capacity that each Limited Control Run-of-River Hydro Resource is authorized to provide in the NYCA shall be determined separately for Summer and Winter Capability Periods as the rolling average of the hourly net Energy provided by each such Resource during the 20 highest NYCA integrated real-time load hours in each of the five previous Summer or Winter Capability Periods, as appropriate, stated in megawatts.  Except as provided in Section 5.12.6.2.1 of this</w:t>
      </w:r>
      <w:r w:rsidR="00D31250">
        <w:rPr>
          <w:bCs/>
        </w:rPr>
        <w:t xml:space="preserve"> Services Tariff</w:t>
      </w:r>
      <w:r w:rsidR="00D31250">
        <w:t xml:space="preserve">, for a Limited Control Run-of-River Hydro Resource in an outage state that started on or after May 1, 2015 and that precluded its </w:t>
      </w:r>
      <w:bookmarkStart w:id="18" w:name="_cp_text_2_72"/>
      <w:r w:rsidR="00D31250">
        <w:t xml:space="preserve">eligibility </w:t>
      </w:r>
      <w:bookmarkEnd w:id="18"/>
      <w:r w:rsidR="00D31250">
        <w:t xml:space="preserve">to participate in the Installed Capacity market </w:t>
      </w:r>
      <w:r w:rsidR="00D31250">
        <w:t xml:space="preserve">during </w:t>
      </w:r>
      <w:r w:rsidR="00D31250">
        <w:rPr>
          <w:bCs/>
        </w:rPr>
        <w:t>one of the 20 highest NYCA integrated real-time load hours</w:t>
      </w:r>
      <w:r w:rsidR="00D31250">
        <w:t xml:space="preserve"> in </w:t>
      </w:r>
      <w:r w:rsidR="00D31250">
        <w:rPr>
          <w:bCs/>
        </w:rPr>
        <w:t xml:space="preserve">any one of </w:t>
      </w:r>
      <w:r w:rsidR="00D31250">
        <w:t xml:space="preserve">the five previous Summer or Winter Capability Periods, the </w:t>
      </w:r>
      <w:r w:rsidR="00D31250">
        <w:rPr>
          <w:bCs/>
        </w:rPr>
        <w:t xml:space="preserve">ISO shall replace that Winter or Summer Capability Period, as appropriate, with the next most recent Winter or Summer Capability Period such that the </w:t>
      </w:r>
      <w:r w:rsidR="00D31250">
        <w:t xml:space="preserve">rolling average of the hourly net Energy provided by each such Resource shall be calculated from the </w:t>
      </w:r>
      <w:r w:rsidR="00D31250">
        <w:rPr>
          <w:bCs/>
        </w:rPr>
        <w:t>20</w:t>
      </w:r>
      <w:r w:rsidR="00D31250">
        <w:t xml:space="preserve"> highest NYCA integrated real-time load hours in the five </w:t>
      </w:r>
      <w:r w:rsidR="00D31250">
        <w:rPr>
          <w:bCs/>
        </w:rPr>
        <w:t xml:space="preserve">most recent </w:t>
      </w:r>
      <w:r w:rsidR="00D31250">
        <w:t>prior Summer or Winter Capability Periods in which the Resource was not in an outage state that precluded its eligibility</w:t>
      </w:r>
      <w:bookmarkStart w:id="19" w:name="_cp_text_2_83"/>
      <w:r w:rsidR="00D31250">
        <w:t xml:space="preserve"> </w:t>
      </w:r>
      <w:bookmarkEnd w:id="19"/>
      <w:r w:rsidR="00D31250">
        <w:t xml:space="preserve">to participate in the Installed Capacity market </w:t>
      </w:r>
      <w:r w:rsidR="00D31250">
        <w:rPr>
          <w:bCs/>
        </w:rPr>
        <w:t>on one of the 20 highest NYCA integrated real-time load hours in that Capability Period.</w:t>
      </w:r>
      <w:r w:rsidR="00D31250">
        <w:t xml:space="preserve"> </w:t>
      </w:r>
    </w:p>
    <w:p w:rsidR="00CA3ADB" w14:paraId="5487DC33" w14:textId="77777777">
      <w:pPr>
        <w:pStyle w:val="Bodypara"/>
      </w:pPr>
      <w:r>
        <w:t>Prior to Capability Year beginning May 1, 2021, the ISO shall calculate separate Summer and Winter Capability Period Unforced Capacity values for each Generator, System Resource, Special Case Resource, Energy Limited Resource, and municipally owned generation and update them periodically using a twelve-month calculation.  Starting with the Capability Year beginning May 1, 2021, the ISO shall calculate separate Summer and Winter Capability Period Unforced Capacity values for each Special Case Resource and update them periodically using a twelve-month calculation in accordance with ISO Procedures.  Starting with the Capability Year beginning May 1, 2021, the calculation for each Generator, System Resource, Energy Limited Resource, and municipally owned generation will use the months comprising the two most recent like Capability Periods in accordance with formulae provided in the ISO Procedures</w:t>
      </w:r>
      <w:bookmarkStart w:id="20" w:name="_cp_text_1_88"/>
      <w:r>
        <w:t xml:space="preserve">; </w:t>
      </w:r>
      <w:bookmarkEnd w:id="20"/>
      <w:r>
        <w:t xml:space="preserve">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w:t>
      </w:r>
      <w:r>
        <w:t>other operating data from the most recent like month in which the Generator was not in an outage state that precluded its eligibility to participate in the Installed Capacity market.</w:t>
      </w:r>
    </w:p>
    <w:p w:rsidR="00CA3ADB" w14:paraId="7B177D05" w14:textId="04805972">
      <w:pPr>
        <w:pStyle w:val="Bodypara"/>
      </w:pPr>
      <w:r>
        <w:t xml:space="preserve">The ISO shall calculate separate Summer and Winter Capability Period Unforced Capacity values for Energy Storage Resources </w:t>
      </w:r>
      <w:r w:rsidR="00A31BFE">
        <w:t xml:space="preserve">and individual Distributed Energy Resources </w:t>
      </w:r>
      <w:r>
        <w:t>and update them seasonally as described in ISO Procedures.</w:t>
      </w:r>
    </w:p>
    <w:p w:rsidR="00CA3ADB" w14:paraId="4F24299E" w14:textId="77777777">
      <w:pPr>
        <w:pStyle w:val="Bodypara"/>
      </w:pPr>
      <w:r>
        <w:t>The ISO shall calculate separate Summer and Winter Capability Period Unforced Capacity values for Intermittent Power Resources and update them seasonally as described in ISO Procedures.</w:t>
      </w:r>
    </w:p>
    <w:p w:rsidR="00CA3ADB" w14:paraId="395D7588" w14:textId="77777777">
      <w:pPr>
        <w:pStyle w:val="Bodypara"/>
      </w:pPr>
      <w:r>
        <w:t>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Tariff, and (ii) the Resource’s Net-ICAP.</w:t>
      </w:r>
    </w:p>
    <w:p w:rsidR="00CA3ADB" w14:paraId="5172A1CB" w14:textId="77777777">
      <w:pPr>
        <w:pStyle w:val="subhead"/>
      </w:pPr>
      <w:r>
        <w:t>5.12.6.2.1 Exceptions</w:t>
      </w:r>
    </w:p>
    <w:p w:rsidR="00CA3ADB" w14:paraId="35B5DC36" w14:textId="77777777">
      <w:pPr>
        <w:pStyle w:val="Bodypara"/>
      </w:pPr>
      <w:r>
        <w:t xml:space="preserve">A Resource returning to the Energy market after taking an outage that precluded its participation in the Installed Capacity market and which returns with modifications to its operating </w:t>
      </w:r>
      <w:r>
        <w:rPr>
          <w:rFonts w:eastAsia="Times New Roman"/>
          <w:iCs/>
        </w:rPr>
        <w:t>characteristics</w:t>
      </w:r>
      <w:r>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21" w:name="_cp_text_1_122"/>
      <w:r>
        <w:t xml:space="preserve">A </w:t>
      </w:r>
      <w:bookmarkEnd w:id="21"/>
      <w:r>
        <w:t xml:space="preserve">Resource returning to the Energy market after taking an outage that precluded its  participation in the Installed Capacity market </w:t>
      </w:r>
      <w:bookmarkStart w:id="22" w:name="_cp_text_2_129"/>
      <w:r>
        <w:t xml:space="preserve">and which, upon </w:t>
      </w:r>
      <w:bookmarkEnd w:id="22"/>
      <w:r>
        <w:t xml:space="preserve">its return, uses as its primary </w:t>
      </w:r>
      <w:r>
        <w:t>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14:paraId="1CCDD9F0" w14:textId="77777777">
      <w:pPr>
        <w:pStyle w:val="Bodypara"/>
      </w:pPr>
      <w:r>
        <w:t>This Section 5.12.6.2.1 shall apply to a Resource returning to the Energy market after taking an outage that started on or after May 1, 2015 and that precluded its participation in the Installed Capacity market.</w:t>
      </w:r>
    </w:p>
    <w:p w:rsidR="00CA3ADB" w14:paraId="202E8942" w14:textId="77777777">
      <w:pPr>
        <w:pStyle w:val="Heading4"/>
      </w:pPr>
      <w:bookmarkStart w:id="23" w:name="_Toc261446156"/>
      <w:r>
        <w:t>5.12.6.3</w:t>
      </w:r>
      <w:r>
        <w:tab/>
        <w:t>Default Unforced Capacity</w:t>
      </w:r>
      <w:bookmarkEnd w:id="23"/>
    </w:p>
    <w:p w:rsidR="00CA3ADB" w14:paraId="34545DE1" w14:textId="77777777">
      <w:pPr>
        <w:pStyle w:val="Bodypara"/>
      </w:pPr>
      <w:r>
        <w:t xml:space="preserve">In its calculation of Unforced Capacity, the ISO shall deem a Resource to be completely forced out for each month for which the Resource has not submitted its Operating Data in accordance with </w:t>
      </w:r>
      <w:r>
        <w:rPr>
          <w:rFonts w:eastAsia="Times New Roman"/>
          <w:snapToGrid w:val="0"/>
          <w:szCs w:val="20"/>
        </w:rPr>
        <w:t>Section</w:t>
      </w:r>
      <w:r>
        <w:t xml:space="preserve"> 5.12.5 of this Tariff and the ISO Procedures.  A Resource that has been deemed completely forced out for a particular month may submit new Operating Data, for that month, to the ISO </w:t>
      </w:r>
      <w:r>
        <w:rPr>
          <w:rFonts w:eastAsia="Times New Roman"/>
          <w:snapToGrid w:val="0"/>
          <w:szCs w:val="20"/>
        </w:rPr>
        <w:t>at</w:t>
      </w:r>
      <w:r>
        <w:t xml:space="preserve"> any time.  The ISO will use such new Operating Data when calculating, in a timely manner in accordance with the ISO Procedures, an Unforced Capacity value for the Resource.</w:t>
      </w:r>
    </w:p>
    <w:p w:rsidR="00CA3ADB" w14:paraId="23A23D5B" w14:textId="77777777">
      <w:pPr>
        <w:pStyle w:val="Bodypara"/>
      </w:pPr>
      <w:r>
        <w:t xml:space="preserve">Upon a </w:t>
      </w:r>
      <w:r>
        <w:rPr>
          <w:rFonts w:eastAsia="Times New Roman"/>
          <w:snapToGrid w:val="0"/>
          <w:szCs w:val="20"/>
        </w:rPr>
        <w:t>showing</w:t>
      </w:r>
      <w:r>
        <w:t xml:space="preserve"> of extraordinary circumstances, the ISO retains the discretion to accept at any time Operating Data which have not been submitted in a timely manner, or which do not fully conform with the ISO Procedures.</w:t>
      </w:r>
    </w:p>
    <w:p w:rsidR="00CA3ADB" w14:paraId="2218A3E0" w14:textId="77777777">
      <w:pPr>
        <w:pStyle w:val="Heading4"/>
      </w:pPr>
      <w:bookmarkStart w:id="24" w:name="_Toc261446157"/>
      <w:r>
        <w:t>5.12.6.4</w:t>
      </w:r>
      <w:r>
        <w:tab/>
        <w:t>Exception for Certain Equipment Failures</w:t>
      </w:r>
      <w:bookmarkEnd w:id="24"/>
    </w:p>
    <w:p w:rsidR="00CA3ADB" w14:paraId="26539DB8" w14:textId="77777777">
      <w:pPr>
        <w:pStyle w:val="Bodypara"/>
      </w:pPr>
      <w:r>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w:t>
      </w:r>
      <w:r>
        <w:t xml:space="preserve">step-up </w:t>
      </w:r>
      <w:r>
        <w:rPr>
          <w:rFonts w:eastAsia="Times New Roman"/>
          <w:snapToGrid w:val="0"/>
          <w:szCs w:val="20"/>
        </w:rPr>
        <w:t>transformer</w:t>
      </w:r>
      <w:r>
        <w:t>, the outage will not be counted for purposes of calculating that Resource’s Equivalent Demand Forced Outage Rate.</w:t>
      </w:r>
    </w:p>
    <w:p w:rsidR="00CA3ADB" w14:paraId="70D67169" w14:textId="77777777">
      <w:pPr>
        <w:pStyle w:val="Heading4"/>
      </w:pPr>
      <w:r>
        <w:t>5.12.6.5</w:t>
      </w:r>
      <w:r>
        <w:tab/>
        <w:t>Unforced Capacity, Outage Data and Operational Information Associated with External-to-ROS Deliverability Rights</w:t>
      </w:r>
    </w:p>
    <w:p w:rsidR="00CA3ADB" w14:paraId="6DC9B39D" w14:textId="77777777">
      <w:pPr>
        <w:pStyle w:val="Bodypara"/>
        <w:rPr>
          <w:b/>
          <w:bCs/>
        </w:rPr>
      </w:pPr>
      <w:r>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CA3ADB" w14:paraId="6DFC9295" w14:textId="77777777">
      <w:pPr>
        <w:pStyle w:val="Heading3"/>
      </w:pPr>
      <w:bookmarkStart w:id="25" w:name="_Toc261446158"/>
      <w:r>
        <w:t>5.12.7</w:t>
      </w:r>
      <w:r>
        <w:tab/>
        <w:t>Availability Requirements</w:t>
      </w:r>
      <w:bookmarkEnd w:id="25"/>
    </w:p>
    <w:p w:rsidR="00CA3ADB" w14:paraId="0D904469" w14:textId="77777777">
      <w:pPr>
        <w:pStyle w:val="Bodypara"/>
      </w:pPr>
      <w:r>
        <w:t>Subsequent to</w:t>
      </w:r>
      <w:r>
        <w:t xml:space="preserve"> qualifying, each Installed Capacity Supplier shall, except as noted in Section 5.12.11 of this Tariff, </w:t>
      </w:r>
      <w:r>
        <w:t>on a daily basis</w:t>
      </w:r>
      <w:r>
        <w:t xml:space="preserve">: (i) schedule a Bilateral Transaction; (ii) Bid Energy in each hour of the Day-Ahead Market in accordance with the applicable provisions of Section 5.12.1 of this Tariff; or (iii) notify the ISO of any outages.  </w:t>
      </w:r>
    </w:p>
    <w:p w:rsidR="00EE0FB7" w:rsidP="0068696A" w14:paraId="2BA4549B" w14:textId="46C69EFA">
      <w:pPr>
        <w:pStyle w:val="Bodypara"/>
      </w:pPr>
      <w:r>
        <w:t xml:space="preserve">Until the Capability Year that begins in May 2024, </w:t>
      </w:r>
      <w:r w:rsidR="00D31250">
        <w:t xml:space="preserve">Installed Capacity Suppliers with Energy Duration Limitations corresponding to a Duration Adjustment Factor, as described in Section 5.12.14 below, must on a daily basis during the Peak Load Window and for the number of consecutive hours that correspond to its Energy Duration Limitation, or for the entirety of the Peak Load Window for an Energy Storage Resource </w:t>
      </w:r>
      <w:r w:rsidR="00ED14C4">
        <w:t>or an Aggregation comprised entirely of Energy Storage Re</w:t>
      </w:r>
      <w:r w:rsidR="009540B5">
        <w:t>s</w:t>
      </w:r>
      <w:r w:rsidR="00ED14C4">
        <w:t>ources</w:t>
      </w:r>
      <w:r w:rsidR="00D31250">
        <w:t xml:space="preserve">: (i) schedule a Bilateral Transaction; (ii) Bid Energy in the Day-Ahead Market in accordance with the applicable provisions of Section 5.12.1 of this Tariff; or (iii) notify the ISO of any outages.  </w:t>
      </w:r>
    </w:p>
    <w:p w:rsidR="00EE0FB7" w:rsidP="005C7BD4" w14:paraId="35A01B7D" w14:textId="1294F06B">
      <w:pPr>
        <w:pStyle w:val="Bodypara"/>
      </w:pPr>
      <w:r w:rsidRPr="0072298C">
        <w:t xml:space="preserve">Starting with the Capability Year that begins in May 2024, Installed Capacity Suppliers with Energy Duration Limitations less than or equal in length to the number of hours </w:t>
      </w:r>
      <w:r w:rsidRPr="002756B6" w:rsidR="00DE1F93">
        <w:t>comprising</w:t>
      </w:r>
      <w:r w:rsidRPr="00FC72DB" w:rsidR="00DE1F93">
        <w:rPr>
          <w:highlight w:val="cyan"/>
        </w:rPr>
        <w:t xml:space="preserve"> </w:t>
      </w:r>
      <w:r w:rsidRPr="0072298C">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Tariff; or (iii) notify the ISO of any outages. Installed Capacity Suppliers with Energy Duration Limitations greater in length than the number of hours </w:t>
      </w:r>
      <w:r w:rsidRPr="00FC72DB" w:rsidR="00642487">
        <w:t>comprising</w:t>
      </w:r>
      <w:r w:rsidRPr="002756B6">
        <w:t xml:space="preserve"> the Peak</w:t>
      </w:r>
      <w:r w:rsidRPr="0072298C">
        <w:t xml:space="preserve"> Load Window, must on a daily basis during the entirety of the applicable Peak Load Window and </w:t>
      </w:r>
      <w:r w:rsidRPr="002756B6">
        <w:t xml:space="preserve">for </w:t>
      </w:r>
      <w:r w:rsidRPr="002756B6" w:rsidR="00D329B2">
        <w:t xml:space="preserve">additional </w:t>
      </w:r>
      <w:r w:rsidRPr="002756B6">
        <w:t>hour</w:t>
      </w:r>
      <w:r w:rsidRPr="002756B6" w:rsidR="00485690">
        <w:t>s</w:t>
      </w:r>
      <w:r w:rsidRPr="002756B6">
        <w:t xml:space="preserve"> immediately</w:t>
      </w:r>
      <w:r w:rsidRPr="0072298C">
        <w:t xml:space="preserve"> preceding and following the Peak Load </w:t>
      </w:r>
      <w:r w:rsidRPr="002756B6">
        <w:t xml:space="preserve">Window </w:t>
      </w:r>
      <w:r w:rsidRPr="002756B6" w:rsidR="004F7ED5">
        <w:t xml:space="preserve">covering </w:t>
      </w:r>
      <w:r w:rsidRPr="002756B6">
        <w:t>the remaining hours of the Installed Capacity Supplier’s Energy Duration Limitation that are not captured in the Peak Load Window</w:t>
      </w:r>
      <w:r w:rsidRPr="002756B6" w:rsidR="00AB2663">
        <w:t>, as specified in ISO Procedures</w:t>
      </w:r>
      <w:r w:rsidRPr="002756B6">
        <w:t>: (i)</w:t>
      </w:r>
      <w:r w:rsidRPr="0072298C">
        <w:t xml:space="preserve"> schedule a Bilateral Transaction; (ii) Bid Energy in the Day-Ahead Market in accordance with the applicable provisions of Section 5.12.1 of this Tariff; or (iii) notify the ISO of any outages.</w:t>
      </w:r>
    </w:p>
    <w:p w:rsidR="00CA3ADB" w:rsidP="0068696A" w14:paraId="729D215F" w14:textId="27063EB3">
      <w:pPr>
        <w:pStyle w:val="Bodypara"/>
      </w:pPr>
      <w:r>
        <w:t xml:space="preserve">The ISO may adjust the Peak Load Window that Installed Capacity Suppliers with Energy Duration Limitations will be responsible for scheduling, bidding, or notifying for, with scheduling or bidding in hours outside the Peak Load Window in Section 5.12.14.  An RMR Generator can only schedule a Bilateral Transaction to the extent expressly authorized in its RMR Agreement.  </w:t>
      </w:r>
    </w:p>
    <w:p w:rsidR="00CA3ADB" w14:paraId="11162051" w14:textId="77777777">
      <w:pPr>
        <w:pStyle w:val="Bodypara"/>
      </w:pPr>
      <w:r>
        <w:t xml:space="preserve">The total amount of Energy that an Installed Capacity Supplier schedules, bids, or declares to be unavailable on a given day must equal or exceed the Installed Capacity Equivalent of the Unforced Capacity it supplies.  </w:t>
      </w:r>
    </w:p>
    <w:p w:rsidR="00CA3ADB" w14:paraId="18E27EFF" w14:textId="0E0CAAE7">
      <w:pPr>
        <w:pStyle w:val="Bodypara"/>
        <w:rPr>
          <w:u w:val="single"/>
        </w:rPr>
      </w:pPr>
      <w:r>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7D2D51" w:rsidR="006C3797">
        <w:rPr>
          <w:rFonts w:eastAsia="Times New Roman"/>
          <w:color w:val="000000"/>
        </w:rPr>
        <w:t>Until the Capability Year that begins in May 2024</w:t>
      </w:r>
      <w:r w:rsidR="006C3797">
        <w:rPr>
          <w:rFonts w:eastAsia="Times New Roman"/>
          <w:color w:val="000000"/>
        </w:rPr>
        <w:t xml:space="preserve">, </w:t>
      </w:r>
      <w:r>
        <w:t>Energy Storage Resources with an Energy Duration Limitation must, on a daily basis, and for each hour outside of the Peak Load Window:  (i) Bid in the Day-Ahead Market in accordance with the applicable provisions of Section 5.12.1 of this 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r>
        <w:rPr>
          <w:u w:val="single"/>
        </w:rPr>
        <w:t xml:space="preserve"> </w:t>
      </w:r>
    </w:p>
    <w:p w:rsidR="00653583" w:rsidRPr="000315D8" w:rsidP="00FC72DB" w14:paraId="54FAFCFA" w14:textId="743D0742">
      <w:pPr>
        <w:spacing w:after="0" w:line="480" w:lineRule="auto"/>
        <w:ind w:firstLine="720"/>
        <w:rPr>
          <w:rFonts w:ascii="Times New Roman" w:eastAsia="Times New Roman" w:hAnsi="Times New Roman"/>
          <w:color w:val="000000"/>
          <w:sz w:val="24"/>
          <w:szCs w:val="24"/>
        </w:rPr>
      </w:pPr>
      <w:r w:rsidRPr="00317CDF">
        <w:rPr>
          <w:rFonts w:ascii="Times New Roman" w:eastAsia="Times New Roman" w:hAnsi="Times New Roman"/>
          <w:color w:val="000000"/>
          <w:sz w:val="24"/>
          <w:szCs w:val="24"/>
        </w:rPr>
        <w:t>Starting with the Capability Year that begins in May 2024,</w:t>
      </w:r>
      <w:r>
        <w:rPr>
          <w:rFonts w:ascii="Times New Roman" w:eastAsia="Times New Roman" w:hAnsi="Times New Roman"/>
          <w:color w:val="000000"/>
          <w:sz w:val="24"/>
          <w:szCs w:val="24"/>
        </w:rPr>
        <w:t xml:space="preserve"> </w:t>
      </w:r>
      <w:r w:rsidRPr="000315D8">
        <w:rPr>
          <w:rFonts w:ascii="Times New Roman" w:eastAsia="Times New Roman" w:hAnsi="Times New Roman"/>
          <w:color w:val="000000"/>
          <w:sz w:val="24"/>
          <w:szCs w:val="24"/>
        </w:rPr>
        <w:t xml:space="preserve">Energy Storage Resources with an Energy Duration Limitation </w:t>
      </w:r>
      <w:r>
        <w:rPr>
          <w:rFonts w:ascii="Times New Roman" w:eastAsia="Times New Roman" w:hAnsi="Times New Roman"/>
          <w:color w:val="000000"/>
          <w:sz w:val="24"/>
          <w:szCs w:val="24"/>
        </w:rPr>
        <w:t xml:space="preserve">less than or equal in length to the number of hours </w:t>
      </w:r>
      <w:r w:rsidRPr="007C5708" w:rsidR="00584943">
        <w:rPr>
          <w:rFonts w:ascii="Times New Roman" w:eastAsia="Times New Roman" w:hAnsi="Times New Roman"/>
          <w:color w:val="000000"/>
          <w:sz w:val="24"/>
          <w:szCs w:val="24"/>
        </w:rPr>
        <w:t>comprising</w:t>
      </w:r>
      <w:r w:rsidRPr="007C5708">
        <w:rPr>
          <w:rFonts w:ascii="Times New Roman" w:eastAsia="Times New Roman" w:hAnsi="Times New Roman"/>
          <w:color w:val="000000"/>
          <w:sz w:val="24"/>
          <w:szCs w:val="24"/>
        </w:rPr>
        <w:t xml:space="preserve"> the</w:t>
      </w:r>
      <w:r>
        <w:rPr>
          <w:rFonts w:ascii="Times New Roman" w:eastAsia="Times New Roman" w:hAnsi="Times New Roman"/>
          <w:color w:val="000000"/>
          <w:sz w:val="24"/>
          <w:szCs w:val="24"/>
        </w:rPr>
        <w:t xml:space="preserve"> </w:t>
      </w:r>
      <w:r w:rsidRPr="00D56824">
        <w:rPr>
          <w:rFonts w:ascii="Times New Roman" w:eastAsia="Times New Roman" w:hAnsi="Times New Roman"/>
          <w:color w:val="000000" w:themeColor="text1"/>
          <w:sz w:val="24"/>
          <w:szCs w:val="24"/>
        </w:rPr>
        <w:t>applicable</w:t>
      </w:r>
      <w:r>
        <w:rPr>
          <w:rFonts w:ascii="Times New Roman" w:eastAsia="Times New Roman" w:hAnsi="Times New Roman"/>
          <w:color w:val="000000"/>
          <w:sz w:val="24"/>
          <w:szCs w:val="24"/>
        </w:rPr>
        <w:t xml:space="preserve"> Peak Load Window</w:t>
      </w:r>
      <w:r w:rsidRPr="000315D8">
        <w:rPr>
          <w:rFonts w:ascii="Times New Roman" w:eastAsia="Times New Roman" w:hAnsi="Times New Roman"/>
          <w:color w:val="000000"/>
          <w:sz w:val="24"/>
          <w:szCs w:val="24"/>
        </w:rPr>
        <w:t xml:space="preserve"> must, on a daily basis, and for </w:t>
      </w:r>
      <w:r w:rsidRPr="007C5708">
        <w:rPr>
          <w:rFonts w:ascii="Times New Roman" w:eastAsia="Times New Roman" w:hAnsi="Times New Roman"/>
          <w:color w:val="000000"/>
          <w:sz w:val="24"/>
          <w:szCs w:val="24"/>
        </w:rPr>
        <w:t xml:space="preserve">each hour </w:t>
      </w:r>
      <w:r w:rsidRPr="007C5708" w:rsidR="00765288">
        <w:rPr>
          <w:rFonts w:ascii="Times New Roman" w:eastAsia="Times New Roman" w:hAnsi="Times New Roman"/>
          <w:color w:val="000000"/>
          <w:sz w:val="24"/>
          <w:szCs w:val="24"/>
        </w:rPr>
        <w:t xml:space="preserve">beyond </w:t>
      </w:r>
      <w:r w:rsidRPr="000315D8">
        <w:rPr>
          <w:rFonts w:ascii="Times New Roman" w:eastAsia="Times New Roman" w:hAnsi="Times New Roman"/>
          <w:color w:val="000000"/>
          <w:sz w:val="24"/>
          <w:szCs w:val="24"/>
        </w:rPr>
        <w:t xml:space="preserve"> the Peak Load Window:  (i) Bid in the Day-Ahead Market in accordance with the applicable provisions of Section 5.12.1 of this Tariff; or (ii) notify the ISO of any outages, the maximum of the Energy Storage Resource’s (a) negative Installed Capacity Equivalent, or (b) Lower Operating Limit. Energy Storage Resources with an Energy Duration Limitation </w:t>
      </w:r>
      <w:r>
        <w:rPr>
          <w:rFonts w:ascii="Times New Roman" w:eastAsia="Times New Roman" w:hAnsi="Times New Roman"/>
          <w:color w:val="000000"/>
          <w:sz w:val="24"/>
          <w:szCs w:val="24"/>
        </w:rPr>
        <w:t xml:space="preserve">greater in length than the number of </w:t>
      </w:r>
      <w:r w:rsidRPr="007C5708">
        <w:rPr>
          <w:rFonts w:ascii="Times New Roman" w:eastAsia="Times New Roman" w:hAnsi="Times New Roman"/>
          <w:color w:val="000000"/>
          <w:sz w:val="24"/>
          <w:szCs w:val="24"/>
        </w:rPr>
        <w:t xml:space="preserve">hours </w:t>
      </w:r>
      <w:r w:rsidRPr="007C5708" w:rsidR="00A74C4E">
        <w:rPr>
          <w:rFonts w:ascii="Times New Roman" w:eastAsia="Times New Roman" w:hAnsi="Times New Roman"/>
          <w:color w:val="000000"/>
          <w:sz w:val="24"/>
          <w:szCs w:val="24"/>
        </w:rPr>
        <w:t>comprising</w:t>
      </w:r>
      <w:r w:rsidRPr="007C5708">
        <w:rPr>
          <w:rFonts w:ascii="Times New Roman" w:eastAsia="Times New Roman" w:hAnsi="Times New Roman"/>
          <w:color w:val="000000"/>
          <w:sz w:val="24"/>
          <w:szCs w:val="24"/>
        </w:rPr>
        <w:t xml:space="preserve"> the</w:t>
      </w:r>
      <w:r>
        <w:rPr>
          <w:rFonts w:ascii="Times New Roman" w:eastAsia="Times New Roman" w:hAnsi="Times New Roman"/>
          <w:color w:val="000000"/>
          <w:sz w:val="24"/>
          <w:szCs w:val="24"/>
        </w:rPr>
        <w:t xml:space="preserve"> </w:t>
      </w:r>
      <w:r w:rsidRPr="00D56824">
        <w:rPr>
          <w:rFonts w:ascii="Times New Roman" w:eastAsia="Times New Roman" w:hAnsi="Times New Roman"/>
          <w:color w:val="000000" w:themeColor="text1"/>
          <w:sz w:val="24"/>
          <w:szCs w:val="24"/>
        </w:rPr>
        <w:t>applicable</w:t>
      </w:r>
      <w:r>
        <w:rPr>
          <w:rFonts w:ascii="Times New Roman" w:eastAsia="Times New Roman" w:hAnsi="Times New Roman"/>
          <w:color w:val="000000"/>
          <w:sz w:val="24"/>
          <w:szCs w:val="24"/>
        </w:rPr>
        <w:t xml:space="preserve"> Peak Load Window</w:t>
      </w:r>
      <w:r w:rsidRPr="000315D8">
        <w:rPr>
          <w:rFonts w:ascii="Times New Roman" w:eastAsia="Times New Roman" w:hAnsi="Times New Roman"/>
          <w:color w:val="000000"/>
          <w:sz w:val="24"/>
          <w:szCs w:val="24"/>
        </w:rPr>
        <w:t xml:space="preserve"> must, on a daily basis, and for each </w:t>
      </w:r>
      <w:r w:rsidRPr="007C5708">
        <w:rPr>
          <w:rFonts w:ascii="Times New Roman" w:eastAsia="Times New Roman" w:hAnsi="Times New Roman"/>
          <w:color w:val="000000"/>
          <w:sz w:val="24"/>
          <w:szCs w:val="24"/>
        </w:rPr>
        <w:t xml:space="preserve">hour </w:t>
      </w:r>
      <w:r w:rsidRPr="007C5708" w:rsidR="00584943">
        <w:rPr>
          <w:rFonts w:ascii="Times New Roman" w:eastAsia="Times New Roman" w:hAnsi="Times New Roman"/>
          <w:color w:val="000000"/>
          <w:sz w:val="24"/>
          <w:szCs w:val="24"/>
        </w:rPr>
        <w:t>beyond</w:t>
      </w:r>
      <w:r w:rsidRPr="007C5708">
        <w:rPr>
          <w:rFonts w:ascii="Times New Roman" w:eastAsia="Times New Roman" w:hAnsi="Times New Roman"/>
          <w:color w:val="000000"/>
          <w:sz w:val="24"/>
          <w:szCs w:val="24"/>
        </w:rPr>
        <w:t xml:space="preserve"> the hours</w:t>
      </w:r>
      <w:r>
        <w:rPr>
          <w:rFonts w:ascii="Times New Roman" w:eastAsia="Times New Roman" w:hAnsi="Times New Roman"/>
          <w:color w:val="000000"/>
          <w:sz w:val="24"/>
          <w:szCs w:val="24"/>
        </w:rPr>
        <w:t xml:space="preserve"> that the Energy Storage Resources must </w:t>
      </w:r>
      <w:r w:rsidRPr="007B5CF1">
        <w:rPr>
          <w:rFonts w:ascii="Times New Roman" w:eastAsia="Times New Roman" w:hAnsi="Times New Roman"/>
          <w:color w:val="000000"/>
          <w:sz w:val="24"/>
          <w:szCs w:val="24"/>
        </w:rPr>
        <w:t xml:space="preserve">schedule, bid, or declare to be unavailable </w:t>
      </w:r>
      <w:r>
        <w:rPr>
          <w:rFonts w:ascii="Times New Roman" w:eastAsia="Times New Roman" w:hAnsi="Times New Roman"/>
          <w:color w:val="000000"/>
          <w:sz w:val="24"/>
          <w:szCs w:val="24"/>
        </w:rPr>
        <w:t xml:space="preserve">in accordance with paragraph three of Section </w:t>
      </w:r>
      <w:r w:rsidRPr="00685B1C">
        <w:rPr>
          <w:rFonts w:ascii="Times New Roman" w:eastAsia="Times New Roman" w:hAnsi="Times New Roman"/>
          <w:color w:val="000000"/>
          <w:sz w:val="24"/>
          <w:szCs w:val="24"/>
        </w:rPr>
        <w:t>5.12.7</w:t>
      </w:r>
      <w:r>
        <w:rPr>
          <w:rFonts w:ascii="Times New Roman" w:eastAsia="Times New Roman" w:hAnsi="Times New Roman"/>
          <w:color w:val="000000"/>
          <w:sz w:val="24"/>
          <w:szCs w:val="24"/>
        </w:rPr>
        <w:t xml:space="preserve"> of this Tariff</w:t>
      </w:r>
      <w:r w:rsidRPr="000315D8">
        <w:rPr>
          <w:rFonts w:ascii="Times New Roman" w:eastAsia="Times New Roman" w:hAnsi="Times New Roman"/>
          <w:color w:val="000000"/>
          <w:sz w:val="24"/>
          <w:szCs w:val="24"/>
        </w:rPr>
        <w:t xml:space="preserve">:  (i) Bid in the Day-Ahead Market in accordance with the applicable provisions of Section 5.12.1 of this Tariff; or (ii) notify the ISO of any outages, the maximum of the Energy Storage Resource’s </w:t>
      </w:r>
      <w:r w:rsidRPr="000315D8">
        <w:rPr>
          <w:rFonts w:ascii="Times New Roman" w:eastAsia="Times New Roman" w:hAnsi="Times New Roman"/>
          <w:color w:val="000000"/>
          <w:sz w:val="24"/>
          <w:szCs w:val="24"/>
        </w:rPr>
        <w:t>(a) negative Installed Capacity Equivalent, or (b) Lower Operating Limit. </w:t>
      </w:r>
      <w:r w:rsidRPr="00FC72DB">
        <w:rPr>
          <w:rFonts w:ascii="Times New Roman" w:eastAsia="Times New Roman" w:hAnsi="Times New Roman"/>
          <w:color w:val="000000"/>
          <w:sz w:val="24"/>
          <w:szCs w:val="24"/>
        </w:rPr>
        <w:t>The amount scheduled, Bid, and/or declared to be unavailable must reflect the Energy Storage Resource’s entire withdrawal operating range.</w:t>
      </w:r>
    </w:p>
    <w:p w:rsidR="00653583" w14:paraId="17051E1C" w14:textId="77777777">
      <w:pPr>
        <w:pStyle w:val="Bodypara"/>
        <w:rPr>
          <w:u w:val="single"/>
        </w:rPr>
      </w:pPr>
    </w:p>
    <w:p w:rsidR="00CA3ADB" w14:paraId="442EBF9F" w14:textId="77777777">
      <w:pPr>
        <w:pStyle w:val="Heading4"/>
      </w:pPr>
      <w:r>
        <w:t>5.12.7.1</w:t>
      </w:r>
      <w:r>
        <w:tab/>
        <w:t>Co-located Storage Resource Availability Requirements</w:t>
      </w:r>
    </w:p>
    <w:p w:rsidR="00CA3ADB" w14:paraId="507A1F70" w14:textId="77777777">
      <w:pPr>
        <w:pStyle w:val="Bodypara"/>
      </w:pPr>
      <w:r>
        <w:t xml:space="preserve">In addition to independently satisfying the requirements of Section 5.12.7 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 and the applicable Section 5.12.7 hourly Bid, Schedule, or Notify obligation of the Energy Storage Resource.  Each Installed Capacity Supplier must also </w:t>
      </w:r>
      <w:r>
        <w:t>on a daily basis</w:t>
      </w:r>
      <w:r>
        <w:t>, and for each hour of the Day-Ahead Market Day:  (i) provide a CSR withdrawal Scheduling Limit; and (ii) notify the ISO of any derate or outage to the interconnection facilities comprising the point of interconnection.  The sum of the CSR withdrawal Scheduling Limit and the derate or outage must equal or exceed the Energy Storage Resource’s applicable 5.12.7 hourly Bid, Schedule, or Notify obligation.</w:t>
      </w:r>
    </w:p>
    <w:p w:rsidR="00CA3ADB" w14:paraId="7814DC02" w14:textId="77777777">
      <w:pPr>
        <w:pStyle w:val="Heading3"/>
      </w:pPr>
      <w:bookmarkStart w:id="26" w:name="_Toc261446159"/>
      <w:r>
        <w:t>5.12.8</w:t>
      </w:r>
      <w:r>
        <w:tab/>
        <w:t>Unforced Capacity Sales</w:t>
      </w:r>
      <w:bookmarkEnd w:id="26"/>
    </w:p>
    <w:p w:rsidR="00CA3ADB" w14:paraId="53492E23" w14:textId="77777777">
      <w:pPr>
        <w:pStyle w:val="Bodypara"/>
      </w:pPr>
      <w:r>
        <w:t xml:space="preserve">Each Installed Capacity Supplier will, after satisfying the deliverability requirements set forth in the applicable provisions of Attachment X, Attachment Z and Attachment S to the ISO OATT, be authorized to supply an amount of Unforced Capacity during each Obligation Procurement Period, based on separate seasonal Unforced Capacity calculations performed by </w:t>
      </w:r>
      <w:r>
        <w:t xml:space="preserve">the ISO for the </w:t>
      </w:r>
      <w:r>
        <w:rPr>
          <w:rFonts w:eastAsia="Times New Roman"/>
          <w:snapToGrid w:val="0"/>
          <w:szCs w:val="20"/>
        </w:rPr>
        <w:t>Summer</w:t>
      </w:r>
      <w:r>
        <w:t xml:space="preserve"> and Winter Capability Periods.  Unforced Capacity may be sold in six</w:t>
      </w:r>
      <w:r>
        <w:noBreakHyphen/>
        <w:t>month strips, or in monthly, or multi</w:t>
      </w:r>
      <w:r>
        <w:noBreakHyphen/>
        <w:t>monthly segments.</w:t>
      </w:r>
    </w:p>
    <w:p w:rsidR="00CA3ADB" w14:paraId="397BE6D5" w14:textId="77777777">
      <w:pPr>
        <w:pStyle w:val="Bodypara"/>
      </w:pPr>
      <w:r>
        <w:t xml:space="preserve">External Unforced Capacity (except External Installed Capacity associated with UDRs) may only be offered into Capability Period Auctions or Monthly Auctions for the Rest of State, and ICAP Spot Market </w:t>
      </w:r>
      <w:r>
        <w:rPr>
          <w:rFonts w:eastAsia="Times New Roman"/>
          <w:snapToGrid w:val="0"/>
          <w:szCs w:val="20"/>
        </w:rPr>
        <w:t>Auctions</w:t>
      </w:r>
      <w:r>
        <w:t xml:space="preserve"> for the NYCA, and may not be offered into a Locality for an ICAP Auction.  Bilateral Transactions which certify External Unforced Capacity using Import Rights, EDRs, or External CRIS Rights may not be used to satisfy a Locational Minimum Unforced Capacity Requirement.</w:t>
      </w:r>
    </w:p>
    <w:p w:rsidR="00CA3ADB" w14:paraId="6153455B" w14:textId="77777777">
      <w:pPr>
        <w:pStyle w:val="Bodypara"/>
      </w:pPr>
      <w:r>
        <w:t>UCAP from an RMR Generator may only be offered into the ICAP Spot Market Auction, except and only to the extent that the RMR Agreement expressly permits the RMR Generator’s UCAP to be certified in a Bilateral Transaction.</w:t>
      </w:r>
    </w:p>
    <w:p w:rsidR="00CA3ADB" w14:paraId="529894F1" w14:textId="738A1089">
      <w:pPr>
        <w:pStyle w:val="Bodypara"/>
      </w:pPr>
      <w:r>
        <w:t>If an Energy Limited Resource’s, Generator’s, System Resourc</w:t>
      </w:r>
      <w:r w:rsidRPr="005765C5">
        <w:t>e’s</w:t>
      </w:r>
      <w:r w:rsidR="00ED14C4">
        <w:t>,</w:t>
      </w:r>
      <w:r w:rsidRPr="005765C5">
        <w:t xml:space="preserve"> Co</w:t>
      </w:r>
      <w:r>
        <w:t>ntrol Area System Resource’s</w:t>
      </w:r>
      <w:r w:rsidR="00ED14C4">
        <w:t>, or Aggregation’s</w:t>
      </w:r>
      <w:r>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requirements set forth in the applicable provisions of Attachment X, Attachment Z and Attachment S to the ISO OATT.</w:t>
      </w:r>
    </w:p>
    <w:p w:rsidR="00CA3ADB" w:rsidRPr="005765C5" w14:paraId="4296B612" w14:textId="434BA33C">
      <w:pPr>
        <w:pStyle w:val="Bodypara"/>
      </w:pPr>
      <w:r w:rsidRPr="005765C5">
        <w:t xml:space="preserve">New </w:t>
      </w:r>
      <w:r w:rsidR="00ED14C4">
        <w:t>Resources</w:t>
      </w:r>
      <w:r w:rsidRPr="005765C5" w:rsidR="00ED14C4">
        <w:t xml:space="preserve"> </w:t>
      </w:r>
      <w:r w:rsidRPr="005765C5">
        <w:t xml:space="preserve">and </w:t>
      </w:r>
      <w:r w:rsidR="00ED14C4">
        <w:t>Resources</w:t>
      </w:r>
      <w:r w:rsidRPr="005765C5" w:rsidR="00ED14C4">
        <w:t xml:space="preserve"> </w:t>
      </w:r>
      <w:r w:rsidRPr="005765C5">
        <w:t xml:space="preserve">that have increased their Capacity since the previous Summer Capability Period due to changes in their generating equipment </w:t>
      </w:r>
      <w:r w:rsidR="00ED14C4">
        <w:t xml:space="preserve">and/or Demand Reduction capabilities </w:t>
      </w:r>
      <w:r w:rsidRPr="005765C5">
        <w:t xml:space="preserve">may, after satisfying the deliverability </w:t>
      </w:r>
      <w:r w:rsidRPr="005765C5">
        <w:rPr>
          <w:rFonts w:eastAsia="Times New Roman"/>
          <w:snapToGrid w:val="0"/>
          <w:szCs w:val="20"/>
        </w:rPr>
        <w:t>requirements</w:t>
      </w:r>
      <w:r w:rsidRPr="005765C5">
        <w:t xml:space="preserve"> set forth in the </w:t>
      </w:r>
      <w:r w:rsidRPr="005765C5">
        <w:t xml:space="preserve">applicable provisions of Attachment X, Attachment Z and Attachment S to </w:t>
      </w:r>
      <w:r w:rsidRPr="005765C5">
        <w:rPr>
          <w:rFonts w:eastAsia="Times New Roman"/>
          <w:snapToGrid w:val="0"/>
          <w:szCs w:val="20"/>
        </w:rPr>
        <w:t>the</w:t>
      </w:r>
      <w:r w:rsidRPr="005765C5">
        <w:t xml:space="preserve"> ISO OATT, qualify to supply Unforced Capacity on a foregoing basis during the Summer Capability Period based upon a DMNC test, or the DMGC test of a </w:t>
      </w:r>
      <w:r w:rsidR="00ED14C4">
        <w:t>Resource</w:t>
      </w:r>
      <w:r w:rsidRPr="005765C5" w:rsidR="00ED14C4">
        <w:t xml:space="preserve"> </w:t>
      </w:r>
      <w:r w:rsidRPr="005765C5">
        <w:t xml:space="preserve">of a Behind-the-Meter Net Generation Resource, that is performed and reported to the ISO after March 1 and prior to the beginning of the Summer Capability Period DMNC Test Period.  The </w:t>
      </w:r>
      <w:r w:rsidR="00ED14C4">
        <w:t>Resource</w:t>
      </w:r>
      <w:r w:rsidRPr="005765C5" w:rsidR="00ED14C4">
        <w:t xml:space="preserve"> </w:t>
      </w:r>
      <w:r w:rsidRPr="005765C5">
        <w:t xml:space="preserve">will be required to verify the claimed DMNC or DMGC rating by performing an additional test during the Summer DMNC Test Period.  Any shortfall between the amount of Unforced Capacity supplied by the </w:t>
      </w:r>
      <w:r w:rsidR="00ED14C4">
        <w:t>Resource</w:t>
      </w:r>
      <w:r w:rsidRPr="005765C5" w:rsidR="00ED14C4">
        <w:t xml:space="preserve"> </w:t>
      </w:r>
      <w:r w:rsidRPr="005765C5">
        <w:t>for the Summer Capability Period and the amount verified during the Summer DMNC Test Period will be</w:t>
      </w:r>
      <w:r>
        <w:t xml:space="preserve"> subject to deficiency charges p</w:t>
      </w:r>
      <w:r w:rsidRPr="005765C5">
        <w:t xml:space="preserve">ursuant to Section 5.14.2 of this Tariff.  The deficiency charges will be applied to no more than the difference between the </w:t>
      </w:r>
      <w:r w:rsidR="00ED14C4">
        <w:t>Resource’s</w:t>
      </w:r>
      <w:r w:rsidRPr="005765C5" w:rsidR="00ED14C4">
        <w:t xml:space="preserve"> </w:t>
      </w:r>
      <w:r w:rsidRPr="005765C5">
        <w:t xml:space="preserve">previous Summer Capability Period Unforced Capacity and the amount of Unforced Capacity equivalent the </w:t>
      </w:r>
      <w:r w:rsidR="00ED14C4">
        <w:t>Resource</w:t>
      </w:r>
      <w:r w:rsidRPr="005765C5" w:rsidR="00ED14C4">
        <w:t xml:space="preserve"> </w:t>
      </w:r>
      <w:r w:rsidRPr="005765C5">
        <w:t>supplied for the Summer Capability Period.</w:t>
      </w:r>
    </w:p>
    <w:p w:rsidR="00CA3ADB" w14:paraId="2AD3A62F" w14:textId="48A4C8B3">
      <w:pPr>
        <w:pStyle w:val="Bodypara"/>
      </w:pPr>
      <w:r w:rsidRPr="005765C5">
        <w:t xml:space="preserve">New </w:t>
      </w:r>
      <w:r w:rsidR="00ED14C4">
        <w:t>Resources</w:t>
      </w:r>
      <w:r w:rsidRPr="005765C5" w:rsidR="00ED14C4">
        <w:t xml:space="preserve"> </w:t>
      </w:r>
      <w:r w:rsidRPr="005765C5">
        <w:t xml:space="preserve">and </w:t>
      </w:r>
      <w:r w:rsidR="00ED14C4">
        <w:t>Resources</w:t>
      </w:r>
      <w:r w:rsidRPr="005765C5" w:rsidR="00ED14C4">
        <w:t xml:space="preserve"> </w:t>
      </w:r>
      <w:r w:rsidRPr="005765C5">
        <w:t xml:space="preserve">that have increased their Capacity since the previous Winter Capability </w:t>
      </w:r>
      <w:r w:rsidRPr="005765C5">
        <w:rPr>
          <w:rFonts w:eastAsia="Times New Roman"/>
          <w:snapToGrid w:val="0"/>
          <w:szCs w:val="20"/>
        </w:rPr>
        <w:t>Period</w:t>
      </w:r>
      <w:r w:rsidRPr="005765C5">
        <w:t xml:space="preserve"> due to changes in their generating equipment </w:t>
      </w:r>
      <w:r w:rsidR="00ED14C4">
        <w:t xml:space="preserve">and/or Demand Reduction capabilities </w:t>
      </w:r>
      <w:r w:rsidRPr="005765C5">
        <w:t xml:space="preserve">may, after satisfying the deliverability requirements set forth in the applicable provisions of Attachment X, Attachment Z and Attachment S to the ISO OATT, qualify to supply Unforced Capacity on a foregoing basis during the Winter Capability Period based upon a DMNC test, or the DMGC test of a </w:t>
      </w:r>
      <w:r w:rsidR="00ED14C4">
        <w:t>Resource</w:t>
      </w:r>
      <w:r w:rsidRPr="005765C5" w:rsidR="00ED14C4">
        <w:t xml:space="preserve"> </w:t>
      </w:r>
      <w:r w:rsidRPr="005765C5">
        <w:t xml:space="preserve">of a Behind-the-Meter Net Generation Resource, that is performed and reported to the ISO after September 1 and prior to the beginning of the Winter Capability Period DMNC Test Period.  The </w:t>
      </w:r>
      <w:r w:rsidR="00ED14C4">
        <w:t>Resource</w:t>
      </w:r>
      <w:r w:rsidRPr="005765C5" w:rsidR="00ED14C4">
        <w:t xml:space="preserve"> </w:t>
      </w:r>
      <w:r w:rsidRPr="005765C5">
        <w:t xml:space="preserve">will be required to verify the claimed DMNC or DMGC rating by performing an additional test during the Winter Capability Period DMNC Test Period.  Any shortfall between the amount of Unforced Capacity certified by the </w:t>
      </w:r>
      <w:r w:rsidR="00ED14C4">
        <w:t>Resource</w:t>
      </w:r>
      <w:r w:rsidRPr="005765C5" w:rsidR="00ED14C4">
        <w:t xml:space="preserve"> </w:t>
      </w:r>
      <w:r w:rsidRPr="005765C5">
        <w:t xml:space="preserve">for the Winter Capability Period and the amount </w:t>
      </w:r>
      <w:r w:rsidRPr="005765C5">
        <w:t xml:space="preserve">verified during the Winter Capability Period DMNC Test Period will be subject to deficiency charges pursuant to Section 5.14.2 of this Tariff.  The deficiency charges will be applied to no more than the difference between the </w:t>
      </w:r>
      <w:r w:rsidR="00ED14C4">
        <w:t>Resource’s</w:t>
      </w:r>
      <w:r w:rsidRPr="005765C5" w:rsidR="00ED14C4">
        <w:t xml:space="preserve"> </w:t>
      </w:r>
      <w:r w:rsidRPr="005765C5">
        <w:t xml:space="preserve">previous Winter Capability Period </w:t>
      </w:r>
      <w:r w:rsidRPr="005765C5">
        <w:rPr>
          <w:rFonts w:eastAsia="Times New Roman"/>
          <w:snapToGrid w:val="0"/>
          <w:szCs w:val="20"/>
        </w:rPr>
        <w:t>Unforced</w:t>
      </w:r>
      <w:r w:rsidRPr="005765C5">
        <w:t xml:space="preserve"> Capacity and the amount of Unforced Capacity equivalent the </w:t>
      </w:r>
      <w:r w:rsidR="00ED14C4">
        <w:t>Resource</w:t>
      </w:r>
      <w:r w:rsidRPr="005765C5" w:rsidR="00ED14C4">
        <w:t xml:space="preserve"> </w:t>
      </w:r>
      <w:r w:rsidRPr="005765C5">
        <w:t>supplied for the Winter Capability Period.</w:t>
      </w:r>
    </w:p>
    <w:p w:rsidR="00CA3ADB" w14:paraId="149B2428" w14:textId="11E25C4C">
      <w:pPr>
        <w:pStyle w:val="Bodypara"/>
      </w:pPr>
      <w:r>
        <w:t xml:space="preserve">Any Installed Capacity Supplier, except as noted in Section 5.12.11 of this </w:t>
      </w:r>
      <w:r>
        <w:rPr>
          <w:iCs/>
        </w:rPr>
        <w:t xml:space="preserve">ISO Services </w:t>
      </w:r>
      <w:r>
        <w:t>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w:t>
      </w:r>
      <w:r w:rsidRPr="005765C5">
        <w:t>e MW for an External Installed Capacity Supplier, is subject to sanctions pursuant to Section 5.12.12.2 of this Tariff.  If an entity other than the owner of an Energy Limited Resource, Generator, System Resource, Behind-the-Meter Net Generation Resource, Control Area System Resource</w:t>
      </w:r>
      <w:r w:rsidR="00ED14C4">
        <w:t>, or Aggregation</w:t>
      </w:r>
      <w:r w:rsidRPr="005765C5">
        <w:t xml:space="preserve"> that is providing Unfor</w:t>
      </w:r>
      <w:r>
        <w:t xml:space="preserve">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Pr>
          <w:iCs/>
        </w:rPr>
        <w:t xml:space="preserve">ISO Services </w:t>
      </w:r>
      <w:r>
        <w:t>Tariff.</w:t>
      </w:r>
    </w:p>
    <w:p w:rsidR="00CA3ADB" w14:paraId="1EC6C629" w14:textId="77777777">
      <w:pPr>
        <w:pStyle w:val="Heading3"/>
      </w:pPr>
      <w:bookmarkStart w:id="27" w:name="_Toc261446160"/>
      <w:r>
        <w:t>5.12.9</w:t>
      </w:r>
      <w:r>
        <w:tab/>
        <w:t>Sales of Unforced Capacity by System Resources</w:t>
      </w:r>
      <w:bookmarkEnd w:id="27"/>
    </w:p>
    <w:p w:rsidR="00CA3ADB" w14:paraId="4AACCC24" w14:textId="77777777">
      <w:pPr>
        <w:pStyle w:val="Bodypara"/>
        <w:rPr>
          <w:rStyle w:val="FooterChar"/>
        </w:rPr>
      </w:pPr>
      <w:r>
        <w:t xml:space="preserve">Installed </w:t>
      </w:r>
      <w:r>
        <w:rPr>
          <w:rFonts w:eastAsia="Times New Roman"/>
          <w:snapToGrid w:val="0"/>
          <w:szCs w:val="20"/>
        </w:rPr>
        <w:t>Capacity</w:t>
      </w:r>
      <w:r>
        <w:t xml:space="preserve"> Suppliers offering to supply Unforced Capacity associated with Internal System Resources shall submit for each of their Resources the Operating Data and DMNC testing data or historical data described in Sections 5.12.1 and 5.12.5 of this </w:t>
      </w:r>
      <w:r>
        <w:rPr>
          <w:iCs/>
        </w:rPr>
        <w:t xml:space="preserve">ISO Services </w:t>
      </w:r>
      <w:r>
        <w:t xml:space="preserve">Tariff in accordance with the ISO Procedures.  Such Installed Capacity Suppliers will be allowed to supply the amount of Unforced Capacity that the ISO determines pursuant to the </w:t>
      </w:r>
      <w:r>
        <w:t>ISO Procedures to reflect the appropriate Equivalent Demand Forced Outage Rate.  Installed Capacity Suppliers offering to sell the Unforced Capacity associated with System Resources may only aggregate Resources in acco</w:t>
      </w:r>
      <w:r>
        <w:rPr>
          <w:rStyle w:val="FooterChar"/>
        </w:rPr>
        <w:t>rdance with the ISO Procedures.</w:t>
      </w:r>
    </w:p>
    <w:p w:rsidR="00CA3ADB" w14:paraId="62205239" w14:textId="77777777">
      <w:pPr>
        <w:pStyle w:val="Heading3"/>
      </w:pPr>
      <w:bookmarkStart w:id="28" w:name="_Toc261446161"/>
      <w:r>
        <w:t>5.12.10</w:t>
      </w:r>
      <w:r>
        <w:tab/>
        <w:t>Curtailment of External Transactions In-Hour</w:t>
      </w:r>
      <w:bookmarkEnd w:id="28"/>
    </w:p>
    <w:p w:rsidR="00CA3ADB" w14:paraId="0CFF4A0C" w14:textId="77777777">
      <w:pPr>
        <w:pStyle w:val="Bodypara"/>
      </w:pPr>
      <w:r>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14:paraId="38C87312" w14:textId="77777777">
      <w:pPr>
        <w:pStyle w:val="Heading3"/>
      </w:pPr>
      <w:bookmarkStart w:id="29" w:name="_Toc261446162"/>
      <w:r>
        <w:t>5.12.11</w:t>
      </w:r>
      <w:r>
        <w:tab/>
        <w:t>Responsible Interface Parties, Municipally-Owned Generation, Energy Limited Resources, Intermittent Power Resources</w:t>
      </w:r>
      <w:bookmarkEnd w:id="29"/>
      <w:r>
        <w:t>, and Installed Capacity Suppliers with Energy Duration Limitations</w:t>
      </w:r>
    </w:p>
    <w:p w:rsidR="00CA3ADB" w14:paraId="7CF342AA" w14:textId="77777777">
      <w:pPr>
        <w:pStyle w:val="Heading4"/>
      </w:pPr>
      <w:bookmarkStart w:id="30" w:name="_Toc261446163"/>
      <w:r>
        <w:t xml:space="preserve">5.12.11.1  </w:t>
      </w:r>
      <w:r>
        <w:tab/>
      </w:r>
      <w:bookmarkEnd w:id="30"/>
      <w:r>
        <w:t>Responsible Interface Parties</w:t>
      </w:r>
    </w:p>
    <w:p w:rsidR="00CA3ADB" w14:paraId="1B517EC1" w14:textId="77777777">
      <w:pPr>
        <w:pStyle w:val="Bodypara"/>
      </w:pPr>
      <w:r>
        <w:t xml:space="preserve">Responsible Interface Parties may qualify as Installed Capacity Suppliers, without having to comply with the daily bidding, scheduling, and notification requirements set forth in Section 5.12.7 of this </w:t>
      </w:r>
      <w:r>
        <w:rPr>
          <w:rFonts w:eastAsia="Times New Roman"/>
          <w:snapToGrid w:val="0"/>
          <w:szCs w:val="20"/>
        </w:rPr>
        <w:t>Tariff</w:t>
      </w:r>
      <w:r>
        <w:t xml:space="preserve">, if their Special Case Resources are available to operate at the direction of the ISO in order to reduce Load from the NYS Transmission System and/or the distribution system for a minimum of four (4) consecutive hours each day, following notice of 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w:t>
      </w:r>
      <w:r>
        <w:t xml:space="preserve">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upwards the LSE Unforced Capacity Obligation to prevent double-counting.   </w:t>
      </w:r>
    </w:p>
    <w:p w:rsidR="00CA3ADB" w14:paraId="2078637E" w14:textId="77777777">
      <w:pPr>
        <w:pStyle w:val="Bodypara"/>
      </w:pPr>
      <w:r>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14:paraId="458DA726" w14:textId="77777777">
      <w:pPr>
        <w:pStyle w:val="Bodypara"/>
      </w:pPr>
      <w:r>
        <w:t xml:space="preserve">The ISO will </w:t>
      </w:r>
      <w:r>
        <w:rPr>
          <w:rFonts w:eastAsia="Times New Roman"/>
          <w:snapToGrid w:val="0"/>
          <w:szCs w:val="20"/>
        </w:rPr>
        <w:t>have</w:t>
      </w:r>
      <w:r>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ISO, pursuant to ISO </w:t>
      </w:r>
      <w:r>
        <w:rPr>
          <w:rFonts w:eastAsia="Times New Roman"/>
          <w:snapToGrid w:val="0"/>
          <w:szCs w:val="20"/>
        </w:rPr>
        <w:t>Procedures</w:t>
      </w:r>
      <w:r>
        <w:t xml:space="preserve">, to reflect the Load serving equivalence of the hours they are actually available.  </w:t>
      </w:r>
    </w:p>
    <w:p w:rsidR="00CA3ADB" w14:paraId="6652367E" w14:textId="77777777">
      <w:pPr>
        <w:pStyle w:val="Bodypara"/>
      </w:pPr>
      <w:r>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Pr>
          <w:rFonts w:eastAsia="Times New Roman"/>
          <w:snapToGrid w:val="0"/>
          <w:szCs w:val="20"/>
        </w:rPr>
        <w:t>ISO</w:t>
      </w:r>
      <w:r>
        <w:t xml:space="preserve"> Procedures.</w:t>
      </w:r>
    </w:p>
    <w:p w:rsidR="00CA3ADB" w14:paraId="7B0169DE" w14:textId="2C1EDAF4">
      <w:pPr>
        <w:pStyle w:val="Bodypara"/>
      </w:pPr>
      <w:r>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Pr>
          <w:rFonts w:eastAsia="Times New Roman"/>
          <w:snapToGrid w:val="0"/>
          <w:szCs w:val="20"/>
        </w:rPr>
        <w:t>Load</w:t>
      </w:r>
      <w:r>
        <w:t xml:space="preserve"> or testing other than DMNC or sustained disconnect, as appropriate, unless agreed to by the customer.</w:t>
      </w:r>
    </w:p>
    <w:p w:rsidR="00BF6F3A" w14:paraId="3EA2B270" w14:textId="5F5E6245">
      <w:pPr>
        <w:pStyle w:val="Bodypara"/>
      </w:pPr>
      <w:r>
        <w:t>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Services Tariff Section 5.12.11.1, for Demand Reductions caused by Distributed Energy Resources performing in a performance test.  When a Demand Side Resource that is participating, or has participated, in a DER Aggregation and seeks to become a Special Case Resource, the Resource’s Average Coincident Load shall be calculated in accordance with the provisions of Services Tariff Section 5.12.11.1 and its subparts.</w:t>
      </w:r>
    </w:p>
    <w:p w:rsidR="00CA3ADB" w14:paraId="004771A6" w14:textId="77777777">
      <w:pPr>
        <w:pStyle w:val="Bodypara"/>
      </w:pPr>
      <w:r>
        <w:t xml:space="preserve">Unforced Capacity supplied in a Bilateral Transaction by a Special Case Resource pursuant to this subsection may only be resold if the purchasing entity or the Installed Capacity Marketer has agreed to </w:t>
      </w:r>
      <w:r>
        <w:rPr>
          <w:rFonts w:eastAsia="Times New Roman"/>
          <w:snapToGrid w:val="0"/>
          <w:szCs w:val="20"/>
        </w:rPr>
        <w:t>become</w:t>
      </w:r>
      <w:r>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14:paraId="4FDF947E" w14:textId="77777777">
      <w:pPr>
        <w:pStyle w:val="Bodypara"/>
      </w:pPr>
      <w:r>
        <w:t xml:space="preserve">Responsible Interface Parties that were requested to reduce Load in any month shall submit performance data to the NYISO, within 75 days of each called event or test, in accordance with ISO </w:t>
      </w:r>
      <w:r>
        <w:rPr>
          <w:rFonts w:eastAsia="Times New Roman"/>
          <w:snapToGrid w:val="0"/>
          <w:szCs w:val="20"/>
        </w:rPr>
        <w:t>Procedures</w:t>
      </w:r>
      <w:r>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that Responsible Interface Parties or by resolving the issue pursuant to other provisions of this Services Tariff or other lawful means. </w:t>
      </w:r>
    </w:p>
    <w:p w:rsidR="00CA3ADB" w:rsidRPr="005765C5" w14:paraId="4F507F8A" w14:textId="0973F0E1">
      <w:pPr>
        <w:pStyle w:val="Bodypara"/>
      </w:pPr>
      <w:r>
        <w:t xml:space="preserve">Provided the Responsible Interface Party supplies evidence of such reductions in 75 days, the ISO shall pay the Responsible Interface Party  that, through their Special Case Resources,  caused a verified Load reduction in response to (i) an ISO request to perform due to a forecast reserve shortage (ii) an ISO </w:t>
      </w:r>
      <w:r>
        <w:rPr>
          <w:rFonts w:eastAsia="Times New Roman"/>
          <w:snapToGrid w:val="0"/>
          <w:szCs w:val="20"/>
        </w:rPr>
        <w:t>declared</w:t>
      </w:r>
      <w:r>
        <w:t xml:space="preserve"> Major Emergency State, (iii) an ISO request to perform made in response to a request for assistance for Load relief purposes or as a result of a Local </w:t>
      </w:r>
      <w:r>
        <w:t>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w:t>
      </w:r>
      <w:r w:rsidRPr="005765C5">
        <w:t>ocedures</w:t>
      </w:r>
      <w:r w:rsidRPr="00BF6F3A">
        <w:t>.</w:t>
      </w:r>
      <w:r w:rsidRPr="005765C5">
        <w:t xml:space="preserve">  </w:t>
      </w:r>
    </w:p>
    <w:p w:rsidR="00CA3ADB" w14:paraId="5E39AA39" w14:textId="7413D2C0">
      <w:pPr>
        <w:pStyle w:val="Bodypara"/>
      </w:pPr>
      <w:r w:rsidRPr="005765C5">
        <w:t xml:space="preserve">In the event that a Responsible Interface Party’s Minimum Payment Nomination for a Special Case Resource, for the number of hours of requested performance or the minimum four (4) hour period, whichever is </w:t>
      </w:r>
      <w:r w:rsidRPr="005765C5">
        <w:rPr>
          <w:rFonts w:eastAsia="Times New Roman"/>
          <w:snapToGrid w:val="0"/>
          <w:szCs w:val="20"/>
        </w:rPr>
        <w:t>greater</w:t>
      </w:r>
      <w:r w:rsidRPr="005765C5">
        <w:t>,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w:t>
      </w:r>
      <w:r>
        <w:t xml:space="preserve"> called by the ISO shall be equal to the zonal </w:t>
      </w:r>
      <w:r>
        <w:rPr>
          <w:rFonts w:eastAsia="Times New Roman"/>
          <w:snapToGrid w:val="0"/>
          <w:szCs w:val="20"/>
        </w:rPr>
        <w:t>Real</w:t>
      </w:r>
      <w:r>
        <w:t xml:space="preserve"> Time LBMP for the MWh of Energy reduced within the test period.</w:t>
      </w:r>
    </w:p>
    <w:p w:rsidR="00CA3ADB" w14:paraId="6544256C" w14:textId="77777777">
      <w:pPr>
        <w:pStyle w:val="Bodypara"/>
      </w:pPr>
      <w:r>
        <w:t xml:space="preserve">Transmission Owners that require assistance from enrolled Special Case Resources with Local Generators larger than 100 kW and Special Case Resources with Loads capable of being interrupted upon demand for Load relief purposes or </w:t>
      </w:r>
      <w:r>
        <w:t>as a result of</w:t>
      </w:r>
      <w:r>
        <w:t xml:space="preserve"> a Local Reliability Rule, </w:t>
      </w:r>
      <w:r>
        <w:rPr>
          <w:rFonts w:eastAsia="Times New Roman"/>
          <w:snapToGrid w:val="0"/>
          <w:szCs w:val="20"/>
        </w:rPr>
        <w:t>shall</w:t>
      </w:r>
      <w:r>
        <w:t xml:space="preserve"> direct their requests for assistance to the ISO for implementation consistent with the terms of this 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accordance with ISO Procedures, shall be voluntary and the responsiveness of the Special Case Resource shall not be taken into account for performance measurement.</w:t>
      </w:r>
    </w:p>
    <w:p w:rsidR="00CA3ADB" w14:paraId="025C7C7A" w14:textId="77777777">
      <w:pPr>
        <w:pStyle w:val="subhead"/>
      </w:pPr>
      <w:r>
        <w:t>5.12.11.1.1</w:t>
      </w:r>
      <w:r>
        <w:tab/>
        <w:t xml:space="preserve">Special Case Resource Average Coincident Load </w:t>
      </w:r>
    </w:p>
    <w:p w:rsidR="00CA3ADB" w14:paraId="311FF870" w14:textId="77777777">
      <w:pPr>
        <w:pStyle w:val="Bodypara"/>
      </w:pPr>
      <w:r>
        <w:t xml:space="preserve">The ISO must receive from the Responsible Interface Party that enrolls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Pr>
          <w:rFonts w:eastAsia="Times New Roman"/>
          <w:snapToGrid w:val="0"/>
          <w:szCs w:val="20"/>
        </w:rPr>
        <w:t>source</w:t>
      </w:r>
      <w:r>
        <w:t xml:space="preserve"> located behind the SCR’s meter, that served some of the SCR’s Load.  </w:t>
      </w:r>
    </w:p>
    <w:p w:rsidR="00CA3ADB" w14:paraId="328AA94C" w14:textId="0701DE37">
      <w:pPr>
        <w:pStyle w:val="Bodypara"/>
      </w:pPr>
      <w:r>
        <w:t>Beginning with the Winter 2011-2012 Capability Period and thereafter, the ISO shall use the average of the highest twenty (20) one-</w:t>
      </w:r>
      <w:r>
        <w:rPr>
          <w:rFonts w:eastAsia="Times New Roman"/>
          <w:snapToGrid w:val="0"/>
          <w:szCs w:val="20"/>
        </w:rPr>
        <w:t>hour</w:t>
      </w:r>
      <w:r>
        <w:t xml:space="preserve"> peak Loads of the SCR taken from the Load data reported for the Capability Period SCR Load Zone Peak Hours during the Prior Equivalent Capability Period, and taking into account the resource’s reported verified Load reduction in a Transmission Owner’s de</w:t>
      </w:r>
      <w:r w:rsidRPr="005765C5">
        <w:t xml:space="preserve">mand response program in hours coincident with any of these hours, to create a SCR ACL baseline. </w:t>
      </w:r>
      <w:r w:rsidRPr="005925C1" w:rsidR="005925C1">
        <w:t xml:space="preserve"> </w:t>
      </w:r>
      <w:r w:rsidRPr="005765C5">
        <w:t>The ISO will post to its website the Capability Period SCR Load Zone Peak Hours for each zone ninety (90) days prior to the beginning of the Capability Period for which the ACL will be in effect.</w:t>
      </w:r>
      <w:r>
        <w:t xml:space="preserve"> </w:t>
      </w:r>
    </w:p>
    <w:p w:rsidR="00CA3ADB" w14:paraId="0C8D9377" w14:textId="77777777">
      <w:pPr>
        <w:pStyle w:val="Bodypara"/>
      </w:pPr>
      <w:r>
        <w:t xml:space="preserve">In the SCR </w:t>
      </w:r>
      <w:r>
        <w:rPr>
          <w:rFonts w:eastAsia="Times New Roman"/>
          <w:snapToGrid w:val="0"/>
          <w:szCs w:val="20"/>
        </w:rPr>
        <w:t>enrollment</w:t>
      </w:r>
      <w:r>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14:paraId="2E5F0151"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w:t>
      </w:r>
      <w:r>
        <w:rPr>
          <w:rFonts w:ascii="Times New Roman" w:hAnsi="Times New Roman"/>
          <w:sz w:val="24"/>
          <w:szCs w:val="24"/>
        </w:rPr>
        <w:t xml:space="preserve">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14:paraId="0DC2460A"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enrollment period.  RIPs may not report Incremental ACL values for any SCRs that are enrolled in the Capability Period with a Provisional ACL.</w:t>
      </w:r>
    </w:p>
    <w:p w:rsidR="00CA3ADB" w14:paraId="7105974A"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A reduction in a SCR’s Load that is supplied by the NYS Transmission System and/or distribution system and meets the criteria for a SCR Change of Status must be reported as a SCR Change of Status as provided by Section 5.12.11.1.3 of this Services Tariff and in accordance with ISO Procedures.</w:t>
      </w:r>
    </w:p>
    <w:p w:rsidR="00CA3ADB" w14:paraId="7E89F1C8" w14:textId="77777777">
      <w:pPr>
        <w:pStyle w:val="Bodypara"/>
      </w:pPr>
      <w:r>
        <w:t xml:space="preserve">The ACL is the basis for the upper limit of ICAP, except in circumstances when the SCR has reported a SCR Change of Status or reported an Incremental ACL pursuant to Sections </w:t>
      </w:r>
      <w:r>
        <w:t>5.12.11.1.3 and 5.12.11.1.5 of this Services Tariff.  The basis for the upper limit of ICAP for a SCR that has experienced a SCR Change of Status or reported an Incremental ACL shall be the Net ACL.</w:t>
      </w:r>
    </w:p>
    <w:p w:rsidR="00CA3ADB" w14:paraId="0D0D8842" w14:textId="77777777">
      <w:pPr>
        <w:pStyle w:val="Heading4"/>
      </w:pPr>
      <w:r>
        <w:t>5.12.11.1.2</w:t>
      </w:r>
      <w:r>
        <w:tab/>
        <w:t xml:space="preserve">Use of a Provisional Average Coincident Load </w:t>
      </w:r>
    </w:p>
    <w:p w:rsidR="00CA3ADB" w14:paraId="5B311687" w14:textId="77777777">
      <w:pPr>
        <w:pStyle w:val="Bodypara"/>
      </w:pPr>
      <w:r>
        <w:rPr>
          <w:bCs/>
        </w:rPr>
        <w:t xml:space="preserve">Prior to the Summer 2014 Capability Period, </w:t>
      </w:r>
      <w:r>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Pr>
          <w:rFonts w:eastAsia="Times New Roman"/>
          <w:snapToGrid w:val="0"/>
          <w:szCs w:val="20"/>
        </w:rPr>
        <w:t>applicable</w:t>
      </w:r>
      <w:r>
        <w:t xml:space="preserve"> to a new SCR for a maximum of three (3) consecutive Capability Periods, beginning with the Capability Period in which the SCR is first enrolled. </w:t>
      </w:r>
    </w:p>
    <w:p w:rsidR="00CA3ADB" w14:paraId="053A2EFC"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t>
      </w:r>
      <w:r>
        <w:rPr>
          <w:rFonts w:ascii="Times New Roman" w:hAnsi="Times New Roman"/>
          <w:sz w:val="24"/>
          <w:szCs w:val="24"/>
        </w:rPr>
        <w:t xml:space="preserve">with the same RIP, beginning with the Capability Period in which the SCR is first enrolled by the RIP. </w:t>
      </w:r>
    </w:p>
    <w:p w:rsidR="00CA3ADB" w14:paraId="24292947" w14:textId="77777777">
      <w:pPr>
        <w:pStyle w:val="Bodypara"/>
      </w:pPr>
      <w:r>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14:paraId="5A215751" w14:textId="77777777">
      <w:pPr>
        <w:pStyle w:val="Bodypara"/>
      </w:pPr>
      <w:r>
        <w:t>The Provisional ACL is the RIP’s forecast of the SCR’s ACL and shall be the basis for the upper limit of ICAP for which the RIP may enroll the SCR during the Capability Period.</w:t>
      </w:r>
    </w:p>
    <w:p w:rsidR="00CA3ADB" w14:paraId="4C1FA60D" w14:textId="79D66E9C">
      <w:pPr>
        <w:pStyle w:val="Bodypara"/>
      </w:pPr>
      <w:r>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00B972B4">
        <w:t xml:space="preserve"> </w:t>
      </w:r>
    </w:p>
    <w:p w:rsidR="00CA3ADB" w14:paraId="75322293" w14:textId="77777777">
      <w:pPr>
        <w:pStyle w:val="Bodypara"/>
      </w:pPr>
      <w:r>
        <w:t xml:space="preserve">Following the Capability Period for which a resource with a Provisional ACL was enrolled, the RIP shall </w:t>
      </w:r>
      <w:r>
        <w:rPr>
          <w:rFonts w:eastAsia="Times New Roman"/>
          <w:snapToGrid w:val="0"/>
          <w:szCs w:val="20"/>
        </w:rPr>
        <w:t>provide</w:t>
      </w:r>
      <w:r>
        <w:t xml:space="preserve"> to the ISO the metered Load data required to compute the Verified ACL of the resource.  The ISO shall compare the Provisional ACL to the Verified ACL  to determine, after applying the applicable performance factor, whether the UCAP of the SCR had been oversold and whether a shortfall has occurred as provided under Section 5.14.2 of this Services Tariff.  If the RIP fails to provide verification data required to compute the Verified ACL of the resource enrolled with a Provisional ACL by the deadline: (a) the Verified ACL of the resource shall be set to zero for each Capability Period in which the resource with a </w:t>
      </w:r>
      <w:r>
        <w:t xml:space="preserve">Provisional ACL was enrolled and verification data was not reported, and (b) the RIP may be subject to penalties in accordance with this Services Tariff.  </w:t>
      </w:r>
    </w:p>
    <w:p w:rsidR="00CA3ADB" w14:paraId="1F656A26" w14:textId="77777777">
      <w:pPr>
        <w:pStyle w:val="subhead"/>
      </w:pPr>
      <w:r>
        <w:t>5.12.11.1.3</w:t>
      </w:r>
      <w:r>
        <w:tab/>
        <w:t xml:space="preserve">Reporting a </w:t>
      </w:r>
      <w:r>
        <w:rPr>
          <w:szCs w:val="24"/>
        </w:rPr>
        <w:t xml:space="preserve">SCR Change of Load or </w:t>
      </w:r>
      <w:r>
        <w:t xml:space="preserve">SCR Change of Status </w:t>
      </w:r>
    </w:p>
    <w:p w:rsidR="00CA3ADB" w14:paraId="10A5FA51" w14:textId="77777777">
      <w:pPr>
        <w:pStyle w:val="subhead"/>
      </w:pPr>
      <w:r>
        <w:t xml:space="preserve">5.12.11.1.3.1 </w:t>
      </w:r>
      <w:r>
        <w:tab/>
        <w:t>SCR Change of Load</w:t>
      </w:r>
    </w:p>
    <w:p w:rsidR="00CA3ADB" w14:paraId="4A80A5FB" w14:textId="77777777">
      <w:pPr>
        <w:pStyle w:val="Bodypara"/>
      </w:pPr>
      <w:r>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14:paraId="446C5CA2" w14:textId="77777777">
      <w:pPr>
        <w:pStyle w:val="subhead"/>
      </w:pPr>
      <w:r>
        <w:t xml:space="preserve">5.12.11.1.3.2 </w:t>
      </w:r>
      <w:r>
        <w:tab/>
        <w:t>SCR Change of Status</w:t>
      </w:r>
    </w:p>
    <w:p w:rsidR="00CA3ADB" w14:paraId="0C2A9383" w14:textId="77777777">
      <w:pPr>
        <w:pStyle w:val="Bodypara"/>
      </w:pPr>
      <w:r>
        <w:t>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shall be evaluated for a potential shortfall under Section 5.14.2 of this Services Tariff.  Failure by the RIP to report a SCR Change of Status shall be evaluated as a potential shortfall under Section 5.14.2 of this Service Tariff and evaluated for failure to report under Section 5.12.12.2 of this Services Tariff.</w:t>
      </w:r>
    </w:p>
    <w:p w:rsidR="00CA3ADB" w14:paraId="5869C834" w14:textId="77777777">
      <w:pPr>
        <w:pStyle w:val="Bodypara"/>
      </w:pPr>
      <w:r>
        <w:t xml:space="preserve">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w:t>
      </w:r>
      <w:r>
        <w:t>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14:paraId="6D3254E5" w14:textId="77777777">
      <w:pPr>
        <w:pStyle w:val="subhead"/>
      </w:pPr>
      <w:r>
        <w:t>5.12.11.1.4</w:t>
      </w:r>
      <w:r>
        <w:tab/>
        <w:t>Average Coincident Load of an SCR Aggregation</w:t>
      </w:r>
    </w:p>
    <w:p w:rsidR="00CA3ADB" w14:paraId="3EEFC582" w14:textId="77777777">
      <w:pPr>
        <w:pStyle w:val="Bodypara"/>
      </w:pPr>
      <w:r>
        <w:t xml:space="preserve">The ISO shall compute the Average Coincident Load of an SCR Aggregation each month in accordance with ISO </w:t>
      </w:r>
      <w:r>
        <w:rPr>
          <w:rFonts w:eastAsia="Times New Roman"/>
          <w:snapToGrid w:val="0"/>
          <w:szCs w:val="20"/>
        </w:rPr>
        <w:t>Procedures</w:t>
      </w:r>
      <w:r>
        <w:t>.</w:t>
      </w:r>
    </w:p>
    <w:p w:rsidR="00CA3ADB" w14:paraId="0F78F0DC" w14:textId="77777777">
      <w:pPr>
        <w:pStyle w:val="subhead"/>
      </w:pPr>
      <w:r>
        <w:t xml:space="preserve">5.12.11.1.5 </w:t>
      </w:r>
      <w:r>
        <w:tab/>
        <w:t>Use of an Incremental Average Coincident Load</w:t>
      </w:r>
    </w:p>
    <w:p w:rsidR="00CA3ADB" w14:paraId="2DBCD93A" w14:textId="77777777">
      <w:pPr>
        <w:pStyle w:val="Bodypara"/>
      </w:pPr>
      <w:r>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14:paraId="40E64D7A" w14:textId="77777777">
      <w:pPr>
        <w:pStyle w:val="Bodypara"/>
      </w:pPr>
      <w:r>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w:t>
      </w:r>
      <w:r>
        <w:t>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the Service Tariff.</w:t>
      </w:r>
    </w:p>
    <w:p w:rsidR="00CA3ADB" w14:paraId="5E371F21" w14:textId="77777777">
      <w:pPr>
        <w:pStyle w:val="Bodypara"/>
      </w:pPr>
      <w:r>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14:paraId="03B21EB7" w14:textId="77777777">
      <w:pPr>
        <w:pStyle w:val="Bodypara"/>
      </w:pPr>
      <w:r>
        <w:t xml:space="preserve">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increased once per Capability Period and the amount of the increase enrolled must remain the same for all months for which the Incremental ACL is reported.  A SCR enrolled in the Capability Period with an Incremental ACL may not be enrolled by another RIP for the </w:t>
      </w:r>
      <w:r>
        <w:t>remainder of the Capability Period.  A SCR enrolled in the Capability Period with a Provisional ACL is not eligible to enroll with an Incremental ACL.</w:t>
      </w:r>
    </w:p>
    <w:p w:rsidR="00CA3ADB" w:rsidP="005145B6" w14:paraId="63511145" w14:textId="6B893EBC">
      <w:pPr>
        <w:pStyle w:val="Bodypara"/>
      </w:pPr>
      <w:r>
        <w:t xml:space="preserve">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Hours, and </w:t>
      </w:r>
      <w:r>
        <w:t>taking into account</w:t>
      </w:r>
      <w:r>
        <w:t xml:space="preserve"> the resource’s reported verified Load reduction in a Transmission Owner’s demand response program in hours coincident with any of t</w:t>
      </w:r>
      <w:r w:rsidRPr="005765C5">
        <w:t>hese hours</w:t>
      </w:r>
      <w:r w:rsidR="008603EC">
        <w:t>.</w:t>
      </w:r>
      <w:r w:rsidR="00B972B4">
        <w:t xml:space="preserve"> </w:t>
      </w:r>
      <w:r w:rsidRPr="005B7DCD">
        <w:t>The Verified ACL shall be the average of the two (2) highest Monthly ACLs during the Capability Period in which the SCR was enrolled with an Incremental ACL within the same Capability Period</w:t>
      </w:r>
      <w:r>
        <w:t xml:space="preserve">. </w:t>
      </w:r>
    </w:p>
    <w:p w:rsidR="00CA3ADB" w14:paraId="38106626" w14:textId="77777777">
      <w:pPr>
        <w:pStyle w:val="Bodypara"/>
      </w:pPr>
      <w:r>
        <w:t xml:space="preserve">For any month in which verification data for the Incremental ACL is required but not timely submitted to the ISO in accordance with ISO procedures, the ISO shall set the metered 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with an Incremental ACL in the Capability Period in which the RIP failed to provide the minimum verification data required.  In addition, a RIP may be subject to a penalty for each </w:t>
      </w:r>
      <w:r>
        <w:t>month for which verification data was required and not reported in accordance with this Services Tariff.</w:t>
      </w:r>
    </w:p>
    <w:p w:rsidR="00CA3ADB" w14:paraId="682B90BA" w14:textId="77777777">
      <w:pPr>
        <w:pStyle w:val="Bodypara"/>
      </w:pPr>
      <w:r>
        <w:t xml:space="preserve">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  </w:t>
      </w:r>
    </w:p>
    <w:p w:rsidR="00CA3ADB" w14:paraId="6A5C1000" w14:textId="77777777">
      <w:pPr>
        <w:pStyle w:val="Bodypara"/>
      </w:pPr>
      <w:r>
        <w:t>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14:paraId="68DEC76F" w14:textId="77777777">
      <w:pPr>
        <w:pStyle w:val="Heading4"/>
      </w:pPr>
      <w:bookmarkStart w:id="31" w:name="_Toc261446164"/>
      <w:r>
        <w:t>5.12.11.2</w:t>
      </w:r>
      <w:r>
        <w:tab/>
        <w:t>Existing Municipally-Owned Generation</w:t>
      </w:r>
      <w:bookmarkEnd w:id="31"/>
    </w:p>
    <w:p w:rsidR="00CA3ADB" w14:paraId="4595DBB2" w14:textId="77777777">
      <w:pPr>
        <w:pStyle w:val="Bodypara"/>
      </w:pPr>
      <w:r>
        <w:t xml:space="preserve">A municipal utility that owns existing generation in excess of its Unforced Capacity requirement, net of NYPA-provided Capacity may, consistent with the deliverability requirements set forth in Attachment X and Attachment S to the ISO OATT, offer the excess Capacity for sale as Installed Capacity provided that it is willing to operate the generation at the ISO’s request, and provided that the Energy produced is deliverable to the New York State </w:t>
      </w:r>
      <w:r>
        <w:t xml:space="preserve">Power System.  Such a municipal utility shall not be required to comply with the requirement of Section 5.12.7 of this Tariff that an Installed Capacity Supplier bid into the Energy market or </w:t>
      </w:r>
      <w:r>
        <w:t>enter into</w:t>
      </w:r>
      <w:r>
        <w:t xml:space="preserve"> Bilateral Transactions.  Municipal utilities shall, however, be required to submit their typical physical operating parameters, such as their start-up times, to the ISO.  This subsection is only applicable to municipally-owned generation in service or under construction as of December 31, 1999.</w:t>
      </w:r>
    </w:p>
    <w:p w:rsidR="00CA3ADB" w14:paraId="211A047F" w14:textId="77777777">
      <w:pPr>
        <w:pStyle w:val="Heading4"/>
      </w:pPr>
      <w:bookmarkStart w:id="32" w:name="_Toc261446165"/>
      <w:r>
        <w:t>5.12.11.3</w:t>
      </w:r>
      <w:r>
        <w:tab/>
        <w:t>Energy Limited Resources</w:t>
      </w:r>
      <w:bookmarkEnd w:id="32"/>
    </w:p>
    <w:p w:rsidR="00CA3ADB" w14:paraId="7E2B44E3" w14:textId="32D3211F">
      <w:pPr>
        <w:pStyle w:val="Bodypara"/>
      </w:pPr>
      <w:r>
        <w:t xml:space="preserve">An Energy Limited </w:t>
      </w:r>
      <w:r>
        <w:rPr>
          <w:rFonts w:eastAsia="Times New Roman"/>
          <w:snapToGrid w:val="0"/>
          <w:szCs w:val="20"/>
        </w:rPr>
        <w:t>Resource</w:t>
      </w:r>
      <w:r w:rsidR="00D31250">
        <w:t xml:space="preserve"> </w:t>
      </w:r>
      <w:r w:rsidR="005B7DCD">
        <w:t xml:space="preserve">or an Aggregation that is </w:t>
      </w:r>
      <w:r w:rsidRPr="005B7DCD" w:rsidR="005B7DCD">
        <w:t xml:space="preserve">comprised entirely of a single Resource-type </w:t>
      </w:r>
      <w:r w:rsidR="005B7DCD">
        <w:t xml:space="preserve">Energy Limited Resource </w:t>
      </w:r>
      <w:r w:rsidR="00D31250">
        <w:t xml:space="preserve">may, consistent with the deliverability requirements set forth in Attachment X and Attachment S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t>Energy Limited Resources</w:t>
      </w:r>
      <w:r w:rsidR="00D31250">
        <w:t xml:space="preserve"> </w:t>
      </w:r>
      <w:r w:rsidR="005B7DCD">
        <w:t xml:space="preserve">or Aggregations that are Energy Limited Resources </w:t>
      </w:r>
      <w:r w:rsidR="00D31250">
        <w:t xml:space="preserve">shall also Bid a </w:t>
      </w:r>
      <w:r w:rsidR="00D31250">
        <w:rPr>
          <w:iCs/>
        </w:rPr>
        <w:t>Normal U</w:t>
      </w:r>
      <w:r w:rsidR="00D31250">
        <w:t xml:space="preserve">pper </w:t>
      </w:r>
      <w:r w:rsidR="00D31250">
        <w:rPr>
          <w:iCs/>
        </w:rPr>
        <w:t>O</w:t>
      </w:r>
      <w:r w:rsidR="00D31250">
        <w:t xml:space="preserve">perating </w:t>
      </w:r>
      <w:r w:rsidR="00D31250">
        <w:rPr>
          <w:iCs/>
        </w:rPr>
        <w:t>L</w:t>
      </w:r>
      <w:r w:rsidR="00D31250">
        <w:t>imit</w:t>
      </w:r>
      <w:r w:rsidR="00D31250">
        <w:rPr>
          <w:iCs/>
        </w:rPr>
        <w:t xml:space="preserve"> or Emergency Upper Operating Limit, as applicable,</w:t>
      </w:r>
      <w:r w:rsidR="00D31250">
        <w:t xml:space="preserve"> designating </w:t>
      </w:r>
      <w:r w:rsidR="00D31250">
        <w:rPr>
          <w:iCs/>
        </w:rPr>
        <w:t xml:space="preserve">their </w:t>
      </w:r>
      <w:r w:rsidR="00D31250">
        <w:t xml:space="preserve">desired operating limits.  </w:t>
      </w:r>
      <w:r>
        <w:t xml:space="preserve">Energy Limited Resources </w:t>
      </w:r>
      <w:r w:rsidR="005B7DCD">
        <w:t xml:space="preserve">or Aggregations that are Energy Limited Resources </w:t>
      </w:r>
      <w:r w:rsidR="00D31250">
        <w:t xml:space="preserve">that are not scheduled in the Day-Ahead Market to operate at a level above their bid-in upper operating limit, may be scheduled </w:t>
      </w:r>
      <w:r w:rsidR="00D31250">
        <w:rPr>
          <w:iCs/>
        </w:rPr>
        <w:t>in the RTC</w:t>
      </w:r>
      <w:r w:rsidR="00D31250">
        <w:t xml:space="preserve">, or may be called in </w:t>
      </w:r>
      <w:r w:rsidR="00D31250">
        <w:rPr>
          <w:iCs/>
        </w:rPr>
        <w:t>r</w:t>
      </w:r>
      <w:r w:rsidR="00D31250">
        <w:t>eal-</w:t>
      </w:r>
      <w:r w:rsidR="00D31250">
        <w:rPr>
          <w:iCs/>
        </w:rPr>
        <w:t>t</w:t>
      </w:r>
      <w:r w:rsidR="00D31250">
        <w:t xml:space="preserve">ime pursuant to a manual intervention by ISO dispatchers, who will account for the fact that Energy Limited Resource </w:t>
      </w:r>
      <w:r w:rsidR="005B7DCD">
        <w:t xml:space="preserve">or an Aggregation that is an Energy Limited Resource </w:t>
      </w:r>
      <w:r w:rsidR="00D31250">
        <w:t>may not be capable of responding.</w:t>
      </w:r>
    </w:p>
    <w:p w:rsidR="00CA3ADB" w14:paraId="5CFEC6FA" w14:textId="77777777">
      <w:pPr>
        <w:pStyle w:val="Heading4"/>
      </w:pPr>
      <w:bookmarkStart w:id="33" w:name="_Toc261446166"/>
      <w:r>
        <w:t>5.12.11.4</w:t>
      </w:r>
      <w:r>
        <w:tab/>
        <w:t>Intermittent Power Resources</w:t>
      </w:r>
      <w:bookmarkEnd w:id="33"/>
    </w:p>
    <w:p w:rsidR="00CA3ADB" w14:paraId="3524513E" w14:textId="14AC5E9D">
      <w:pPr>
        <w:pStyle w:val="Bodypara"/>
      </w:pPr>
      <w:r>
        <w:t xml:space="preserve">Intermittent Power Resources that depend upon wind or solar as their fuel </w:t>
      </w:r>
      <w:r w:rsidR="005B7DCD">
        <w:t xml:space="preserve">or Aggregations that are entirely comprised of Intermittent Power Resources that depend on the </w:t>
      </w:r>
      <w:r w:rsidR="005B7DCD">
        <w:t xml:space="preserve">same type of fuel, with that fuel being wind or solar, </w:t>
      </w:r>
      <w:r>
        <w:t xml:space="preserve">may qualify as Installed Capacity Suppliers, without having to comply with the daily bidding and scheduling requirements set forth in Section 5.12.7 of this Tariff, and may, consistent with the deliverability requirements set forth in Attachment X and Attachment S to the ISO OATT, claim up to their nameplate Capacity as Installed Capacity.  To qualify as Installed Capacity Suppliers, such Intermittent Power Resources </w:t>
      </w:r>
      <w:r>
        <w:rPr>
          <w:rFonts w:eastAsia="Times New Roman"/>
          <w:snapToGrid w:val="0"/>
          <w:szCs w:val="20"/>
        </w:rPr>
        <w:t>shall</w:t>
      </w:r>
      <w:r>
        <w:t xml:space="preserve"> comply with the requirements of Section 5.12.1 and the outage notification requirements of 5.12.7 of this Tariff.  </w:t>
      </w:r>
    </w:p>
    <w:p w:rsidR="00CA3ADB" w14:paraId="4D4D8AFE" w14:textId="77777777">
      <w:pPr>
        <w:pStyle w:val="Heading4"/>
      </w:pPr>
      <w:r>
        <w:t xml:space="preserve">5.12.11.5 </w:t>
      </w:r>
      <w:r>
        <w:tab/>
        <w:t xml:space="preserve">Installed Capacity Suppliers with an Energy Duration Limitation </w:t>
      </w:r>
    </w:p>
    <w:p w:rsidR="00CA3ADB" w14:paraId="32DA1973" w14:textId="77777777">
      <w:pPr>
        <w:pStyle w:val="Bodypara"/>
      </w:pPr>
      <w:r>
        <w:t xml:space="preserve">A Resource with an Energy Duration Limitation may, consistent with the deliverability requirements set forth in Attachment X and Attachment S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Pr>
          <w:iCs/>
        </w:rPr>
        <w:t>Normal U</w:t>
      </w:r>
      <w:r>
        <w:t xml:space="preserve">pper </w:t>
      </w:r>
      <w:r>
        <w:rPr>
          <w:iCs/>
        </w:rPr>
        <w:t>O</w:t>
      </w:r>
      <w:r>
        <w:t xml:space="preserve">perating </w:t>
      </w:r>
      <w:r>
        <w:rPr>
          <w:iCs/>
        </w:rPr>
        <w:t>L</w:t>
      </w:r>
      <w:r>
        <w:t>imit</w:t>
      </w:r>
      <w:r>
        <w:rPr>
          <w:iCs/>
        </w:rPr>
        <w:t xml:space="preserve"> or Emergency Upper Operating Limit, as applicable,</w:t>
      </w:r>
      <w:r>
        <w:t xml:space="preserve"> designating </w:t>
      </w:r>
      <w:r>
        <w:rPr>
          <w:iCs/>
        </w:rPr>
        <w:t xml:space="preserve">their </w:t>
      </w:r>
      <w:r>
        <w:t xml:space="preserve">desired operating limits.  Installed Capacity Suppliers with an Energy Duration Limitation that are not scheduled in the Day-Ahead Market to operate at a level above their bid-in upper operating limit, may be scheduled </w:t>
      </w:r>
      <w:r>
        <w:rPr>
          <w:iCs/>
        </w:rPr>
        <w:t>in the RTC</w:t>
      </w:r>
      <w:r>
        <w:t xml:space="preserve">, or may be called in </w:t>
      </w:r>
      <w:r>
        <w:rPr>
          <w:iCs/>
        </w:rPr>
        <w:t>r</w:t>
      </w:r>
      <w:r>
        <w:t>eal-</w:t>
      </w:r>
      <w:r>
        <w:rPr>
          <w:iCs/>
        </w:rPr>
        <w:t>t</w:t>
      </w:r>
      <w:r>
        <w:t>ime pursuant to a manual intervention by ISO dispatchers, who will account for the fact that Installed Capacity Suppliers with an Energy Duration Limitation may not be capable of responding.</w:t>
      </w:r>
    </w:p>
    <w:p w:rsidR="00CA3ADB" w14:paraId="740F2F2F" w14:textId="77777777">
      <w:pPr>
        <w:pStyle w:val="Heading3"/>
      </w:pPr>
      <w:bookmarkStart w:id="34" w:name="_Toc261446167"/>
      <w:r>
        <w:t>5.12.12</w:t>
      </w:r>
      <w:r>
        <w:tab/>
        <w:t>Sanctions Applicable to Installed Capacity Suppliers and Transmission Owners</w:t>
      </w:r>
      <w:bookmarkEnd w:id="34"/>
    </w:p>
    <w:p w:rsidR="00CA3ADB" w14:paraId="0592192F" w14:textId="77777777">
      <w:pPr>
        <w:pStyle w:val="Bodypara"/>
      </w:pPr>
      <w:r>
        <w:t xml:space="preserve">Pursuant to this section, the ISO may impose financial sanctions on Installed Capacity Suppliers and Transmission Owners that fail to comply with certain provisions of this Tariff.  The ISO shall notify Installed </w:t>
      </w:r>
      <w:r>
        <w:rPr>
          <w:rFonts w:eastAsia="Times New Roman"/>
          <w:snapToGrid w:val="0"/>
          <w:szCs w:val="20"/>
        </w:rPr>
        <w:t>Capacity</w:t>
      </w:r>
      <w:r>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14:paraId="50DCE455" w14:textId="77777777">
      <w:pPr>
        <w:pStyle w:val="Bodypara"/>
      </w:pPr>
      <w:r>
        <w:t>Any sanctions collected by the ISO pursuant to this section will be applied to reduce the Rate Schedule 1 charge under this Tariff.</w:t>
      </w:r>
    </w:p>
    <w:p w:rsidR="00CA3ADB" w14:paraId="45307CED" w14:textId="77777777">
      <w:pPr>
        <w:pStyle w:val="Heading4"/>
      </w:pPr>
      <w:bookmarkStart w:id="35" w:name="_Toc261446168"/>
      <w:r>
        <w:t>5.12.12.1</w:t>
      </w:r>
      <w:r>
        <w:tab/>
        <w:t>Sanctions for Failing to Provide Required Information</w:t>
      </w:r>
      <w:bookmarkEnd w:id="35"/>
    </w:p>
    <w:p w:rsidR="00CA3ADB" w14:paraId="70356716" w14:textId="77777777">
      <w:pPr>
        <w:pStyle w:val="Bodypara"/>
      </w:pPr>
      <w:r>
        <w:t xml:space="preserve">If (i) an Installed Capacity Supplier fails to provide the information required by Sections 5.12.1.1, 5.12.1.2, 5.12.1.3, 5.12.1.4, 5.12.1.7 or 5.12.1.8 of this Tariff in a timely fashion, or (ii) a Supplier of Unforced Capacity from External System Resources located in an External Control Area or from a Control Area System </w:t>
      </w:r>
      <w:r>
        <w:rPr>
          <w:rFonts w:eastAsia="Times New Roman"/>
          <w:snapToGrid w:val="0"/>
          <w:szCs w:val="20"/>
        </w:rPr>
        <w:t>Resource</w:t>
      </w:r>
      <w:r>
        <w:t xml:space="preserve"> that has agreed not to Curtail the Energy associated with such Installed Capacity, or to afford it the same Curtailment priority that it affords its own Control Area Load, fails to provide the information required for certification as 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w:t>
      </w:r>
      <w:r>
        <w:t xml:space="preserve">of up to the higher of $500 or $5 per MW of Installed Capacity that the Generator, System Resource, or Control Area System Resource in question </w:t>
      </w:r>
      <w:r>
        <w:t>is capable of providing</w:t>
      </w:r>
      <w:r>
        <w:t xml:space="preserve">.  Starting on the tenth day that the required information is late, the ISO may impose a daily financial sanction of up to the higher of $1000 or $10 per MW of Installed Capacity that the Generator, System Resource, or Control Area System Resource in question </w:t>
      </w:r>
      <w:r>
        <w:t>is capable of providing</w:t>
      </w:r>
      <w:r>
        <w:t>.</w:t>
      </w:r>
    </w:p>
    <w:p w:rsidR="00CA3ADB" w14:paraId="4BC0B2C6" w14:textId="77777777">
      <w:pPr>
        <w:pStyle w:val="Bodypara"/>
      </w:pPr>
      <w:r>
        <w:t xml:space="preserve">If an Installed Capacity Supplier fails to provide the information required by Subsection 5.12.1.5 of this 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Pr>
          <w:rFonts w:eastAsia="Times New Roman"/>
          <w:snapToGrid w:val="0"/>
          <w:szCs w:val="20"/>
        </w:rPr>
        <w:t>information</w:t>
      </w:r>
      <w:r>
        <w:t xml:space="preserve"> is late, the ISO may impose a daily financial sanction up to the higher of $500 or $5 per MW of Installed Capacity that the Generator, System Resource, or Control Area System Resource in question </w:t>
      </w:r>
      <w:r>
        <w:t>is capable of providing</w:t>
      </w:r>
      <w:r>
        <w:t>.</w:t>
      </w:r>
    </w:p>
    <w:p w:rsidR="00CA3ADB" w14:paraId="3A973277" w14:textId="77777777">
      <w:pPr>
        <w:pStyle w:val="Bodypara"/>
      </w:pPr>
      <w:r>
        <w:t xml:space="preserve">If a TO fails to provide the information required by Subsection 5.11.3 of this Tariff in a timely fashion, the ISO may take the following actions:  On the first day that required information is late, the ISO shall notify the TO that required information is past due and that it reserves the right to impose </w:t>
      </w:r>
      <w:r>
        <w:rPr>
          <w:rFonts w:eastAsia="Times New Roman"/>
          <w:snapToGrid w:val="0"/>
          <w:szCs w:val="20"/>
        </w:rPr>
        <w:t>financial</w:t>
      </w:r>
      <w:r>
        <w:t xml:space="preserve"> sanctions if the information is not provided by the end of the following day.  Starting on the third day that the required information is late, the ISO may impose a daily financial sanction up to $5,000 a day.  Starting on the tenth day that required information is late, the ISO may impose a daily financial sanction up to $10,000.</w:t>
      </w:r>
    </w:p>
    <w:p w:rsidR="00CA3ADB" w14:paraId="5577E595" w14:textId="77777777">
      <w:pPr>
        <w:pStyle w:val="Heading4"/>
      </w:pPr>
      <w:bookmarkStart w:id="36" w:name="_Toc261446169"/>
      <w:r>
        <w:t>5.12.12.2</w:t>
      </w:r>
      <w:r>
        <w:tab/>
        <w:t>Sanctions for Failing to Comply with Scheduling, Bidding, and Notification Requirements</w:t>
      </w:r>
      <w:bookmarkEnd w:id="36"/>
    </w:p>
    <w:p w:rsidR="00CA3ADB" w14:paraId="73AF639C" w14:textId="77777777">
      <w:pPr>
        <w:pStyle w:val="Bodypara"/>
      </w:pPr>
      <w:r>
        <w:t xml:space="preserve">On any day in which an Installed Capacity Supplier fails to comply with the scheduling, bidding, or notification requirements of Sections 5.12.1.6 or 5.12.1.10, or with Section 5.12.7 of </w:t>
      </w:r>
      <w:r>
        <w:t xml:space="preserve">this Tariff, or in which a Supplier of Installed Capacity from External System Resources or Control Area System Resources located in an External Control Area that has agreed not to Curtail the Energy associated with such Installed Capacity, or to afford it the same Curtailment priority that it affords its own Control Area Load, fails to comply with scheduling, bidding, or notification requirements for certification as an Installed Capacity Supplier established in the ISO Procedures, the ISO may </w:t>
      </w:r>
      <w:r>
        <w:rPr>
          <w:rFonts w:eastAsia="Times New Roman"/>
          <w:snapToGrid w:val="0"/>
          <w:szCs w:val="20"/>
        </w:rPr>
        <w:t>impose</w:t>
      </w:r>
      <w:r>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Market Auction corresponding to where the </w:t>
      </w:r>
      <w:r>
        <w:t>Installed Capacity Supplier’s capacity cleared, and for each month in which the Installed Capacity Supplier is determined not to have complied with the foregoing requirements.</w:t>
      </w:r>
    </w:p>
    <w:p w:rsidR="00CA3ADB" w14:paraId="2A8D59C0" w14:textId="77777777">
      <w:pPr>
        <w:pStyle w:val="Bodypara"/>
      </w:pPr>
      <w:r>
        <w:t>In addition to the financial sanctions described above, the Installed Capacity Supplier offering a Generator that participates as a Co-located Storage Resource may also be subject to a financial sanction for failing to comply with the requirements of Services Tariff Section 5.12.7.1.  When such Installed Capacity Supplier fails to comply with Services Tariff Section 5.12.7.1,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Services Tariff Section 5.12.7.1 is also subject to a penalty under this Section for failing to comply with the scheduling, bidding, or notification requirements of Sections 5.12.1.6 or 5.12.1.10, or with Section 5.12.7 of this Tariff for the same Day-Ahead Market hour, the NYISO shall assess only the greater of the two sanctions for that hour.</w:t>
      </w:r>
    </w:p>
    <w:p w:rsidR="00CA3ADB" w14:paraId="0BB8DAD1" w14:textId="77777777">
      <w:pPr>
        <w:pStyle w:val="Bodypara"/>
      </w:pPr>
      <w:r>
        <w:t xml:space="preserve">In addition, if any Installed Capacity Supplier fails to comply with the scheduling, bidding, or notification requirements of </w:t>
      </w:r>
      <w:r>
        <w:rPr>
          <w:rFonts w:eastAsia="Times New Roman"/>
          <w:snapToGrid w:val="0"/>
          <w:szCs w:val="20"/>
        </w:rPr>
        <w:t>Sections</w:t>
      </w:r>
      <w:r>
        <w:t xml:space="preserve"> 5.12.1.6 or 5.12.1.10, or with Section 5.12.7 of this Tariff, or if an Installed Capacity Supplier of Unforced Capacity from an External Control Aria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CA3ADB" w14:paraId="4DAF4304" w14:textId="77777777">
      <w:pPr>
        <w:pStyle w:val="Bodypara"/>
      </w:pPr>
      <w:r>
        <w:t>To the extent an Installed Capacity Supplier of Unforced Capacity from an External Control Area or an External Generator associated with an Unforced Capacity sale using UDRs or EDRs fails to comply with Section 5.12.1.10 of this 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14:paraId="4DC934CC" w14:textId="77777777">
      <w:pPr>
        <w:pStyle w:val="BodyText"/>
        <w:spacing w:before="240" w:line="480" w:lineRule="auto"/>
        <w:ind w:left="101" w:right="115" w:firstLine="619"/>
      </w:pPr>
      <w:r>
        <w:t>Where:</w:t>
      </w:r>
    </w:p>
    <w:p w:rsidR="00CA3ADB" w14:paraId="3AFB580B" w14:textId="77777777">
      <w:pPr>
        <w:pStyle w:val="BodyText"/>
        <w:spacing w:before="69" w:line="480" w:lineRule="auto"/>
        <w:ind w:left="1620" w:right="121" w:hanging="720"/>
      </w:pPr>
      <w:r>
        <w:t>N = total number of hours of SRE calls during the relevant Obligation Procurement Period</w:t>
      </w:r>
    </w:p>
    <w:p w:rsidR="00CA3ADB" w14:paraId="576D60FB" w14:textId="77777777">
      <w:pPr>
        <w:pStyle w:val="BodyText"/>
        <w:spacing w:before="69" w:line="480" w:lineRule="auto"/>
        <w:ind w:left="1620" w:right="121" w:hanging="720"/>
      </w:pPr>
      <w:r>
        <w:t xml:space="preserve">PRICE = </w:t>
      </w:r>
      <w:r>
        <w:rPr>
          <w:spacing w:val="-1"/>
        </w:rPr>
        <w:t xml:space="preserve">ICAP Spot Market Auction clearing price for the </w:t>
      </w:r>
      <w:r>
        <w:t>relevant Obligation Procurement Period</w:t>
      </w:r>
    </w:p>
    <w:p w:rsidR="00CA3ADB"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oMath>
      <w:r w:rsidR="00D31250">
        <w:t xml:space="preserve">for each hour </w:t>
      </w:r>
      <w:r w:rsidR="00D31250">
        <w:rPr>
          <w:i/>
        </w:rPr>
        <w:t>n</w:t>
      </w:r>
      <w:r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00D31250">
        <w:rPr>
          <w:spacing w:val="-1"/>
        </w:rPr>
        <w:t xml:space="preserve"> in MWh, minus (x) any MWh that are unavailable</w:t>
      </w:r>
      <w:r w:rsidR="00D31250">
        <w:t xml:space="preserve"> due to </w:t>
      </w:r>
      <w:r w:rsidR="00D31250">
        <w:rPr>
          <w:spacing w:val="-1"/>
        </w:rPr>
        <w:t>an</w:t>
      </w:r>
      <w:r w:rsidR="00D31250">
        <w:t xml:space="preserve"> outage </w:t>
      </w:r>
      <w:r w:rsidR="00D31250">
        <w:rPr>
          <w:spacing w:val="-1"/>
        </w:rPr>
        <w:t>as</w:t>
      </w:r>
      <w:r w:rsidR="00D31250">
        <w:t xml:space="preserve"> </w:t>
      </w:r>
      <w:r w:rsidR="00D31250">
        <w:rPr>
          <w:spacing w:val="-1"/>
        </w:rPr>
        <w:t>defined</w:t>
      </w:r>
      <w:r w:rsidR="00D31250">
        <w:t xml:space="preserve"> in the </w:t>
      </w:r>
      <w:r w:rsidR="00D31250">
        <w:rPr>
          <w:spacing w:val="-1"/>
        </w:rPr>
        <w:t>ISO</w:t>
      </w:r>
      <w:r w:rsidR="00D31250">
        <w:t xml:space="preserve"> </w:t>
      </w:r>
      <w:r w:rsidR="00D31250">
        <w:rPr>
          <w:spacing w:val="-1"/>
        </w:rPr>
        <w:t>Procedures,</w:t>
      </w:r>
      <w:r w:rsidR="00D31250">
        <w:t xml:space="preserve"> or due to </w:t>
      </w:r>
      <w:r w:rsidR="00D31250">
        <w:rPr>
          <w:spacing w:val="-1"/>
        </w:rPr>
        <w:t>due to physical operating limitations affecting</w:t>
      </w:r>
      <w:r w:rsidR="00D31250">
        <w:t xml:space="preserve"> </w:t>
      </w:r>
      <w:r w:rsidR="00D31250">
        <w:rPr>
          <w:spacing w:val="-1"/>
        </w:rPr>
        <w:t xml:space="preserve">the </w:t>
      </w:r>
      <w:r w:rsidR="00D31250">
        <w:t>External Installed Capacity Supplier that is a Generator, or the External Generator associated with an Unforced Capacity sale using UDRs or EDRs</w:t>
      </w:r>
      <w:r w:rsidR="00D31250">
        <w:rPr>
          <w:spacing w:val="-1"/>
        </w:rPr>
        <w:t xml:space="preserve">, </w:t>
      </w:r>
      <w:r w:rsidR="00D31250">
        <w:t xml:space="preserve">or due to other </w:t>
      </w:r>
      <w:r w:rsidR="00D31250">
        <w:rPr>
          <w:spacing w:val="-1"/>
        </w:rPr>
        <w:t>operational</w:t>
      </w:r>
      <w:r w:rsidR="00D31250">
        <w:t xml:space="preserve"> issues that the ISO determines to be outside the Installed Capacity Supplier’s control</w:t>
      </w:r>
      <w:r w:rsidR="00D31250">
        <w:rPr>
          <w:spacing w:val="-1"/>
        </w:rPr>
        <w:t xml:space="preserve">, and (y) any MWh that were Bid as Imports to the NYCA at the appropriate Proxy </w:t>
      </w:r>
      <w:r w:rsidR="00D31250">
        <w:rPr>
          <w:spacing w:val="-1"/>
        </w:rPr>
        <w:t>Generator Bus at a price that was designed to ensure the Import was scheduled to the greatest extent possible, but that were not scheduled by the ISO</w:t>
      </w:r>
    </w:p>
    <w:p w:rsidR="00CA3ADB"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 xml:space="preserve">= </m:t>
        </m:r>
      </m:oMath>
      <w:r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00D31250">
        <w:rPr>
          <w:i/>
          <w:spacing w:val="-1"/>
        </w:rPr>
        <w:t>n</w:t>
      </w:r>
      <w:r w:rsidR="00D31250">
        <w:t xml:space="preserve"> of SRE calls during the relevant Obligation Procurement Period.</w:t>
      </w:r>
    </w:p>
    <w:p w:rsidR="00CA3ADB" w14:paraId="706634EF" w14:textId="77777777">
      <w:pPr>
        <w:pStyle w:val="Bodypara"/>
      </w:pPr>
      <w:r>
        <w:t>If an Installed Capacity Supplier’s failure to fully comply with this Tariff would, in addition to being assessed a deficiency charge calculated in accordance with the formula set forth above, also permit the ISO to impose a different deficiency charge or a financial sanction under this Section 5.12.12.2, or to impose a deficiency charge for a shortfall under Section 5.14.2.2 of this Tariff, then the ISO shall only impose the penalty for failure to comply with Section 5.12.1.10 of this Tariff on the Installed Capacity Supplier for the hour(s) in which the Installed Capacity Supplier failed to meet its obligations under Section 5.12.1.10 of this Tariff.</w:t>
      </w:r>
    </w:p>
    <w:p w:rsidR="00CA3ADB" w14:paraId="1C09A6DE"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w:t>
      </w:r>
      <w:r>
        <w:rPr>
          <w:rFonts w:ascii="Times New Roman" w:hAnsi="Times New Roman"/>
          <w:sz w:val="24"/>
          <w:szCs w:val="24"/>
        </w:rPr>
        <w:t>by up to one and one-half times the applicable Market-Clearing Price of Unforced Capacity determined in the ICAP Spot Market Auction for each such month.</w:t>
      </w:r>
    </w:p>
    <w:p w:rsidR="00CA3ADB" w14:paraId="39536332"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14:paraId="4F11591E" w14:textId="7777777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 as provided in Section 5.14.2. </w:t>
      </w:r>
    </w:p>
    <w:p w:rsidR="00CA3ADB" w14:paraId="6794B993" w14:textId="05BF46D5">
      <w:pPr>
        <w:pStyle w:val="Bodypara"/>
      </w:pPr>
      <w:r>
        <w:t xml:space="preserve">For each month in which a RIP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72726E" w:rsidP="0072726E" w14:paraId="53113087" w14:textId="77777777">
      <w:pPr>
        <w:pStyle w:val="Heading3"/>
      </w:pPr>
      <w:r>
        <w:t xml:space="preserve">5.12.13 </w:t>
      </w:r>
      <w:r>
        <w:tab/>
        <w:t>Aggregations</w:t>
      </w:r>
    </w:p>
    <w:p w:rsidR="0072726E" w:rsidP="0072726E" w14:paraId="557F81F5" w14:textId="27C351BE">
      <w:pPr>
        <w:pStyle w:val="Heading4"/>
      </w:pPr>
      <w:r>
        <w:t xml:space="preserve">5.12.13.1 </w:t>
      </w:r>
      <w:r>
        <w:tab/>
        <w:t xml:space="preserve">Resources </w:t>
      </w:r>
      <w:r w:rsidR="00BF6F3A">
        <w:t xml:space="preserve">Entering and </w:t>
      </w:r>
      <w:r>
        <w:t>Changing Aggregations</w:t>
      </w:r>
    </w:p>
    <w:p w:rsidR="003B52D4" w:rsidP="003B52D4" w14:paraId="488269ED" w14:textId="77777777">
      <w:pPr>
        <w:spacing w:line="480" w:lineRule="auto"/>
        <w:ind w:firstLine="720"/>
        <w:rPr>
          <w:rFonts w:ascii="Times New Roman" w:hAnsi="Times New Roman"/>
          <w:sz w:val="24"/>
          <w:szCs w:val="24"/>
        </w:rPr>
      </w:pPr>
      <w:bookmarkStart w:id="37" w:name="_Hlk124938644"/>
      <w:r>
        <w:rPr>
          <w:rFonts w:ascii="Times New Roman" w:hAnsi="Times New Roman"/>
          <w:sz w:val="24"/>
          <w:szCs w:val="24"/>
        </w:rPr>
        <w:t xml:space="preserve">A qualified Installed Capacity Supplier, which meets the requirements to participate in an Aggregation, may enter an Aggregation pursuant to the rules set forth in Services Tariff Section 4.1.10.3.  </w:t>
      </w:r>
    </w:p>
    <w:p w:rsidR="00BF6F3A" w:rsidP="00BF6F3A" w14:paraId="17854E45" w14:textId="77777777">
      <w:pPr>
        <w:spacing w:line="480" w:lineRule="auto"/>
        <w:ind w:firstLine="720"/>
        <w:rPr>
          <w:rFonts w:ascii="Times New Roman" w:hAnsi="Times New Roman"/>
          <w:sz w:val="24"/>
          <w:szCs w:val="24"/>
        </w:rPr>
      </w:pPr>
      <w:r>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Services Tariff Section 5.12.11.1.1.  When an existing Special Case Resource enters an Aggregation and becomes a Distributed Energy Resource at the beginning of a Capability Period (</w:t>
      </w:r>
      <w:r w:rsidRPr="005D3E93">
        <w:rPr>
          <w:rFonts w:ascii="Times New Roman" w:hAnsi="Times New Roman"/>
          <w:i/>
          <w:iCs/>
          <w:sz w:val="24"/>
          <w:szCs w:val="24"/>
        </w:rPr>
        <w:t>i.e.</w:t>
      </w:r>
      <w:r>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Services Tariff Section 5.12.11.1.1, if such value was calculated.</w:t>
      </w:r>
      <w:bookmarkEnd w:id="37"/>
    </w:p>
    <w:p w:rsidR="00BF6F3A" w:rsidP="00BF6F3A" w14:paraId="70186DBA" w14:textId="77777777">
      <w:pPr>
        <w:spacing w:line="480" w:lineRule="auto"/>
        <w:ind w:firstLine="720"/>
        <w:rPr>
          <w:rFonts w:ascii="Times New Roman" w:hAnsi="Times New Roman"/>
          <w:sz w:val="24"/>
          <w:szCs w:val="24"/>
        </w:rPr>
      </w:pPr>
      <w:r>
        <w:rPr>
          <w:rFonts w:ascii="Times New Roman" w:hAnsi="Times New Roman"/>
          <w:sz w:val="24"/>
          <w:szCs w:val="24"/>
        </w:rPr>
        <w:t xml:space="preserve">When a Generator with an approved in-period DMNC rating enters an Aggregation to become a Distributed Energy Resource, the maximum Installed Capacity that an Aggregator can </w:t>
      </w:r>
      <w:r>
        <w:rPr>
          <w:rFonts w:ascii="Times New Roman" w:hAnsi="Times New Roman"/>
          <w:sz w:val="24"/>
          <w:szCs w:val="24"/>
        </w:rPr>
        <w:t xml:space="preserve">declare for the Distributed Energy Resource shall be the minimum of the Generator’s approved in-period DMNC rating and the Generator’s CRIS.  </w:t>
      </w:r>
    </w:p>
    <w:p w:rsidR="0072726E" w:rsidRPr="0072726E" w:rsidP="0072726E" w14:paraId="17A988D2" w14:textId="77777777">
      <w:pPr>
        <w:pStyle w:val="Bodypara"/>
      </w:pPr>
      <w:r w:rsidRPr="00E341E4">
        <w:t>Individual Distributed Energy Resources may elect to leave their current Aggregation and join a new Aggregation pursuant to the Resources Changing Aggregation rules set forth in this Services Tariff section below and in Services Tariff section 4.1.10.3.  The Installed Capacity of a Distributed Energy</w:t>
      </w:r>
      <w:r w:rsidRPr="009C5E34">
        <w:t xml:space="preserve"> Resource that enters a new Aggregation will be assigned to the new Aggregation </w:t>
      </w:r>
      <w:r w:rsidRPr="009C5E34">
        <w:t>on a monthly basis</w:t>
      </w:r>
      <w:r w:rsidRPr="009C5E34">
        <w:t xml:space="preserve"> beginning on the first day of the month in which the Distributed Energy Resource enters the new Aggregation.  The Installed Capacity of a Distributed Energy Resource that exits an Aggregation will be removed from the Aggregation on the last day in which the Distributed Energy Resource is registered in the Aggregation.  The specific processes for transferring a Distributed Energy Resource and its Installed Capa</w:t>
      </w:r>
      <w:r w:rsidRPr="0072726E">
        <w:t xml:space="preserve">city to another Aggregation </w:t>
      </w:r>
      <w:r w:rsidRPr="0072726E">
        <w:t>are located in</w:t>
      </w:r>
      <w:r w:rsidRPr="0072726E">
        <w:t xml:space="preserve"> the ISO Procedures. </w:t>
      </w:r>
    </w:p>
    <w:p w:rsidR="0072726E" w:rsidRPr="0072726E" w:rsidP="0072726E" w14:paraId="5DF29A95" w14:textId="110B26E1">
      <w:pPr>
        <w:pStyle w:val="Bodypara"/>
        <w:rPr>
          <w:strike/>
        </w:rPr>
      </w:pPr>
      <w:r w:rsidRPr="0072726E">
        <w:t xml:space="preserve">An individual resource within an Aggregation may only change from </w:t>
      </w:r>
      <w:r w:rsidR="00BF6F3A">
        <w:t xml:space="preserve">participating in </w:t>
      </w:r>
      <w:r w:rsidRPr="0072726E">
        <w:t xml:space="preserve">a homogenous Aggregation that is not a DER Aggregation to </w:t>
      </w:r>
      <w:r w:rsidR="00BF6F3A">
        <w:t>participating in</w:t>
      </w:r>
      <w:r w:rsidRPr="0072726E" w:rsidR="00BF6F3A">
        <w:t xml:space="preserve"> </w:t>
      </w:r>
      <w:r w:rsidRPr="0072726E">
        <w:t xml:space="preserve">a DER Aggregation at the beginning of a Capability Year, provided that the Aggregation notifies the ISO by August 1 of the year prior to the beginning of the Capability Year.  An individual resource within an Aggregation may only change from </w:t>
      </w:r>
      <w:r w:rsidR="00BF6F3A">
        <w:t xml:space="preserve">participating in </w:t>
      </w:r>
      <w:r w:rsidRPr="0072726E">
        <w:t xml:space="preserve">a DER Aggregation to </w:t>
      </w:r>
      <w:r w:rsidR="00BF6F3A">
        <w:t xml:space="preserve">participating in </w:t>
      </w:r>
      <w:r w:rsidRPr="0072726E">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not a DER Aggregation would no longer qualify as a homogeneous Aggregation that is not a DER Aggregation, the homogeneous Aggregation that is not a DER Aggregation will maintain </w:t>
      </w:r>
      <w:r w:rsidRPr="0072726E">
        <w:t xml:space="preserve">the qualifications as a homogeneous Aggregation that is not a DER Aggregation for the remainder of the Capability Year, and, it will have to elect (i) a different Aggregation by August 1, (ii) to participate in the ISO </w:t>
      </w:r>
      <w:r>
        <w:t xml:space="preserve">Administered </w:t>
      </w:r>
      <w:r w:rsidRPr="00E341E4">
        <w:t xml:space="preserve">Markets as a Generator, if qualified, or (iii) to leave the ISO </w:t>
      </w:r>
      <w:r>
        <w:t xml:space="preserve">Administered </w:t>
      </w:r>
      <w:r w:rsidRPr="00E341E4">
        <w:t>Markets for the following Capability Year.  If the composition of a DER Aggregation changes during a Capability Year such that the DER Aggregation would no longer qualify as a DER Agg</w:t>
      </w:r>
      <w:r w:rsidRPr="009C5E34">
        <w:t xml:space="preserve">regation, the DER Aggregation will maintain the qualifications as a DER Aggregation for the remainder of the Capability Year, and, it will have to elect (i) a different Aggregation by August 1, (ii) to participate in the ISO </w:t>
      </w:r>
      <w:r>
        <w:t xml:space="preserve">Administered </w:t>
      </w:r>
      <w:r w:rsidRPr="00E341E4">
        <w:t xml:space="preserve">Markets as a Generator, if qualified, or (iii) to leave the ISO </w:t>
      </w:r>
      <w:r>
        <w:t xml:space="preserve">Administered </w:t>
      </w:r>
      <w:r w:rsidRPr="00E341E4">
        <w:t>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w:t>
      </w:r>
      <w:r w:rsidRPr="0072726E">
        <w:t xml:space="preserve">lity Year and provided the output data in accordance with ISO Procedures. </w:t>
      </w:r>
    </w:p>
    <w:p w:rsidR="0072726E" w:rsidRPr="00E341E4" w:rsidP="0072726E" w14:paraId="3F212C1B" w14:textId="77777777">
      <w:pPr>
        <w:pStyle w:val="Heading44"/>
        <w:rPr>
          <w:szCs w:val="24"/>
        </w:rPr>
      </w:pPr>
      <w:r w:rsidRPr="0072726E">
        <w:rPr>
          <w:szCs w:val="24"/>
        </w:rPr>
        <w:t xml:space="preserve">5.12.13.2 </w:t>
      </w:r>
      <w:r>
        <w:rPr>
          <w:szCs w:val="24"/>
        </w:rPr>
        <w:tab/>
      </w:r>
      <w:r w:rsidRPr="00E341E4">
        <w:rPr>
          <w:szCs w:val="24"/>
        </w:rPr>
        <w:t>Time-stacking Resources in an Aggregation</w:t>
      </w:r>
    </w:p>
    <w:p w:rsidR="0072726E" w:rsidP="0072726E" w14:paraId="76A5E9D0" w14:textId="77777777">
      <w:pPr>
        <w:pStyle w:val="Bodypara"/>
        <w:rPr>
          <w:snapToGrid w:val="0"/>
        </w:rPr>
      </w:pPr>
      <w:r>
        <w:rPr>
          <w:snapToGrid w:val="0"/>
        </w:rPr>
        <w:t xml:space="preserve">An Aggregator may sequentially stack individual Distributed Energy Resources within an Aggregation </w:t>
      </w:r>
      <w:r>
        <w:rPr>
          <w:snapToGrid w:val="0"/>
        </w:rPr>
        <w:t xml:space="preserve">in </w:t>
      </w:r>
      <w:r w:rsidRPr="0072726E">
        <w:t>order</w:t>
      </w:r>
      <w:r>
        <w:rPr>
          <w:snapToGrid w:val="0"/>
        </w:rPr>
        <w:t xml:space="preserve"> to</w:t>
      </w:r>
      <w:r>
        <w:rPr>
          <w:snapToGrid w:val="0"/>
        </w:rPr>
        <w:t xml:space="preserve"> meet the Energy Duration Limitations specified in Section 5.12.14.  In addition to the requirements and obligations described in this section 5.12.13, the following rules apply to an Aggregation that seeks to sequentially stack individual Distributed Energy Resources:</w:t>
      </w:r>
    </w:p>
    <w:p w:rsidR="0072726E" w:rsidP="0072726E" w14:paraId="5607C0E1" w14:textId="77777777">
      <w:pPr>
        <w:pStyle w:val="alphapara"/>
        <w:rPr>
          <w:snapToGrid w:val="0"/>
        </w:rPr>
      </w:pPr>
      <w:r>
        <w:rPr>
          <w:snapToGrid w:val="0"/>
        </w:rPr>
        <w:t>5.12.13.2.1</w:t>
      </w:r>
      <w:r>
        <w:rPr>
          <w:snapToGrid w:val="0"/>
        </w:rPr>
        <w:tab/>
        <w:t>each individual Distributed Energy Resource must be able to provide Energy for a minimum of one 1-hour block each day;</w:t>
      </w:r>
    </w:p>
    <w:p w:rsidR="0072726E" w:rsidP="0072726E" w14:paraId="027F5C5F" w14:textId="77777777">
      <w:pPr>
        <w:pStyle w:val="alphapara"/>
        <w:rPr>
          <w:snapToGrid w:val="0"/>
        </w:rPr>
      </w:pPr>
      <w:r>
        <w:rPr>
          <w:snapToGrid w:val="0"/>
        </w:rPr>
        <w:t xml:space="preserve">5.12.13.2.2 </w:t>
      </w:r>
      <w:r>
        <w:rPr>
          <w:snapToGrid w:val="0"/>
        </w:rPr>
        <w:tab/>
        <w:t>individual Distributed Energy Resources duration will be rounded-down to the nearest hour and stacked in whole-hour increments;</w:t>
      </w:r>
    </w:p>
    <w:p w:rsidR="0072726E" w:rsidP="0072726E" w14:paraId="6B0759D0" w14:textId="77777777">
      <w:pPr>
        <w:pStyle w:val="alphapara"/>
        <w:rPr>
          <w:snapToGrid w:val="0"/>
        </w:rPr>
      </w:pPr>
      <w:r>
        <w:rPr>
          <w:snapToGrid w:val="0"/>
        </w:rPr>
        <w:t>5.12.13.2.3</w:t>
      </w:r>
      <w:r>
        <w:rPr>
          <w:snapToGrid w:val="0"/>
        </w:rPr>
        <w:tab/>
        <w:t xml:space="preserve">Time-stacked Aggregations will be qualified </w:t>
      </w:r>
      <w:r>
        <w:rPr>
          <w:snapToGrid w:val="0"/>
        </w:rPr>
        <w:t>for the amount of</w:t>
      </w:r>
      <w:r>
        <w:rPr>
          <w:snapToGrid w:val="0"/>
        </w:rPr>
        <w:t xml:space="preserve"> Capacity it can sustain over the run-time requirement; and </w:t>
      </w:r>
    </w:p>
    <w:p w:rsidR="009540B5" w:rsidP="0072726E" w14:paraId="160D0EBB" w14:textId="140D6E56">
      <w:pPr>
        <w:pStyle w:val="Bodypara"/>
      </w:pPr>
      <w:r>
        <w:rPr>
          <w:snapToGrid w:val="0"/>
        </w:rPr>
        <w:t xml:space="preserve">The specific </w:t>
      </w:r>
      <w:r w:rsidRPr="0072726E">
        <w:t>processes</w:t>
      </w:r>
      <w:r>
        <w:rPr>
          <w:snapToGrid w:val="0"/>
        </w:rPr>
        <w:t xml:space="preserve"> related to time-stacking Distributed Energy Resources in an Aggregation </w:t>
      </w:r>
      <w:r>
        <w:rPr>
          <w:snapToGrid w:val="0"/>
        </w:rPr>
        <w:t>are located in</w:t>
      </w:r>
      <w:r>
        <w:rPr>
          <w:snapToGrid w:val="0"/>
        </w:rPr>
        <w:t xml:space="preserve"> the ISO Procedures.</w:t>
      </w:r>
    </w:p>
    <w:p w:rsidR="00CA3ADB" w14:paraId="4FA028E6" w14:textId="2BB55B73">
      <w:pPr>
        <w:pStyle w:val="Heading3"/>
      </w:pPr>
      <w:r>
        <w:t>5.12.14</w:t>
      </w:r>
      <w:r>
        <w:tab/>
        <w:t>Energy Duration Limitations</w:t>
      </w:r>
      <w:r w:rsidR="00485C06">
        <w:t>,</w:t>
      </w:r>
      <w:r>
        <w:t xml:space="preserve"> Duration Adjustment Factors</w:t>
      </w:r>
      <w:r w:rsidRPr="00485C06" w:rsidR="00485C06">
        <w:t>, and Capacity Accreditation Factors</w:t>
      </w:r>
      <w:r>
        <w:t xml:space="preserve"> for Installed Capacity Suppliers</w:t>
      </w:r>
    </w:p>
    <w:p w:rsidR="00CA3ADB" w14:paraId="4E4DD9FE" w14:textId="77777777">
      <w:pPr>
        <w:pStyle w:val="Bodypara"/>
      </w:pPr>
      <w:r>
        <w:t>Starting with the Capability Year that begins on May 1, 2021, Resources with a limited run-time that meet the Energy Duration Limitations identified in the tables below may qualify to participate as Installed Capacity Suppliers.  Resources with a limited run-time must elect an Energy Duration Limitation that is less than or equal to the Resource’s ability to demonstrate sustained output at its qualified MW amount.  Resources that do not have an Energy Duration Limitation will have a Duration Adjustment Factor of 100%.  The Adjusted Installed Capacity for an Installed Capacity Supplier shall be calculated using the applicable Energy Duration Limitations and Duration Adjustment Factors, and in accordance with ISO Procedures, starting with the 2021/2022 Capability Year, as determined by the MW count of incremental penetration of Resources with Energy Duration Limitations as listed below:</w:t>
      </w:r>
    </w:p>
    <w:p w:rsidR="00CA3ADB" w14:paraId="1BB0C855" w14:textId="77777777">
      <w:pPr>
        <w:pStyle w:val="StyleNormal0LinespacingDouble"/>
        <w:spacing w:before="120" w:after="120"/>
      </w:pPr>
      <w:r>
        <w:t>Table 1:</w:t>
      </w:r>
    </w:p>
    <w:tbl>
      <w:tblPr>
        <w:tblStyle w:val="TableGrid"/>
        <w:tblW w:w="0" w:type="auto"/>
        <w:tblLook w:val="04A0"/>
      </w:tblPr>
      <w:tblGrid>
        <w:gridCol w:w="4675"/>
        <w:gridCol w:w="4675"/>
      </w:tblGrid>
      <w:tr w14:paraId="342AE432" w14:textId="77777777">
        <w:tblPrEx>
          <w:tblW w:w="0" w:type="auto"/>
          <w:tblLook w:val="04A0"/>
        </w:tblPrEx>
        <w:tc>
          <w:tcPr>
            <w:tcW w:w="9350" w:type="dxa"/>
            <w:gridSpan w:val="2"/>
          </w:tcPr>
          <w:p w:rsidR="00CA3ADB" w14:paraId="68021D4C" w14:textId="77777777">
            <w:pPr>
              <w:pStyle w:val="Normal0"/>
              <w:spacing w:line="480" w:lineRule="auto"/>
              <w:jc w:val="center"/>
            </w:pPr>
            <w:r>
              <w:t>Incremental Penetration of Resources with Energy Duration Limitations is less than 1000 MW</w:t>
            </w:r>
          </w:p>
        </w:tc>
      </w:tr>
      <w:tr w14:paraId="582E547E" w14:textId="77777777">
        <w:tblPrEx>
          <w:tblW w:w="0" w:type="auto"/>
          <w:tblLook w:val="04A0"/>
        </w:tblPrEx>
        <w:tc>
          <w:tcPr>
            <w:tcW w:w="4675" w:type="dxa"/>
          </w:tcPr>
          <w:p w:rsidR="00CA3ADB" w14:paraId="6C81281B" w14:textId="77777777">
            <w:pPr>
              <w:pStyle w:val="Normal0"/>
              <w:spacing w:line="480" w:lineRule="auto"/>
              <w:jc w:val="center"/>
            </w:pPr>
            <w:r>
              <w:t>Energy Duration Limitations (hours)</w:t>
            </w:r>
          </w:p>
        </w:tc>
        <w:tc>
          <w:tcPr>
            <w:tcW w:w="4675" w:type="dxa"/>
          </w:tcPr>
          <w:p w:rsidR="00CA3ADB" w14:paraId="31EC7AC3" w14:textId="77777777">
            <w:pPr>
              <w:pStyle w:val="Normal0"/>
              <w:spacing w:line="480" w:lineRule="auto"/>
              <w:jc w:val="center"/>
            </w:pPr>
            <w:r>
              <w:t>Duration Adjustment Factor (%)</w:t>
            </w:r>
          </w:p>
        </w:tc>
      </w:tr>
      <w:tr w14:paraId="28C37734" w14:textId="77777777">
        <w:tblPrEx>
          <w:tblW w:w="0" w:type="auto"/>
          <w:tblLook w:val="04A0"/>
        </w:tblPrEx>
        <w:tc>
          <w:tcPr>
            <w:tcW w:w="4675" w:type="dxa"/>
          </w:tcPr>
          <w:p w:rsidR="00CA3ADB" w14:paraId="046C54D2" w14:textId="77777777">
            <w:pPr>
              <w:pStyle w:val="Normal0"/>
              <w:spacing w:line="480" w:lineRule="auto"/>
              <w:jc w:val="center"/>
            </w:pPr>
            <w:r>
              <w:t>8</w:t>
            </w:r>
          </w:p>
        </w:tc>
        <w:tc>
          <w:tcPr>
            <w:tcW w:w="4675" w:type="dxa"/>
          </w:tcPr>
          <w:p w:rsidR="00CA3ADB" w14:paraId="4AFEB71C" w14:textId="77777777">
            <w:pPr>
              <w:pStyle w:val="Normal0"/>
              <w:spacing w:line="480" w:lineRule="auto"/>
              <w:jc w:val="center"/>
            </w:pPr>
            <w:r>
              <w:t>100</w:t>
            </w:r>
          </w:p>
        </w:tc>
      </w:tr>
      <w:tr w14:paraId="170C1C07" w14:textId="77777777">
        <w:tblPrEx>
          <w:tblW w:w="0" w:type="auto"/>
          <w:tblLook w:val="04A0"/>
        </w:tblPrEx>
        <w:tc>
          <w:tcPr>
            <w:tcW w:w="4675" w:type="dxa"/>
          </w:tcPr>
          <w:p w:rsidR="00CA3ADB" w14:paraId="6DC0CB0C" w14:textId="77777777">
            <w:pPr>
              <w:pStyle w:val="Normal0"/>
              <w:spacing w:line="480" w:lineRule="auto"/>
              <w:jc w:val="center"/>
            </w:pPr>
            <w:r>
              <w:t>6</w:t>
            </w:r>
          </w:p>
        </w:tc>
        <w:tc>
          <w:tcPr>
            <w:tcW w:w="4675" w:type="dxa"/>
          </w:tcPr>
          <w:p w:rsidR="00CA3ADB" w14:paraId="183A7E4D" w14:textId="77777777">
            <w:pPr>
              <w:pStyle w:val="Normal0"/>
              <w:spacing w:line="480" w:lineRule="auto"/>
              <w:jc w:val="center"/>
            </w:pPr>
            <w:r>
              <w:t>100</w:t>
            </w:r>
          </w:p>
        </w:tc>
      </w:tr>
      <w:tr w14:paraId="21AAE75B" w14:textId="77777777">
        <w:tblPrEx>
          <w:tblW w:w="0" w:type="auto"/>
          <w:tblLook w:val="04A0"/>
        </w:tblPrEx>
        <w:tc>
          <w:tcPr>
            <w:tcW w:w="4675" w:type="dxa"/>
          </w:tcPr>
          <w:p w:rsidR="00CA3ADB" w14:paraId="469BFA08" w14:textId="77777777">
            <w:pPr>
              <w:pStyle w:val="Normal0"/>
              <w:spacing w:line="480" w:lineRule="auto"/>
              <w:jc w:val="center"/>
            </w:pPr>
            <w:r>
              <w:t>4</w:t>
            </w:r>
          </w:p>
        </w:tc>
        <w:tc>
          <w:tcPr>
            <w:tcW w:w="4675" w:type="dxa"/>
          </w:tcPr>
          <w:p w:rsidR="00CA3ADB" w14:paraId="68D3D54D" w14:textId="77777777">
            <w:pPr>
              <w:pStyle w:val="Normal0"/>
              <w:spacing w:line="480" w:lineRule="auto"/>
              <w:jc w:val="center"/>
            </w:pPr>
            <w:r>
              <w:t>90</w:t>
            </w:r>
          </w:p>
        </w:tc>
      </w:tr>
      <w:tr w14:paraId="50220123" w14:textId="77777777">
        <w:tblPrEx>
          <w:tblW w:w="0" w:type="auto"/>
          <w:tblLook w:val="04A0"/>
        </w:tblPrEx>
        <w:tc>
          <w:tcPr>
            <w:tcW w:w="4675" w:type="dxa"/>
          </w:tcPr>
          <w:p w:rsidR="00CA3ADB" w14:paraId="347A559E" w14:textId="77777777">
            <w:pPr>
              <w:pStyle w:val="Normal0"/>
              <w:spacing w:line="480" w:lineRule="auto"/>
              <w:jc w:val="center"/>
            </w:pPr>
            <w:r>
              <w:t>2</w:t>
            </w:r>
          </w:p>
        </w:tc>
        <w:tc>
          <w:tcPr>
            <w:tcW w:w="4675" w:type="dxa"/>
          </w:tcPr>
          <w:p w:rsidR="00CA3ADB" w14:paraId="543353C8" w14:textId="77777777">
            <w:pPr>
              <w:pStyle w:val="Normal0"/>
              <w:spacing w:line="480" w:lineRule="auto"/>
              <w:jc w:val="center"/>
            </w:pPr>
            <w:r>
              <w:t>45</w:t>
            </w:r>
          </w:p>
        </w:tc>
      </w:tr>
    </w:tbl>
    <w:p w:rsidR="00CA3ADB" w14:paraId="4392819E" w14:textId="77777777">
      <w:pPr>
        <w:pStyle w:val="StyleNormal0LinespacingDouble"/>
        <w:spacing w:before="120" w:after="120"/>
      </w:pPr>
    </w:p>
    <w:p w:rsidR="00CA3ADB" w14:paraId="6683656F" w14:textId="77777777">
      <w:pPr>
        <w:pStyle w:val="StyleNormal0LinespacingDouble"/>
        <w:spacing w:before="120" w:after="120"/>
      </w:pPr>
      <w:r>
        <w:t>Table 2:</w:t>
      </w:r>
    </w:p>
    <w:tbl>
      <w:tblPr>
        <w:tblStyle w:val="TableGrid"/>
        <w:tblW w:w="0" w:type="auto"/>
        <w:tblLook w:val="04A0"/>
      </w:tblPr>
      <w:tblGrid>
        <w:gridCol w:w="4675"/>
        <w:gridCol w:w="4675"/>
      </w:tblGrid>
      <w:tr w14:paraId="32E8E805" w14:textId="77777777">
        <w:tblPrEx>
          <w:tblW w:w="0" w:type="auto"/>
          <w:tblLook w:val="04A0"/>
        </w:tblPrEx>
        <w:tc>
          <w:tcPr>
            <w:tcW w:w="9350" w:type="dxa"/>
            <w:gridSpan w:val="2"/>
          </w:tcPr>
          <w:p w:rsidR="00CA3ADB" w14:paraId="59D747C3" w14:textId="77777777">
            <w:pPr>
              <w:pStyle w:val="Normal0"/>
              <w:spacing w:line="480" w:lineRule="auto"/>
              <w:jc w:val="center"/>
            </w:pPr>
            <w:r>
              <w:t xml:space="preserve">Incremental Penetration of Resources with Energy Duration Limitations 1000 MW and above </w:t>
            </w:r>
          </w:p>
        </w:tc>
      </w:tr>
      <w:tr w14:paraId="6776BBFA" w14:textId="77777777">
        <w:tblPrEx>
          <w:tblW w:w="0" w:type="auto"/>
          <w:tblLook w:val="04A0"/>
        </w:tblPrEx>
        <w:tc>
          <w:tcPr>
            <w:tcW w:w="4675" w:type="dxa"/>
          </w:tcPr>
          <w:p w:rsidR="00CA3ADB" w14:paraId="2C19DC0A" w14:textId="77777777">
            <w:pPr>
              <w:pStyle w:val="Normal0"/>
              <w:spacing w:line="480" w:lineRule="auto"/>
              <w:jc w:val="center"/>
            </w:pPr>
            <w:r>
              <w:t>Energy Duration Limitations (hours)</w:t>
            </w:r>
          </w:p>
        </w:tc>
        <w:tc>
          <w:tcPr>
            <w:tcW w:w="4675" w:type="dxa"/>
          </w:tcPr>
          <w:p w:rsidR="00CA3ADB" w14:paraId="771B2566" w14:textId="77777777">
            <w:pPr>
              <w:pStyle w:val="Normal0"/>
              <w:spacing w:line="480" w:lineRule="auto"/>
              <w:jc w:val="center"/>
            </w:pPr>
            <w:r>
              <w:t>Duration Adjustment Factor (%)</w:t>
            </w:r>
          </w:p>
        </w:tc>
      </w:tr>
      <w:tr w14:paraId="61D07755" w14:textId="77777777">
        <w:tblPrEx>
          <w:tblW w:w="0" w:type="auto"/>
          <w:tblLook w:val="04A0"/>
        </w:tblPrEx>
        <w:tc>
          <w:tcPr>
            <w:tcW w:w="4675" w:type="dxa"/>
          </w:tcPr>
          <w:p w:rsidR="00CA3ADB" w14:paraId="511664D3" w14:textId="77777777">
            <w:pPr>
              <w:pStyle w:val="Normal0"/>
              <w:spacing w:line="480" w:lineRule="auto"/>
              <w:jc w:val="center"/>
            </w:pPr>
            <w:r>
              <w:t>8</w:t>
            </w:r>
          </w:p>
        </w:tc>
        <w:tc>
          <w:tcPr>
            <w:tcW w:w="4675" w:type="dxa"/>
          </w:tcPr>
          <w:p w:rsidR="00CA3ADB" w14:paraId="6326C7EB" w14:textId="77777777">
            <w:pPr>
              <w:pStyle w:val="Normal0"/>
              <w:spacing w:line="480" w:lineRule="auto"/>
              <w:jc w:val="center"/>
            </w:pPr>
            <w:r>
              <w:t>100</w:t>
            </w:r>
          </w:p>
        </w:tc>
      </w:tr>
      <w:tr w14:paraId="39B4A20F" w14:textId="77777777">
        <w:tblPrEx>
          <w:tblW w:w="0" w:type="auto"/>
          <w:tblLook w:val="04A0"/>
        </w:tblPrEx>
        <w:tc>
          <w:tcPr>
            <w:tcW w:w="4675" w:type="dxa"/>
          </w:tcPr>
          <w:p w:rsidR="00CA3ADB" w14:paraId="157EE67A" w14:textId="77777777">
            <w:pPr>
              <w:pStyle w:val="Normal0"/>
              <w:spacing w:line="480" w:lineRule="auto"/>
              <w:jc w:val="center"/>
            </w:pPr>
            <w:r>
              <w:t>6</w:t>
            </w:r>
          </w:p>
        </w:tc>
        <w:tc>
          <w:tcPr>
            <w:tcW w:w="4675" w:type="dxa"/>
          </w:tcPr>
          <w:p w:rsidR="00CA3ADB" w14:paraId="405C8DB1" w14:textId="77777777">
            <w:pPr>
              <w:pStyle w:val="Normal0"/>
              <w:spacing w:line="480" w:lineRule="auto"/>
              <w:jc w:val="center"/>
            </w:pPr>
            <w:r>
              <w:t>90</w:t>
            </w:r>
          </w:p>
        </w:tc>
      </w:tr>
      <w:tr w14:paraId="7F7DA16E" w14:textId="77777777">
        <w:tblPrEx>
          <w:tblW w:w="0" w:type="auto"/>
          <w:tblLook w:val="04A0"/>
        </w:tblPrEx>
        <w:tc>
          <w:tcPr>
            <w:tcW w:w="4675" w:type="dxa"/>
          </w:tcPr>
          <w:p w:rsidR="00CA3ADB" w14:paraId="61B9DC5C" w14:textId="77777777">
            <w:pPr>
              <w:pStyle w:val="Normal0"/>
              <w:spacing w:line="480" w:lineRule="auto"/>
              <w:jc w:val="center"/>
            </w:pPr>
            <w:r>
              <w:t>4</w:t>
            </w:r>
          </w:p>
        </w:tc>
        <w:tc>
          <w:tcPr>
            <w:tcW w:w="4675" w:type="dxa"/>
          </w:tcPr>
          <w:p w:rsidR="00CA3ADB" w14:paraId="32479721" w14:textId="77777777">
            <w:pPr>
              <w:pStyle w:val="Normal0"/>
              <w:spacing w:line="480" w:lineRule="auto"/>
              <w:jc w:val="center"/>
            </w:pPr>
            <w:r>
              <w:t>75</w:t>
            </w:r>
          </w:p>
        </w:tc>
      </w:tr>
      <w:tr w14:paraId="01424EE3" w14:textId="77777777">
        <w:tblPrEx>
          <w:tblW w:w="0" w:type="auto"/>
          <w:tblLook w:val="04A0"/>
        </w:tblPrEx>
        <w:tc>
          <w:tcPr>
            <w:tcW w:w="4675" w:type="dxa"/>
          </w:tcPr>
          <w:p w:rsidR="00CA3ADB" w14:paraId="11A6EE01" w14:textId="77777777">
            <w:pPr>
              <w:pStyle w:val="Normal0"/>
              <w:spacing w:line="480" w:lineRule="auto"/>
              <w:jc w:val="center"/>
            </w:pPr>
            <w:r>
              <w:t>2</w:t>
            </w:r>
          </w:p>
        </w:tc>
        <w:tc>
          <w:tcPr>
            <w:tcW w:w="4675" w:type="dxa"/>
          </w:tcPr>
          <w:p w:rsidR="00CA3ADB" w14:paraId="4C054559" w14:textId="77777777">
            <w:pPr>
              <w:pStyle w:val="Normal0"/>
              <w:spacing w:line="480" w:lineRule="auto"/>
              <w:jc w:val="center"/>
            </w:pPr>
            <w:r>
              <w:t>37.5</w:t>
            </w:r>
          </w:p>
        </w:tc>
      </w:tr>
    </w:tbl>
    <w:p w:rsidR="00CA3ADB" w14:paraId="67D90EFD" w14:textId="77777777">
      <w:pPr>
        <w:pStyle w:val="StyleNormal0LinespacingDouble"/>
        <w:spacing w:before="120" w:after="120"/>
      </w:pPr>
    </w:p>
    <w:p w:rsidR="00CA3ADB" w14:paraId="0D20E66B" w14:textId="7A4C767D">
      <w:pPr>
        <w:pStyle w:val="Bodypara"/>
      </w:pPr>
      <w:r>
        <w:t>While Table 1 is in effect, Resources with an Energy Duration Limitation of 6 hours or less must fulfill the availability requirements given in Section 5.12.7 for a 6-hour Peak Load Window.  While Table 2 is in effect, Resources with an Energy Duration Limitation of 6 hours or less must fulfill the availability requirements given in Section 5.12.7 for an 8-hour Peak Load Window.  Resources with an Energy Duration Limitation of 8 hours must always fulfill the availability requirements given in Section 5.12.7 for an 8-hour Peak Load Window.  The 6 hour Peak Load Window for the Summer Capability Period is HB 13 through HB 18, and the 6 hour Peak Load Window for the Winter Capability Period is HB 16 through HB 21.  The 8 hour Peak Load Window for the Summer Capability Period is HB 12 through HB 19, and the 8 hour Peak Load Window for the Winter Capability Period is HB 14 through HB 21.</w:t>
      </w:r>
    </w:p>
    <w:p w:rsidR="00607D15" w:rsidP="00607D15" w14:paraId="44A321CF" w14:textId="77777777">
      <w:pPr>
        <w:pStyle w:val="Bodypara"/>
      </w:pPr>
      <w:r>
        <w:t xml:space="preserve">Starting with the Capability Year that begins in May 2024, ICAP Suppliers will have their Adjusted ICAP calculated pursuant to Section 5.12.14.2 using the applicable Capacity Accreditation Factor. Resources with a limited run-time must elect an Energy Duration </w:t>
      </w:r>
      <w:r>
        <w:t xml:space="preserve">Limitation that is less than or equal to the Resource’s ability to demonstrate sustained output at its qualified MW amount and will use the corresponding Capacity Accreditation Factor.  </w:t>
      </w:r>
    </w:p>
    <w:p w:rsidR="00607D15" w:rsidP="00607D15" w14:paraId="626A8C6C" w14:textId="4154CEED">
      <w:pPr>
        <w:pStyle w:val="Bodypara"/>
      </w:pPr>
      <w:r>
        <w:t>Resources with an Energy Duration Limitation must fulfill the availability requirements given in Section 5.12.7 for the duration of the Peak Load Window.</w:t>
      </w:r>
    </w:p>
    <w:p w:rsidR="00CA3ADB" w14:paraId="42344208" w14:textId="77777777">
      <w:pPr>
        <w:pStyle w:val="Heading4"/>
      </w:pPr>
      <w:r>
        <w:t xml:space="preserve">5.12.14.1 Counting Incremental Penetration of Resources with Energy Duration Limitations </w:t>
      </w:r>
    </w:p>
    <w:p w:rsidR="00CA3ADB" w14:paraId="69D5F85B" w14:textId="77777777">
      <w:pPr>
        <w:pStyle w:val="Bodypara"/>
      </w:pPr>
      <w:r>
        <w:t xml:space="preserve">The penetration levels of CRIS MW will be the sum of CRIS for Resources with Energy Duration Limitations that have elected to participate in ISO Administered Markets with less than 8 hour duration and that have entered into service after January 1, 2019 and incremental CRIS awarded after January 1, 2019 to Resources with Energy Duration Limitations that have elected to participate in ISO Administered Markets with less than 8 hour duration as specified below. </w:t>
      </w:r>
    </w:p>
    <w:p w:rsidR="00CA3ADB" w14:paraId="50A5B7E3" w14:textId="77777777">
      <w:pPr>
        <w:pStyle w:val="Bodypara"/>
      </w:pPr>
      <w:r>
        <w:t xml:space="preserve">Penetration levels of CRIS MW for Resources with Energy Duration Limitations will be calculated in accordance with ISO Procedures as the sum of CRIS for Resources with Energy Duration Limitations of 2 hours, CRIS for Resources with Energy Duration Limitations of 4 hours and CRIS for Resources with Energy Duration Limitations of 6 hours that have entered into service and have participated in the ISO Markets after January 1, 2019.  Penetration levels of Demand Side Resources will be calculated as the sum of the Demand Side Resource MW that have elected to participate in the ISO Capacity markets with less than 8 hour duration as of July 1, as pursuant to ISO Procedures.  The MW count of Resources with Energy Duration Limitations that were in service prior to January 1, 2019 and have Retired will include CRIS for Resources with Energy Duration Limitations of 2 hours, CRIS for Resources with Energy Duration Limitations of 4 hours and CRIS for Resources with Energy Duration Limitations of 6 hours that have Retired as of July 1 each year, pursuant to ISO Procedures.  Resources that obtained CRIS and were in service prior to January 1, </w:t>
      </w:r>
      <w:r>
        <w:t>2019</w:t>
      </w:r>
      <w:r>
        <w:t xml:space="preserve"> that qualify as Resources with </w:t>
      </w:r>
      <w:r>
        <w:t xml:space="preserve">Energy Duration Limitations </w:t>
      </w:r>
      <w:r>
        <w:t>at a later date</w:t>
      </w:r>
      <w:r>
        <w:t xml:space="preserve"> will not be included in the penetration levels of Resources with Energy Duration Limitations. </w:t>
      </w:r>
    </w:p>
    <w:p w:rsidR="00CA3ADB" w14:paraId="008C70D6" w14:textId="77777777">
      <w:pPr>
        <w:pStyle w:val="Bodypara"/>
      </w:pPr>
      <w:r>
        <w:t>The MW count of incremental penetration of Resources with Energy Duration Limitations used to determine the applicable Duration Adjustment Factors provided in Section 5.12.14 for the upcoming Capability Year will be calculated in accordance with ISO Procedures as the sum of the penetration levels of CRIS MW, as described above, and penetration levels of Demand Side Resources, as described above, less the sum of CRIS MW for Resources with Energy Duration Limitations that have Retired, as described above, and less 1309.1 MW of SCR MW.  The MW count of incremental penetration of Resources with Energy Duration Limitations with their Energy Duration Limitation election will be counted as of July 1 and posted by July 15.  Once there are 1000 MW or more incremental penetration of Resources with Energy Duration Limitations, the Duration Adjustment Factors listed in Table 2 provided above in Section 5.12.14 will be effective May 1 of the following Capability Year and Table 2 will be effective notwithstanding future MW count of incremental penetration of Resources with Energy Duration Limitations.</w:t>
      </w:r>
    </w:p>
    <w:p w:rsidR="00CA3ADB" w14:paraId="26D16E67" w14:textId="77777777">
      <w:pPr>
        <w:pStyle w:val="Heading4"/>
      </w:pPr>
      <w:r>
        <w:t xml:space="preserve">5.12.14.2 Adjusted Installed Capacity </w:t>
      </w:r>
    </w:p>
    <w:p w:rsidR="00CA3ADB" w14:paraId="4B8522C9" w14:textId="4841DCDB">
      <w:pPr>
        <w:pStyle w:val="Bodypara"/>
        <w:rPr>
          <w:snapToGrid w:val="0"/>
        </w:rPr>
      </w:pPr>
      <w:r>
        <w:t>Starting with the Capability Year beginning May 1, 2021</w:t>
      </w:r>
      <w:r w:rsidR="00607D15">
        <w:t xml:space="preserve"> and continuing until the Capability Year that begins in May 2024</w:t>
      </w:r>
      <w:r>
        <w:t xml:space="preserve">, a Resource’s Unforced Capacity shall reflect the applicable Duration Adjustment Factor for the Resource’s elected Energy Duration Limitation.  The Adjusted Installed Capacity is equal to a Resource’s Installed Capacity multiplied by the Duration Adjustment Factor.  </w:t>
      </w:r>
      <w:r>
        <w:rPr>
          <w:snapToGrid w:val="0"/>
        </w:rPr>
        <w:t>If a Resource or Aggregation wants to change its duration election it must inform the ISO by August 1 preceding the upcoming Capability Year.</w:t>
      </w:r>
    </w:p>
    <w:p w:rsidR="00D31250" w14:paraId="34878AFB" w14:textId="37D81114">
      <w:pPr>
        <w:pStyle w:val="Bodypara"/>
      </w:pPr>
      <w:r>
        <w:t>Starting with the Capability Year that begins in May 2024, an ICAP Supplier’s Unforced Capacity shall reflect the applicable Capacity Accreditation Factor of its Capacity Accreditation Resource Class.  The ICAP Supplier’s Adjusted Installed Capacity is equal to its Installed Capacity multiplied by its applicable Capacity Accreditation Factor. If an existing Resource wishes to join an Aggregation, or, if a Resource or Aggregation wishes to elect a different Energy Duration Limitation than its current duration, it must inform the ISO by August 1 preceding the upcoming Capability Year.</w:t>
      </w:r>
      <w:r>
        <w:t xml:space="preserve">   </w:t>
      </w:r>
    </w:p>
    <w:p w:rsidR="00CA3ADB" w14:paraId="4D94554B" w14:textId="57C4B2BA">
      <w:pPr>
        <w:pStyle w:val="Heading4"/>
      </w:pPr>
      <w:r>
        <w:t>5.12.14.3  Periodic Review of Capacity Values</w:t>
      </w:r>
      <w:r w:rsidRPr="001B38F6" w:rsidR="001B38F6">
        <w:t xml:space="preserve"> Accreditation Factors</w:t>
      </w:r>
    </w:p>
    <w:p w:rsidR="001B38F6" w:rsidP="001B38F6" w14:paraId="2BFC209D" w14:textId="77777777">
      <w:pPr>
        <w:pStyle w:val="Bodypara"/>
      </w:pPr>
      <w:r>
        <w:t>Starting with the Capability Year that begins in May 2024 and occurring every year, the ISO shall review the existing Capacity Accreditation Factors established for each Capacity Accreditation Resource Class and assess for the upcoming Capability Year the marginal reliability contributions of each Capacity Accreditation Resource Class toward meeting NYSRC resource adequacy requirements. The annual review shall: (i) 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ICAP Supplier or projected ICAP Supplier in the given Capacity Accreditation Resource Classes in the applicable location, as specified in ISO Procedures.</w:t>
      </w:r>
    </w:p>
    <w:p w:rsidR="00CA3ADB" w:rsidP="002F7C07" w14:paraId="1B2351BE" w14:textId="1C090B09">
      <w:pPr>
        <w:pStyle w:val="Bodypara"/>
      </w:pPr>
      <w:r>
        <w:t>In conjunction with this review, the ISO shall review the Peak Load Window associated with the bidding requirements for Resources with Energy Duration Limitations and modify the Peak Load Window accordingly, pursuant to ISO Procedures.</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66547655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61722953">
    <w:abstractNumId w:val="12"/>
  </w:num>
  <w:num w:numId="3" w16cid:durableId="1701009515">
    <w:abstractNumId w:val="14"/>
  </w:num>
  <w:num w:numId="4" w16cid:durableId="599803005">
    <w:abstractNumId w:val="30"/>
  </w:num>
  <w:num w:numId="5" w16cid:durableId="1008599865">
    <w:abstractNumId w:val="10"/>
  </w:num>
  <w:num w:numId="6" w16cid:durableId="227885239">
    <w:abstractNumId w:val="13"/>
  </w:num>
  <w:num w:numId="7" w16cid:durableId="1457331833">
    <w:abstractNumId w:val="17"/>
  </w:num>
  <w:num w:numId="8" w16cid:durableId="1244610733">
    <w:abstractNumId w:val="2"/>
  </w:num>
  <w:num w:numId="9" w16cid:durableId="1572429248">
    <w:abstractNumId w:val="8"/>
  </w:num>
  <w:num w:numId="10" w16cid:durableId="1544487304">
    <w:abstractNumId w:val="3"/>
  </w:num>
  <w:num w:numId="11" w16cid:durableId="2013070371">
    <w:abstractNumId w:val="21"/>
  </w:num>
  <w:num w:numId="12" w16cid:durableId="1903132502">
    <w:abstractNumId w:val="37"/>
  </w:num>
  <w:num w:numId="13" w16cid:durableId="2000886030">
    <w:abstractNumId w:val="11"/>
  </w:num>
  <w:num w:numId="14" w16cid:durableId="833450968">
    <w:abstractNumId w:val="7"/>
  </w:num>
  <w:num w:numId="15" w16cid:durableId="1921451602">
    <w:abstractNumId w:val="6"/>
  </w:num>
  <w:num w:numId="16" w16cid:durableId="751974415">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818650">
    <w:abstractNumId w:val="39"/>
  </w:num>
  <w:num w:numId="18" w16cid:durableId="1956132539">
    <w:abstractNumId w:val="4"/>
  </w:num>
  <w:num w:numId="19" w16cid:durableId="1487549887">
    <w:abstractNumId w:val="36"/>
  </w:num>
  <w:num w:numId="20" w16cid:durableId="824974108">
    <w:abstractNumId w:val="1"/>
  </w:num>
  <w:num w:numId="21" w16cid:durableId="118405568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9006432">
    <w:abstractNumId w:val="38"/>
  </w:num>
  <w:num w:numId="23" w16cid:durableId="1897006213">
    <w:abstractNumId w:val="18"/>
  </w:num>
  <w:num w:numId="24" w16cid:durableId="2105369936">
    <w:abstractNumId w:val="19"/>
  </w:num>
  <w:num w:numId="25" w16cid:durableId="2035575445">
    <w:abstractNumId w:val="34"/>
  </w:num>
  <w:num w:numId="26" w16cid:durableId="811598414">
    <w:abstractNumId w:val="16"/>
  </w:num>
  <w:num w:numId="27" w16cid:durableId="1850753621">
    <w:abstractNumId w:val="35"/>
  </w:num>
  <w:num w:numId="28" w16cid:durableId="935135929">
    <w:abstractNumId w:val="24"/>
  </w:num>
  <w:num w:numId="29" w16cid:durableId="1459950164">
    <w:abstractNumId w:val="23"/>
  </w:num>
  <w:num w:numId="30" w16cid:durableId="1480877863">
    <w:abstractNumId w:val="20"/>
  </w:num>
  <w:num w:numId="31" w16cid:durableId="430667484">
    <w:abstractNumId w:val="15"/>
  </w:num>
  <w:num w:numId="32" w16cid:durableId="1695765624">
    <w:abstractNumId w:val="29"/>
  </w:num>
  <w:num w:numId="33" w16cid:durableId="2005818930">
    <w:abstractNumId w:val="22"/>
  </w:num>
  <w:num w:numId="34" w16cid:durableId="1484346697">
    <w:abstractNumId w:val="31"/>
  </w:num>
  <w:num w:numId="35" w16cid:durableId="1823426309">
    <w:abstractNumId w:val="9"/>
  </w:num>
  <w:num w:numId="36" w16cid:durableId="306513595">
    <w:abstractNumId w:val="26"/>
  </w:num>
  <w:num w:numId="37" w16cid:durableId="523833068">
    <w:abstractNumId w:val="5"/>
  </w:num>
  <w:num w:numId="38" w16cid:durableId="396712599">
    <w:abstractNumId w:val="28"/>
  </w:num>
  <w:num w:numId="39" w16cid:durableId="232471506">
    <w:abstractNumId w:val="25"/>
  </w:num>
  <w:num w:numId="40" w16cid:durableId="1494301880">
    <w:abstractNumId w:val="32"/>
  </w:num>
  <w:num w:numId="41" w16cid:durableId="17177036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315D8"/>
    <w:rsid w:val="000505AD"/>
    <w:rsid w:val="00050D67"/>
    <w:rsid w:val="000676C1"/>
    <w:rsid w:val="001354E2"/>
    <w:rsid w:val="00157007"/>
    <w:rsid w:val="001B38F6"/>
    <w:rsid w:val="001D78CA"/>
    <w:rsid w:val="001F392F"/>
    <w:rsid w:val="00257D97"/>
    <w:rsid w:val="002756B6"/>
    <w:rsid w:val="002A341E"/>
    <w:rsid w:val="002F7C07"/>
    <w:rsid w:val="00315C4E"/>
    <w:rsid w:val="00317CDF"/>
    <w:rsid w:val="00353BFE"/>
    <w:rsid w:val="00377723"/>
    <w:rsid w:val="00384A47"/>
    <w:rsid w:val="003A311B"/>
    <w:rsid w:val="003B52D4"/>
    <w:rsid w:val="003D645F"/>
    <w:rsid w:val="003D6FE3"/>
    <w:rsid w:val="00485690"/>
    <w:rsid w:val="00485C06"/>
    <w:rsid w:val="004B2CF2"/>
    <w:rsid w:val="004C2D23"/>
    <w:rsid w:val="004F5E17"/>
    <w:rsid w:val="004F7ED5"/>
    <w:rsid w:val="00502D27"/>
    <w:rsid w:val="005145B6"/>
    <w:rsid w:val="005238EA"/>
    <w:rsid w:val="005324AC"/>
    <w:rsid w:val="00534D8C"/>
    <w:rsid w:val="0054561C"/>
    <w:rsid w:val="005765C5"/>
    <w:rsid w:val="00584943"/>
    <w:rsid w:val="00591312"/>
    <w:rsid w:val="005925C1"/>
    <w:rsid w:val="00593F33"/>
    <w:rsid w:val="005B7DCD"/>
    <w:rsid w:val="005C7BD4"/>
    <w:rsid w:val="005D3E93"/>
    <w:rsid w:val="00607D15"/>
    <w:rsid w:val="00642487"/>
    <w:rsid w:val="006500AF"/>
    <w:rsid w:val="0065026E"/>
    <w:rsid w:val="00653583"/>
    <w:rsid w:val="00685B1C"/>
    <w:rsid w:val="0068696A"/>
    <w:rsid w:val="006C3797"/>
    <w:rsid w:val="006D1892"/>
    <w:rsid w:val="006D37EC"/>
    <w:rsid w:val="0072298C"/>
    <w:rsid w:val="0072726E"/>
    <w:rsid w:val="00765288"/>
    <w:rsid w:val="007B5CF1"/>
    <w:rsid w:val="007C5708"/>
    <w:rsid w:val="007D2D51"/>
    <w:rsid w:val="008445EC"/>
    <w:rsid w:val="008603EC"/>
    <w:rsid w:val="008842D5"/>
    <w:rsid w:val="008D59D9"/>
    <w:rsid w:val="00914ACF"/>
    <w:rsid w:val="00925A79"/>
    <w:rsid w:val="00942DA3"/>
    <w:rsid w:val="009540B5"/>
    <w:rsid w:val="00956B14"/>
    <w:rsid w:val="00962A25"/>
    <w:rsid w:val="00962A27"/>
    <w:rsid w:val="00986A3B"/>
    <w:rsid w:val="009878F8"/>
    <w:rsid w:val="009B0732"/>
    <w:rsid w:val="009C5E34"/>
    <w:rsid w:val="009D6949"/>
    <w:rsid w:val="009E6CA3"/>
    <w:rsid w:val="00A07534"/>
    <w:rsid w:val="00A20196"/>
    <w:rsid w:val="00A31BFE"/>
    <w:rsid w:val="00A45FCC"/>
    <w:rsid w:val="00A538D1"/>
    <w:rsid w:val="00A74C4E"/>
    <w:rsid w:val="00AB2663"/>
    <w:rsid w:val="00AC541D"/>
    <w:rsid w:val="00AC67BF"/>
    <w:rsid w:val="00AE1636"/>
    <w:rsid w:val="00AF6A25"/>
    <w:rsid w:val="00B972B4"/>
    <w:rsid w:val="00BB7E75"/>
    <w:rsid w:val="00BC4898"/>
    <w:rsid w:val="00BF1DCF"/>
    <w:rsid w:val="00BF6F3A"/>
    <w:rsid w:val="00BF7FE5"/>
    <w:rsid w:val="00CA3ADB"/>
    <w:rsid w:val="00D31250"/>
    <w:rsid w:val="00D329B2"/>
    <w:rsid w:val="00D527F9"/>
    <w:rsid w:val="00D56824"/>
    <w:rsid w:val="00D916DA"/>
    <w:rsid w:val="00DD0933"/>
    <w:rsid w:val="00DE1F93"/>
    <w:rsid w:val="00E341E4"/>
    <w:rsid w:val="00E84B2D"/>
    <w:rsid w:val="00E9678C"/>
    <w:rsid w:val="00ED14C4"/>
    <w:rsid w:val="00EE0FB7"/>
    <w:rsid w:val="00F04BBD"/>
    <w:rsid w:val="00F43A68"/>
    <w:rsid w:val="00F46BF4"/>
    <w:rsid w:val="00F502B5"/>
    <w:rsid w:val="00F90214"/>
    <w:rsid w:val="00FC3CFF"/>
    <w:rsid w:val="00FC7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15:docId w15:val="{3FF57361-F8DE-4318-AEAA-ECCDB094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6" ma:contentTypeDescription="Create a new document." ma:contentTypeScope="" ma:versionID="9651004726e2fe46859a87344adce89d">
  <xsd:schema xmlns:xsd="http://www.w3.org/2001/XMLSchema" xmlns:xs="http://www.w3.org/2001/XMLSchema" xmlns:p="http://schemas.microsoft.com/office/2006/metadata/properties" xmlns:ns2="25e4fb89-1bb8-4ca0-bb91-f18270d9f025" xmlns:ns3="5989ae81-807e-4248-9b9f-a3650e2c1535" targetNamespace="http://schemas.microsoft.com/office/2006/metadata/properties" ma:root="true" ma:fieldsID="66beadcab51a40c030dc69acb8bdce84" ns2:_="" ns3:_="">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F416C-2C2E-46E4-958E-8497CF92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47E2-2D92-49F6-84B2-96935BF81444}">
  <ds:schemaRefs>
    <ds:schemaRef ds:uri="http://schemas.openxmlformats.org/officeDocument/2006/bibliography"/>
  </ds:schemaRefs>
</ds:datastoreItem>
</file>

<file path=customXml/itemProps3.xml><?xml version="1.0" encoding="utf-8"?>
<ds:datastoreItem xmlns:ds="http://schemas.openxmlformats.org/officeDocument/2006/customXml" ds:itemID="{0BC4224D-473A-45A3-8772-2BC60A6AC072}">
  <ds:schemaRefs>
    <ds:schemaRef ds:uri="http://schemas.microsoft.com/sharepoint/v3/contenttype/forms"/>
  </ds:schemaRefs>
</ds:datastoreItem>
</file>

<file path=customXml/itemProps4.xml><?xml version="1.0" encoding="utf-8"?>
<ds:datastoreItem xmlns:ds="http://schemas.openxmlformats.org/officeDocument/2006/customXml" ds:itemID="{E4AB7035-F270-4014-86C0-DE2DB4CF8EEE}">
  <ds:schemaRefs>
    <ds:schemaRef ds:uri="http://purl.org/dc/terms/"/>
    <ds:schemaRef ds:uri="http://schemas.microsoft.com/office/2006/metadata/properties"/>
    <ds:schemaRef ds:uri="5989ae81-807e-4248-9b9f-a3650e2c1535"/>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25e4fb89-1bb8-4ca0-bb91-f18270d9f02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19070</Words>
  <Characters>102607</Characters>
  <Application>Microsoft Office Word</Application>
  <DocSecurity>0</DocSecurity>
  <Lines>855</Lines>
  <Paragraphs>242</Paragraphs>
  <ScaleCrop>false</ScaleCrop>
  <HeadingPairs>
    <vt:vector size="2" baseType="variant">
      <vt:variant>
        <vt:lpstr>Title</vt:lpstr>
      </vt:variant>
      <vt:variant>
        <vt:i4>1</vt:i4>
      </vt:variant>
    </vt:vector>
  </HeadingPairs>
  <TitlesOfParts>
    <vt:vector size="1" baseType="lpstr">
      <vt:lpstr/>
    </vt:vector>
  </TitlesOfParts>
  <Company>Hunton &amp; Williams LLP</Company>
  <LinksUpToDate>false</LinksUpToDate>
  <CharactersWithSpaces>121435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 Glass</dc:creator>
  <cp:lastModifiedBy>Morse, Alexander</cp:lastModifiedBy>
  <cp:revision>5</cp:revision>
  <cp:lastPrinted>2023-03-31T12:19:00Z</cp:lastPrinted>
  <dcterms:created xsi:type="dcterms:W3CDTF">2023-05-15T19:44:00Z</dcterms:created>
  <dcterms:modified xsi:type="dcterms:W3CDTF">2025-10-13T12:49:00Z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EMAIL_OWNER_ADDRESS">
    <vt:lpwstr>sAAAGYoQX4c3X/IklFJMuzT2h1zEF85YBr4xUu0gywynIPs=</vt:lpwstr>
  </property>
  <property fmtid="{D5CDD505-2E9C-101B-9397-08002B2CF9AE}" pid="4" name="MAIL_MSG_ID1">
    <vt:lpwstr>gFAAXJDLFUo5N7s0B8OSAp7uO2yOs9cgdb/IGBSQyaBv29L+2TopbTItDJT4RIhr70neKwJCxc+c6tsU
qm3jmerCeOZ9zztJBC8s3rPHZ2T+aZvX283J3o1+8ES8W3HTTg3S9tiT44wz3uI5dpxtGyzTDYEc
1KYU9gWYrTCHzLba6R5Whm4mJyiepQ5+7lfvR9QkBRTOVzT34UfyquYdeD0p/hmFWg35hF7zDiVL
YZ3Olze7Ms+TGwqvA</vt:lpwstr>
  </property>
  <property fmtid="{D5CDD505-2E9C-101B-9397-08002B2CF9AE}" pid="5" name="MAIL_MSG_ID2">
    <vt:lpwstr>TEe5SiAf3fV1K4pmxegNLcGZFgdumPbUfgLyvGuYeOM6/Odep27Cb/mVYlZ
yZp/wuFbbxQdvLL0nEoMNU+q7jfdnW2Z7yvLNw==</vt:lpwstr>
  </property>
  <property fmtid="{D5CDD505-2E9C-101B-9397-08002B2CF9AE}" pid="6" name="MSIP_Label_5bf193d9-c1cf-45e0-8fa7-a9bc86b7f5dd_ActionId">
    <vt:lpwstr>ced2a3dd-e656-4792-8f2e-1acf08f747b9</vt:lpwstr>
  </property>
  <property fmtid="{D5CDD505-2E9C-101B-9397-08002B2CF9AE}" pid="7" name="MSIP_Label_5bf193d9-c1cf-45e0-8fa7-a9bc86b7f5dd_ContentBits">
    <vt:lpwstr>0</vt:lpwstr>
  </property>
  <property fmtid="{D5CDD505-2E9C-101B-9397-08002B2CF9AE}" pid="8" name="MSIP_Label_5bf193d9-c1cf-45e0-8fa7-a9bc86b7f5dd_Enabled">
    <vt:lpwstr>true</vt:lpwstr>
  </property>
  <property fmtid="{D5CDD505-2E9C-101B-9397-08002B2CF9AE}" pid="9" name="MSIP_Label_5bf193d9-c1cf-45e0-8fa7-a9bc86b7f5dd_Method">
    <vt:lpwstr>Privileged</vt:lpwstr>
  </property>
  <property fmtid="{D5CDD505-2E9C-101B-9397-08002B2CF9AE}" pid="10" name="MSIP_Label_5bf193d9-c1cf-45e0-8fa7-a9bc86b7f5dd_Name">
    <vt:lpwstr>NYISO Proprietary Information</vt:lpwstr>
  </property>
  <property fmtid="{D5CDD505-2E9C-101B-9397-08002B2CF9AE}" pid="11" name="MSIP_Label_5bf193d9-c1cf-45e0-8fa7-a9bc86b7f5dd_SetDate">
    <vt:lpwstr>2022-11-08T15:48:59Z</vt:lpwstr>
  </property>
  <property fmtid="{D5CDD505-2E9C-101B-9397-08002B2CF9AE}" pid="12" name="MSIP_Label_5bf193d9-c1cf-45e0-8fa7-a9bc86b7f5dd_SiteId">
    <vt:lpwstr>7658602a-f7b9-4209-bc62-d2bfc30dea0d</vt:lpwstr>
  </property>
  <property fmtid="{D5CDD505-2E9C-101B-9397-08002B2CF9AE}" pid="13" name="RESPONSE_SENDER_NAME">
    <vt:lpwstr>sAAAb0xRtPDW5UvicE0NGKhQs0SOOifhpeK3K0cxadeNark=</vt:lpwstr>
  </property>
  <property fmtid="{D5CDD505-2E9C-101B-9397-08002B2CF9AE}" pid="14" name="_dlc_DocIdItemGuid">
    <vt:lpwstr>feacc19a-bb25-4428-93d0-c20a4d5e3e8a</vt:lpwstr>
  </property>
</Properties>
</file>