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A716B" w14:paraId="69AE5BF2" w14:textId="77777777">
      <w:pPr>
        <w:pStyle w:val="Heading2"/>
      </w:pPr>
      <w:bookmarkStart w:id="0" w:name="_Toc261446011"/>
      <w:r>
        <w:t>2.19</w:t>
      </w:r>
      <w:r>
        <w:tab/>
        <w:t>Definitions - S</w:t>
      </w:r>
      <w:bookmarkEnd w:id="0"/>
    </w:p>
    <w:p w:rsidR="009A716B" w14:paraId="610A457A" w14:textId="77777777">
      <w:pPr>
        <w:pStyle w:val="Definition"/>
      </w:pPr>
      <w:r>
        <w:rPr>
          <w:b/>
        </w:rPr>
        <w:t>Safe</w:t>
      </w:r>
      <w:r>
        <w:rPr>
          <w:b/>
          <w:bCs/>
        </w:rPr>
        <w:t xml:space="preserve"> Operations</w:t>
      </w:r>
      <w:r>
        <w:t>: Actions which avoid placing personnel and equipment in peril with regard to the safety of life and equipment damage.</w:t>
      </w:r>
    </w:p>
    <w:p w:rsidR="002E351D" w:rsidRPr="004C249B" w:rsidP="004C249B" w14:paraId="62184F1B" w14:textId="77777777">
      <w:pPr>
        <w:pStyle w:val="Definition"/>
      </w:pPr>
      <w:r w:rsidRPr="00313AAA">
        <w:rPr>
          <w:b/>
        </w:rPr>
        <w:t>Scarcity Reserve Demand Curve:</w:t>
      </w:r>
      <w:r w:rsidRPr="00313AAA">
        <w:t xml:space="preserve"> A series of quantity/price points that defines the maximum Shadow Price for Operating Reserves to meet a Scarcity Reserve Requirement for which the pricing rules established in Section 15.4.6.1.1(b) of Rate Schedule 4 of this ISO Services Tariff apply corresponding to each possible quantity of Resources that the ISO’s software may schedule to satisfy that requirement.  A single Scarcity Reserve Demand Curve will apply to the Real-Time Market for each such Scarcity Reserve Requirement.</w:t>
      </w:r>
    </w:p>
    <w:p w:rsidR="008A094E" w14:paraId="599FAD54"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8A094E" w14:paraId="5DC94648" w14:textId="77777777">
      <w:pPr>
        <w:pStyle w:val="Definition"/>
      </w:pPr>
      <w:r>
        <w:rPr>
          <w:b/>
        </w:rPr>
        <w:t xml:space="preserve">Scarcity Reserve Requirement: </w:t>
      </w:r>
      <w:r>
        <w:t>A 30-Minute Reserve requirement established by the ISO for a Scarcity Reserve Region in accordance with Rate Schedule 4 of this ISO Services Tariff.</w:t>
      </w:r>
    </w:p>
    <w:p w:rsidR="009A716B" w14:paraId="0D9A1F09" w14:textId="77777777">
      <w:pPr>
        <w:pStyle w:val="Definition"/>
      </w:pPr>
      <w:r>
        <w:rPr>
          <w:b/>
        </w:rPr>
        <w:t>Scheduled Energy Injections:</w:t>
      </w:r>
      <w:r>
        <w:t xml:space="preserve"> As defined in the ISO OATT.</w:t>
      </w:r>
    </w:p>
    <w:p w:rsidR="009A716B" w14:paraId="6CA55ECE" w14:textId="77777777">
      <w:pPr>
        <w:pStyle w:val="Definition"/>
      </w:pPr>
      <w:r>
        <w:rPr>
          <w:b/>
        </w:rPr>
        <w:t>Scheduled Energy Withdrawals</w:t>
      </w:r>
      <w:r>
        <w:t>: As defined in the ISO OATT.</w:t>
      </w:r>
    </w:p>
    <w:p w:rsidR="009A716B" w14:paraId="1F32EA11" w14:textId="77777777">
      <w:pPr>
        <w:pStyle w:val="Definition"/>
      </w:pPr>
      <w:r>
        <w:rPr>
          <w:b/>
        </w:rPr>
        <w:t>Scheduled</w:t>
      </w:r>
      <w:r>
        <w:rPr>
          <w:b/>
          <w:bCs/>
        </w:rPr>
        <w:t xml:space="preserve"> Line</w:t>
      </w:r>
      <w:r>
        <w:t xml:space="preserve">: A transmission facility or set of transmission facilities: (a) that provide a distinct scheduling path interconnecting the ISO with an adjacent control area, (b) over which Customers are permitted to schedule External Transactions, (c) for which the 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 </w:t>
      </w:r>
    </w:p>
    <w:p w:rsidR="009A716B" w14:paraId="7F4A50EF" w14:textId="77777777">
      <w:pPr>
        <w:pStyle w:val="Definition"/>
      </w:pPr>
      <w:r>
        <w:rPr>
          <w:b/>
        </w:rPr>
        <w:t>SCR Aggregation:</w:t>
      </w:r>
      <w:r>
        <w:t xml:space="preserve"> One or more Special Case Resources registered by the Responsible Interface Party at a single PTID, with the Load of each Special Case Resource electrically located within the same single Load Zone and the total of all Loads at the PTID greater than or equal to 0.1 MW. </w:t>
      </w:r>
    </w:p>
    <w:p w:rsidR="009A716B" w14:paraId="610FDAF5" w14:textId="77777777">
      <w:pPr>
        <w:pStyle w:val="Definition"/>
      </w:pPr>
      <w:r>
        <w:rPr>
          <w:b/>
        </w:rPr>
        <w:t xml:space="preserve">SCR Change of Load: </w:t>
      </w:r>
      <w:r>
        <w:rPr>
          <w:bCs/>
        </w:rPr>
        <w:t xml:space="preserve">A decrease in the Load of the SCR that meets the criteria of a Qualified Change of Load Condition </w:t>
      </w:r>
      <w:r>
        <w:t xml:space="preserve">and the SCR Load Change Reporting Threshold </w:t>
      </w:r>
      <w:r>
        <w:rPr>
          <w:bCs/>
        </w:rPr>
        <w:t>in accordance with this Services Tariff and results in</w:t>
      </w:r>
      <w:r>
        <w:t xml:space="preserve"> a total Load reduction, within the range of hours that corresponds with the Capability Period SCR Load Zone Peak Hours, and the total Load reduction persists for more than seven (7) and less than or equal to sixty (60) continuous days from the first date of the reduction of the Load.</w:t>
      </w:r>
    </w:p>
    <w:p w:rsidR="009A716B" w14:paraId="384FC5D7" w14:textId="77777777">
      <w:pPr>
        <w:pStyle w:val="Definition"/>
      </w:pPr>
      <w:r>
        <w:rPr>
          <w:b/>
        </w:rPr>
        <w:t xml:space="preserve">SCR Change of Status: </w:t>
      </w:r>
      <w:r>
        <w:rPr>
          <w:bCs/>
        </w:rPr>
        <w:t xml:space="preserve">The decrease to be treated as an adjustment to the applicable Average Coincident Load of a Special Case Resource </w:t>
      </w:r>
      <w:r>
        <w:t xml:space="preserve">when the SCR meets the criteria of a Qualified Change of Status Condition and the SCR Load Change Reporting Threshold in accordance with this Services Tariff and results in a total Load reduction, within the range of hours that corresponds with the Capability Period SCR Load Zone Peak Hours, and the total Load reduction persists for more than sixty (60) continuous days from the first date of the reduction of the Load. </w:t>
      </w:r>
    </w:p>
    <w:p w:rsidR="009A716B" w14:paraId="6765A4F7" w14:textId="7F580E09">
      <w:pPr>
        <w:pStyle w:val="Definition"/>
        <w:rPr>
          <w:b/>
        </w:rPr>
      </w:pPr>
      <w:r>
        <w:rPr>
          <w:b/>
          <w:bCs/>
        </w:rPr>
        <w:t xml:space="preserve">SCR Load Change Reporting Threshold: </w:t>
      </w:r>
      <w:r>
        <w:rPr>
          <w:bCs/>
        </w:rPr>
        <w:t xml:space="preserve">For a Special Case Resource with an applicable ACL greater than or equal to 500 kW, a reduction or increase in total Load not attributable to fluctuations in Load due to weather as described in ISO Procedures, that is equal to or greater than </w:t>
      </w:r>
      <w:r>
        <w:t>(i) thirty (30) percent of the applicable ACL for any month within the Capability Period, or (ii) five (5) MW in the NYC Locality or ten(10) MW if in any other Load Zone; whichever is less.  For SCRs that elect to enroll with an Incremental ACL and do not increase the eligible Installed Capacity associated with the SCR, the RIP may enroll the SCR with a lower percentage change to its total Load increase as specified in Section 5.12.11.1.5 of this Services Tariff.</w:t>
      </w:r>
    </w:p>
    <w:p w:rsidR="009A716B" w14:paraId="41768C18" w14:textId="77777777">
      <w:pPr>
        <w:pStyle w:val="Definition"/>
      </w:pPr>
      <w:r>
        <w:rPr>
          <w:b/>
        </w:rPr>
        <w:t>SCUC</w:t>
      </w:r>
      <w:r>
        <w:t>: Security Constrained Unit Commitment, described in Section 4.2.4 of this ISO Services Tariff.</w:t>
      </w:r>
    </w:p>
    <w:p w:rsidR="009A716B" w14:paraId="7BE951ED" w14:textId="77777777">
      <w:pPr>
        <w:pStyle w:val="Definition"/>
      </w:pPr>
      <w:r>
        <w:rPr>
          <w:b/>
        </w:rPr>
        <w:t>Secondary</w:t>
      </w:r>
      <w:r>
        <w:rPr>
          <w:b/>
          <w:bCs/>
        </w:rPr>
        <w:t xml:space="preserve"> Holder</w:t>
      </w:r>
      <w:r>
        <w:t xml:space="preserve">: </w:t>
      </w:r>
      <w:r w:rsidR="008C274D">
        <w:t>As defined in the ISO OATT</w:t>
      </w:r>
      <w:r>
        <w:t>.</w:t>
      </w:r>
    </w:p>
    <w:p w:rsidR="009A716B" w14:paraId="40F8EFCD" w14:textId="77777777">
      <w:pPr>
        <w:pStyle w:val="Definition"/>
      </w:pPr>
      <w:r>
        <w:rPr>
          <w:b/>
          <w:bCs/>
        </w:rPr>
        <w:t xml:space="preserve">Second </w:t>
      </w:r>
      <w:r>
        <w:rPr>
          <w:b/>
        </w:rPr>
        <w:t>Settlement</w:t>
      </w:r>
      <w:r>
        <w:t xml:space="preserve">: The process of: (1) identifying differences between Energy production, Energy consumption or NYS Transmission System usage scheduled in a First Settlement and actual production, consumption, or usage during the Dispatch Day; and (2) assigning financial responsibility for those differences to the appropriate Customers and Market Participants.  Charges for Energy supplied (to replace </w:t>
      </w:r>
      <w:r>
        <w:rPr>
          <w:iCs/>
        </w:rPr>
        <w:t>g</w:t>
      </w:r>
      <w:r>
        <w:t>eneration deficiencies or unscheduled consumption), and payments for Energy consumed (to absorb consumption deficiencies or excess Energy supply) or changes in transmission usage will be based on the Real</w:t>
      </w:r>
      <w:r>
        <w:noBreakHyphen/>
        <w:t>Time LBMPs.</w:t>
      </w:r>
    </w:p>
    <w:p w:rsidR="009A716B" w14:paraId="29146B4F" w14:textId="77777777">
      <w:pPr>
        <w:pStyle w:val="Definition"/>
        <w:rPr>
          <w:bCs/>
        </w:rPr>
      </w:pPr>
      <w:r>
        <w:rPr>
          <w:b/>
        </w:rPr>
        <w:t>Secondary</w:t>
      </w:r>
      <w:r>
        <w:rPr>
          <w:b/>
          <w:bCs/>
        </w:rPr>
        <w:t xml:space="preserve"> Market</w:t>
      </w:r>
      <w:r>
        <w:t xml:space="preserve">: </w:t>
      </w:r>
      <w:r w:rsidR="008C274D">
        <w:t>As defined in the ISO OATT</w:t>
      </w:r>
      <w:r>
        <w:rPr>
          <w:bCs/>
        </w:rPr>
        <w:t>.</w:t>
      </w:r>
    </w:p>
    <w:p w:rsidR="009A716B" w14:paraId="0F657564" w14:textId="77777777">
      <w:pPr>
        <w:pStyle w:val="Definition"/>
      </w:pPr>
      <w:r>
        <w:rPr>
          <w:b/>
        </w:rPr>
        <w:t>Security</w:t>
      </w:r>
      <w:r>
        <w:rPr>
          <w:b/>
          <w:bCs/>
        </w:rPr>
        <w:t xml:space="preserve"> Coordinator</w:t>
      </w:r>
      <w:r>
        <w:t>: An entity that provides the security assessment and Emergency operations coordination for a group of Control Areas.  A Security Coordinator must not participate in the wholesale or retail merchant functions.</w:t>
      </w:r>
    </w:p>
    <w:p w:rsidR="009A716B" w14:paraId="42553FF1" w14:textId="65402520">
      <w:pPr>
        <w:pStyle w:val="Definition"/>
        <w:rPr>
          <w:iCs/>
        </w:rPr>
      </w:pPr>
      <w:r>
        <w:rPr>
          <w:b/>
        </w:rPr>
        <w:t>Self</w:t>
      </w:r>
      <w:r>
        <w:rPr>
          <w:b/>
          <w:bCs/>
          <w:iCs/>
        </w:rPr>
        <w:t>-Committed Fixed</w:t>
      </w:r>
      <w:r>
        <w:t xml:space="preserve">: </w:t>
      </w:r>
      <w:r>
        <w:rPr>
          <w:iCs/>
        </w:rPr>
        <w:t xml:space="preserve">A bidding mode in which a Generator </w:t>
      </w:r>
      <w:r w:rsidR="004D072A">
        <w:rPr>
          <w:iCs/>
        </w:rPr>
        <w:t xml:space="preserve">or Aggregation </w:t>
      </w:r>
      <w:r>
        <w:rPr>
          <w:iCs/>
        </w:rPr>
        <w:t>is self-committed and opts not to be Dispatchable over any portion of its operating range.</w:t>
      </w:r>
    </w:p>
    <w:p w:rsidR="009A716B" w14:paraId="5B82C662" w14:textId="37FB68EF">
      <w:pPr>
        <w:pStyle w:val="Definition"/>
        <w:rPr>
          <w:iCs/>
        </w:rPr>
      </w:pPr>
      <w:r>
        <w:rPr>
          <w:b/>
          <w:bCs/>
          <w:iCs/>
        </w:rPr>
        <w:t>Self-Committed Flexible</w:t>
      </w:r>
      <w:r>
        <w:t xml:space="preserve">: </w:t>
      </w:r>
      <w:r>
        <w:rPr>
          <w:iCs/>
        </w:rPr>
        <w:t xml:space="preserve">A bidding mode in which a Dispatchable Generator </w:t>
      </w:r>
      <w:r w:rsidR="004D072A">
        <w:rPr>
          <w:iCs/>
        </w:rPr>
        <w:t xml:space="preserve">or Aggregation </w:t>
      </w:r>
      <w:r>
        <w:rPr>
          <w:iCs/>
        </w:rPr>
        <w:t>follows Base Point Signals within a portion of its operating range, but self-commits.</w:t>
      </w:r>
    </w:p>
    <w:p w:rsidR="001251C6" w:rsidP="001251C6" w14:paraId="43018288" w14:textId="772B6308">
      <w:pPr>
        <w:pStyle w:val="Definition"/>
        <w:rPr>
          <w:iCs/>
        </w:rPr>
      </w:pPr>
      <w:r w:rsidRPr="00967B35">
        <w:rPr>
          <w:b/>
          <w:iCs/>
        </w:rPr>
        <w:t>Self-Managed Energy Level</w:t>
      </w:r>
      <w:r>
        <w:rPr>
          <w:iCs/>
        </w:rPr>
        <w:t xml:space="preserve">:  </w:t>
      </w:r>
      <w:r w:rsidRPr="0078639A">
        <w:rPr>
          <w:iCs/>
        </w:rPr>
        <w:t>A Bid parameter which when selected</w:t>
      </w:r>
      <w:r>
        <w:rPr>
          <w:iCs/>
        </w:rPr>
        <w:t xml:space="preserve"> </w:t>
      </w:r>
      <w:r w:rsidRPr="008F46AB">
        <w:rPr>
          <w:iCs/>
        </w:rPr>
        <w:t>indicates that an Energy Storage Resource’s</w:t>
      </w:r>
      <w:r w:rsidR="004D072A">
        <w:rPr>
          <w:iCs/>
        </w:rPr>
        <w:t>, or Aggregation comprised entirely of Energy Storage Resources,</w:t>
      </w:r>
      <w:r w:rsidRPr="008F46AB">
        <w:rPr>
          <w:iCs/>
        </w:rPr>
        <w:t xml:space="preserve"> Energy Level constraints will not be directly accounted for in the optimization. </w:t>
      </w:r>
      <w:r w:rsidRPr="008F46AB">
        <w:rPr>
          <w:i/>
          <w:iCs/>
        </w:rPr>
        <w:t>See</w:t>
      </w:r>
      <w:r w:rsidRPr="008F46AB">
        <w:rPr>
          <w:iCs/>
        </w:rPr>
        <w:t xml:space="preserve"> Sections 4.2.1.3.4 and 4.4.2.1 of this Services Tariff.</w:t>
      </w:r>
    </w:p>
    <w:p w:rsidR="009A716B" w14:paraId="2BF96895" w14:textId="77777777">
      <w:pPr>
        <w:pStyle w:val="Definition"/>
      </w:pPr>
      <w:r>
        <w:rPr>
          <w:b/>
        </w:rPr>
        <w:t>Self</w:t>
      </w:r>
      <w:r>
        <w:rPr>
          <w:b/>
          <w:bCs/>
        </w:rPr>
        <w:noBreakHyphen/>
        <w:t>Supply</w:t>
      </w:r>
      <w:r>
        <w:t>: The provision of certain Ancillary Services, or the provision of Energy to replace Marginal Losses by a Transmission Customer using either the Transmission Customer’s own Generators or generation obtained from an entity other than the ISO.</w:t>
      </w:r>
    </w:p>
    <w:p w:rsidR="009A716B" w14:paraId="1A2DF96B" w14:textId="77777777">
      <w:pPr>
        <w:pStyle w:val="Definition"/>
      </w:pPr>
      <w:r>
        <w:rPr>
          <w:b/>
        </w:rPr>
        <w:t>Service</w:t>
      </w:r>
      <w:r>
        <w:rPr>
          <w:b/>
          <w:bCs/>
        </w:rPr>
        <w:t xml:space="preserve"> Agreement</w:t>
      </w:r>
      <w:r>
        <w:t>: The agreement, in the form of Attachment A to the Tariff, and any amendments or supplements thereto entered into by a Customer and the ISO of service under the Tariff, or any unexecuted Service Agreement, amendments or supplements thereto, that the ISO unilaterally files with the Commission.</w:t>
      </w:r>
    </w:p>
    <w:p w:rsidR="009A716B" w14:paraId="70C636D0" w14:textId="77777777">
      <w:pPr>
        <w:pStyle w:val="Definition"/>
      </w:pPr>
      <w:r>
        <w:rPr>
          <w:b/>
        </w:rPr>
        <w:t>Service</w:t>
      </w:r>
      <w:r>
        <w:rPr>
          <w:b/>
          <w:bCs/>
        </w:rPr>
        <w:t xml:space="preserve"> Commencement Date</w:t>
      </w:r>
      <w:r>
        <w:t>: The date that the ISO begins to provide service pursuant to the terms of a Service Agreement, or in accordance with the Tariff.</w:t>
      </w:r>
    </w:p>
    <w:p w:rsidR="009A716B" w14:paraId="7F31CB8F" w14:textId="77777777">
      <w:pPr>
        <w:pStyle w:val="Definition"/>
      </w:pPr>
      <w:r>
        <w:rPr>
          <w:b/>
        </w:rPr>
        <w:t>Settlement</w:t>
      </w:r>
      <w:r>
        <w:t>: The process of determining the charges to be paid to, or by, a Customer to satisfy its obligations.</w:t>
      </w:r>
    </w:p>
    <w:p w:rsidR="009A716B" w14:paraId="345B32D9" w14:textId="77777777">
      <w:pPr>
        <w:pStyle w:val="Definition"/>
      </w:pPr>
      <w:r>
        <w:rPr>
          <w:b/>
        </w:rPr>
        <w:t>Shadow</w:t>
      </w:r>
      <w:r>
        <w:rPr>
          <w:rFonts w:ascii="Times New Roman Bold" w:hAnsi="Times New Roman Bold"/>
          <w:b/>
          <w:bCs/>
        </w:rPr>
        <w:t xml:space="preserve"> Price</w:t>
      </w:r>
      <w:r>
        <w:t>: The marginal value of relieving a particular Constraint which is determined by the reduction in system cost that results from an incremental relaxation of that Constraint.</w:t>
      </w:r>
    </w:p>
    <w:p w:rsidR="009A716B" w14:paraId="29BA7916" w14:textId="77777777">
      <w:pPr>
        <w:pStyle w:val="Definition"/>
        <w:rPr>
          <w:b/>
        </w:rPr>
      </w:pPr>
      <w:r>
        <w:rPr>
          <w:b/>
        </w:rPr>
        <w:t>Shift Factor (“SF”)</w:t>
      </w:r>
      <w:r>
        <w:t>: A ratio, calculated by the ISO, that compares the change in power flow through a transmission facility resulting from the incremental injection and withdrawal of power on the NYS Transmission System.</w:t>
      </w:r>
    </w:p>
    <w:p w:rsidR="009A716B" w14:paraId="71C41B0E" w14:textId="6148582B">
      <w:pPr>
        <w:pStyle w:val="Definition"/>
      </w:pPr>
      <w:r>
        <w:rPr>
          <w:b/>
        </w:rPr>
        <w:t>Shutdown Period</w:t>
      </w:r>
      <w:r>
        <w:t xml:space="preserve">: An ISO approved </w:t>
      </w:r>
      <w:r>
        <w:t>period of time</w:t>
      </w:r>
      <w:r>
        <w:t xml:space="preserve"> immediately following a shutdown order, such as a </w:t>
      </w:r>
      <w:r>
        <w:t>zero base</w:t>
      </w:r>
      <w:r>
        <w:t xml:space="preserve"> point, that has been designated by the Customer, during which unstable operation prevents the unit from accurately following its base points.</w:t>
      </w:r>
      <w:r w:rsidR="004D072A">
        <w:t xml:space="preserve">  The Shut-Down Period shall be set to zero for a BTM:NG Resource, an Energy Storage Resource, and an Aggregation.</w:t>
      </w:r>
    </w:p>
    <w:p w:rsidR="009A716B" w14:paraId="0B4ECEAB" w14:textId="77777777">
      <w:pPr>
        <w:pStyle w:val="Definition"/>
      </w:pPr>
      <w:r>
        <w:rPr>
          <w:b/>
          <w:bCs/>
        </w:rPr>
        <w:t>Sink Price Cap Bid</w:t>
      </w:r>
      <w:r>
        <w:t>: A monotonically increasing Bid curve provided by an entity engaged in an Export, other than an entity submitting a CTS Interface Bid, to indicate the relevant Proxy Generator Bus LBMP at or below which that entity is willing to either purchase Energy in the LBMP Markets or, in the case of Bilateral Transactions, to accept Transmission Service, where the MW amounts on the Bid curve represent the desired increments of Energy that the entity is willing to purchase at various price points.</w:t>
      </w:r>
    </w:p>
    <w:p w:rsidR="00273281" w14:paraId="695B1CDB" w14:textId="77777777">
      <w:pPr>
        <w:pStyle w:val="Definition"/>
      </w:pPr>
      <w:r>
        <w:rPr>
          <w:b/>
        </w:rPr>
        <w:t>Southeastern New York (</w:t>
      </w:r>
      <w:r w:rsidR="00704541">
        <w:rPr>
          <w:b/>
        </w:rPr>
        <w:t>“</w:t>
      </w:r>
      <w:r>
        <w:rPr>
          <w:b/>
        </w:rPr>
        <w:t>SENY</w:t>
      </w:r>
      <w:r w:rsidR="00704541">
        <w:rPr>
          <w:b/>
        </w:rPr>
        <w:t>”</w:t>
      </w:r>
      <w:r>
        <w:rPr>
          <w:b/>
        </w:rPr>
        <w:t>):</w:t>
      </w:r>
      <w:r>
        <w:t xml:space="preserve"> An electrical area comprised of Load Zones G, H, I, J, and K, as identified in the ISO Procedures.</w:t>
      </w:r>
    </w:p>
    <w:p w:rsidR="009A716B" w14:paraId="676EFA3D" w14:textId="00F17B3F">
      <w:pPr>
        <w:pStyle w:val="Definition"/>
      </w:pPr>
      <w:r>
        <w:rPr>
          <w:b/>
          <w:bCs/>
        </w:rPr>
        <w:t>Special Case Resource (“SCR”)</w:t>
      </w:r>
      <w:r>
        <w:t xml:space="preserve">: Demand Side Resources whose Load is capable of being interrupted upon demand at the direction of the ISO, and/or Demand Side Resources that have a Local Generator, which is not visible to the ISO’s Market Information System and is rated 100 kW or higher, that can be operated to reduce Load from the NYS Transmission System or the distribution system at the direction of the ISO.  Special Case Resources are subject to special rules, set forth in Section 5.12.11.1 of this </w:t>
      </w:r>
      <w:r>
        <w:rPr>
          <w:iCs/>
        </w:rPr>
        <w:t xml:space="preserve">ISO Services </w:t>
      </w:r>
      <w:r>
        <w:t xml:space="preserve">Tariff and related ISO Procedures, </w:t>
      </w:r>
      <w:r>
        <w:t>in order to</w:t>
      </w:r>
      <w:r>
        <w:t xml:space="preserve"> facilitate their participation in the Installed Capacity market as Installed Capacity Suppliers.  </w:t>
      </w:r>
    </w:p>
    <w:p w:rsidR="009A716B" w14:paraId="2782D998" w14:textId="77777777">
      <w:pPr>
        <w:pStyle w:val="Definition"/>
      </w:pPr>
      <w:r>
        <w:rPr>
          <w:b/>
        </w:rPr>
        <w:t>Special Case Resource Capacity</w:t>
      </w:r>
      <w:r>
        <w:t>: The Installed Capacity Equivalent of the Unforced Capacity which has been sold by a Special Case Resource in the Installed Capacity market during the current Capability Period.</w:t>
      </w:r>
    </w:p>
    <w:p w:rsidR="009A716B" w14:paraId="61E2511E" w14:textId="37090D1E">
      <w:pPr>
        <w:pStyle w:val="Definition"/>
      </w:pPr>
      <w:r>
        <w:rPr>
          <w:b/>
        </w:rPr>
        <w:t>Start-Up Period</w:t>
      </w:r>
      <w:r>
        <w:t>: An ISO approved period of time immediately following synchronization to the Bulk power system, which has been designated by a Customer and bid into the Real-Time Market, during which unstable operation prevents the unit from accurately following its base points.</w:t>
      </w:r>
      <w:r w:rsidR="003F5EAF">
        <w:t xml:space="preserve">  The Start-Up Period shall be set to zero for a BTM:NG Resource</w:t>
      </w:r>
      <w:r w:rsidR="001251C6">
        <w:t xml:space="preserve"> </w:t>
      </w:r>
      <w:r w:rsidRPr="008F46AB" w:rsidR="001251C6">
        <w:t>and Energy Storage Resource</w:t>
      </w:r>
      <w:r w:rsidR="004D072A">
        <w:t xml:space="preserve"> and an Aggregation</w:t>
      </w:r>
      <w:r w:rsidR="003F5EAF">
        <w:t>.</w:t>
      </w:r>
    </w:p>
    <w:p w:rsidR="009A716B" w14:paraId="424ECEE1" w14:textId="77777777">
      <w:pPr>
        <w:pStyle w:val="Definition"/>
        <w:spacing w:after="120"/>
      </w:pPr>
      <w:r>
        <w:rPr>
          <w:b/>
          <w:bCs/>
        </w:rPr>
        <w:t xml:space="preserve">Station </w:t>
      </w:r>
      <w:r>
        <w:rPr>
          <w:b/>
        </w:rPr>
        <w:t>Power</w:t>
      </w:r>
      <w:r>
        <w:t xml:space="preserve">: Station Power shall mean the Energy used by a Generator: </w:t>
      </w:r>
    </w:p>
    <w:p w:rsidR="009A716B" w14:paraId="6463658D" w14:textId="77777777">
      <w:pPr>
        <w:pStyle w:val="Definitionindent"/>
        <w:ind w:left="1440" w:hanging="720"/>
      </w:pPr>
      <w:r>
        <w:t>1.</w:t>
      </w:r>
      <w:r>
        <w:tab/>
        <w:t>for operating electric equipment located on the Generator site, or portions thereof, owned by the same entity that owns the Generator, which electrical equipment is used by the Generator exclusively for the production of Energy and any useful thermal energy associated with the production of Energy; and</w:t>
      </w:r>
    </w:p>
    <w:p w:rsidR="009A716B" w14:paraId="543BCDEE" w14:textId="77777777">
      <w:pPr>
        <w:pStyle w:val="Definitionindent"/>
        <w:ind w:left="1440" w:hanging="720"/>
      </w:pPr>
      <w:r>
        <w:t>2.</w:t>
      </w:r>
      <w:r>
        <w:tab/>
        <w:t>for the incidental heating, lighting, air conditioning and office equipment needs of buildings, or portions thereof, that are: owned by the same entity that owns the Generator; located on the Generator site; and</w:t>
      </w:r>
    </w:p>
    <w:p w:rsidR="009A716B" w14:paraId="1557F908" w14:textId="77777777">
      <w:pPr>
        <w:pStyle w:val="Definitionindent"/>
        <w:ind w:left="1440" w:hanging="720"/>
      </w:pPr>
      <w:r>
        <w:t>3.</w:t>
      </w:r>
      <w:r>
        <w:tab/>
        <w:t xml:space="preserve">used by the Generator exclusively in connection with the production of Energy and any useful thermal energy associated with the production of Energy.  </w:t>
      </w:r>
    </w:p>
    <w:p w:rsidR="009A716B" w14:paraId="6AF96C04" w14:textId="1896225B">
      <w:pPr>
        <w:pStyle w:val="Definitionindent"/>
        <w:spacing w:after="240"/>
        <w:ind w:left="0" w:firstLine="720"/>
        <w:rPr>
          <w:i/>
          <w:iCs/>
        </w:rPr>
      </w:pPr>
      <w:r>
        <w:t>Station Power does not include any Energy:  (i) used to power synchronous condensers; (ii) used for pumping at a pumped storage facility or for charging Limited Energy Storage Resource</w:t>
      </w:r>
      <w:r w:rsidR="001251C6">
        <w:t xml:space="preserve">s </w:t>
      </w:r>
      <w:r w:rsidRPr="0078639A" w:rsidR="001251C6">
        <w:t>and Energy Storage Resources when that Energy is stored for later injection back to the grid</w:t>
      </w:r>
      <w:r>
        <w:t>; (iii) provided during a Black Start restoration by Generators that provide Black Start Capability Service</w:t>
      </w:r>
      <w:r w:rsidR="004D072A">
        <w:t>; or (iv) used by a Resource in a</w:t>
      </w:r>
      <w:r w:rsidR="00551680">
        <w:t>n</w:t>
      </w:r>
      <w:r w:rsidR="004D072A">
        <w:t xml:space="preserve"> Aggregation</w:t>
      </w:r>
      <w:r>
        <w:t>.</w:t>
      </w:r>
    </w:p>
    <w:p w:rsidR="009A716B" w14:paraId="7DB1B38F" w14:textId="7F80C38F">
      <w:pPr>
        <w:pStyle w:val="Definition"/>
        <w:spacing w:after="120"/>
        <w:rPr>
          <w:iCs/>
        </w:rPr>
      </w:pPr>
      <w:r>
        <w:rPr>
          <w:b/>
          <w:bCs/>
          <w:iCs/>
        </w:rPr>
        <w:t>Start-Up Bid</w:t>
      </w:r>
      <w:r>
        <w:t xml:space="preserve">: </w:t>
      </w:r>
      <w:r>
        <w:rPr>
          <w:iCs/>
        </w:rPr>
        <w:t xml:space="preserve">A Bid parameter that may vary hourly and </w:t>
      </w:r>
      <w:r>
        <w:t>that</w:t>
      </w:r>
      <w:r>
        <w:rPr>
          <w:iCs/>
        </w:rPr>
        <w:t xml:space="preserve"> identifies the payment a Supplier requires to bring a Generator up to its specified minimum operating level from an offline state.</w:t>
      </w:r>
      <w:r w:rsidR="003F5EAF">
        <w:rPr>
          <w:iCs/>
        </w:rPr>
        <w:t xml:space="preserve">  If the Supplier is a BTM:NG Resource</w:t>
      </w:r>
      <w:r w:rsidR="004D072A">
        <w:rPr>
          <w:iCs/>
        </w:rPr>
        <w:t>,</w:t>
      </w:r>
      <w:r w:rsidR="001251C6">
        <w:rPr>
          <w:iCs/>
        </w:rPr>
        <w:t xml:space="preserve"> </w:t>
      </w:r>
      <w:r w:rsidRPr="008F46AB" w:rsidR="001251C6">
        <w:rPr>
          <w:iCs/>
        </w:rPr>
        <w:t>Energy Storage Resource</w:t>
      </w:r>
      <w:r w:rsidR="004D072A">
        <w:rPr>
          <w:iCs/>
        </w:rPr>
        <w:t xml:space="preserve"> or an Aggregation</w:t>
      </w:r>
      <w:r w:rsidR="003F5EAF">
        <w:rPr>
          <w:iCs/>
        </w:rPr>
        <w:t>, it shall not submit a Start-Up Bid.</w:t>
      </w:r>
    </w:p>
    <w:p w:rsidR="009A716B" w14:paraId="25427A8C" w14:textId="77777777">
      <w:pPr>
        <w:pStyle w:val="Definitionindent"/>
        <w:spacing w:before="0" w:after="240"/>
        <w:ind w:left="0" w:firstLine="720"/>
      </w:pPr>
      <w:r>
        <w:t>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incorporates costs related to the hours that a Generator needs to run on the day following the Dispatch Day on which the Generator is committed are set forth in Attachment C to this ISO Services Tariff.</w:t>
      </w:r>
    </w:p>
    <w:p w:rsidR="009A716B" w14:paraId="0264219B" w14:textId="77777777">
      <w:pPr>
        <w:pStyle w:val="Definition"/>
      </w:pPr>
      <w:r>
        <w:rPr>
          <w:b/>
          <w:bCs/>
        </w:rPr>
        <w:t>Storm Watch</w:t>
      </w:r>
      <w:r>
        <w:t>: Actual or anticipated severe weather conditions under which region-specific portions of the NYS Transmission System are operated in a more conservative manner by reducing transmission transfer limits.</w:t>
      </w:r>
    </w:p>
    <w:p w:rsidR="009A716B" w14:paraId="5669FB7E" w14:textId="77777777">
      <w:pPr>
        <w:pStyle w:val="Definition"/>
      </w:pPr>
      <w:r>
        <w:rPr>
          <w:b/>
        </w:rPr>
        <w:t>Strandable Costs</w:t>
      </w:r>
      <w:r>
        <w:t>: 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9A716B" w14:paraId="3AE1F5DB" w14:textId="77777777">
      <w:pPr>
        <w:pStyle w:val="Definition"/>
      </w:pPr>
      <w:r>
        <w:rPr>
          <w:b/>
        </w:rPr>
        <w:t>Stranded Investment Recovery Charge</w:t>
      </w:r>
      <w:r>
        <w:t>: A charge established by a Transmission Owner to recover Strandable Costs.</w:t>
      </w:r>
    </w:p>
    <w:p w:rsidR="009A716B" w14:paraId="09A19E51" w14:textId="77777777">
      <w:pPr>
        <w:pStyle w:val="Definition"/>
      </w:pPr>
      <w:r>
        <w:rPr>
          <w:b/>
        </w:rPr>
        <w:t>Study Month</w:t>
      </w:r>
      <w:r>
        <w:t>:  The calendar month for which the ISO calculates the Monthly Net Benefit Offer Floor, in accordance with Section 4.2.1.9 of the ISO Services Tariff and ISO Procedures.</w:t>
      </w:r>
    </w:p>
    <w:p w:rsidR="009A716B" w14:paraId="18432F0B" w14:textId="77777777">
      <w:pPr>
        <w:pStyle w:val="Definition"/>
      </w:pPr>
      <w:r>
        <w:rPr>
          <w:b/>
        </w:rPr>
        <w:t>Subzone</w:t>
      </w:r>
      <w:r>
        <w:t>: That portion of a Load Zone in a Transmission Owner’s Transmission District.</w:t>
      </w:r>
    </w:p>
    <w:p w:rsidR="009A716B" w14:paraId="64707383" w14:textId="77777777">
      <w:pPr>
        <w:pStyle w:val="Definition"/>
      </w:pPr>
      <w:r>
        <w:rPr>
          <w:b/>
        </w:rPr>
        <w:t>Supplemental Event Interval</w:t>
      </w:r>
      <w:r>
        <w:t>: Any RTD interval in which there is a maximum generation pickup or a large event reserve pickup or which is one of the three RTD intervals following the termination of the maximum generation pickup or the large event reserve pickup.</w:t>
      </w:r>
    </w:p>
    <w:p w:rsidR="009A716B" w14:paraId="490C6379" w14:textId="3B15A50F">
      <w:pPr>
        <w:pStyle w:val="Definition"/>
        <w:rPr>
          <w:b/>
        </w:rPr>
      </w:pPr>
      <w:r>
        <w:rPr>
          <w:b/>
        </w:rPr>
        <w:t>Supplemental Resource Evaluation ("SRE")</w:t>
      </w:r>
      <w:r>
        <w:t xml:space="preserve">: A determination of </w:t>
      </w:r>
      <w:r w:rsidR="004D072A">
        <w:t xml:space="preserve">(i) </w:t>
      </w:r>
      <w:r>
        <w:t>the least cost selection of additional Generators</w:t>
      </w:r>
      <w:r w:rsidR="004D072A">
        <w:t xml:space="preserve"> or Aggregations</w:t>
      </w:r>
      <w:r>
        <w:t xml:space="preserve">,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w:t>
      </w:r>
      <w:r w:rsidR="004D072A">
        <w:t xml:space="preserve">the least cost selection of additional Generators, which are to be committed to meet </w:t>
      </w:r>
      <w:r>
        <w:t>forecast Load and reserve requirements over the six-day period that follows the Dispatch Day.</w:t>
      </w:r>
      <w:r w:rsidR="004D072A">
        <w:t xml:space="preserve">  An Aggregation or ESR is expected to be available in real-time and capable of injecting Energy at its full capability for </w:t>
      </w:r>
      <w:r w:rsidR="004D072A">
        <w:t>all of</w:t>
      </w:r>
      <w:r w:rsidR="004D072A">
        <w:t xml:space="preserve"> the SRE commitment hours it receives.</w:t>
      </w:r>
    </w:p>
    <w:p w:rsidR="009A716B" w14:paraId="7B50EE99" w14:textId="02582C31">
      <w:pPr>
        <w:pStyle w:val="Definition"/>
      </w:pPr>
      <w:r>
        <w:rPr>
          <w:b/>
        </w:rPr>
        <w:t>Supplier</w:t>
      </w:r>
      <w:r>
        <w:t>: A Party that is supplying the Capacity, Energy and/or associated Ancillary Services to be made available under the ISO OATT or the ISO Services Tariff, including Generators</w:t>
      </w:r>
      <w:r w:rsidR="003F5EAF">
        <w:t>, BTM:NG Resources,</w:t>
      </w:r>
      <w:r>
        <w:t xml:space="preserve"> </w:t>
      </w:r>
      <w:r w:rsidRPr="008F46AB" w:rsidR="001251C6">
        <w:rPr>
          <w:iCs/>
        </w:rPr>
        <w:t>Energy Storage Resource</w:t>
      </w:r>
      <w:r w:rsidR="001251C6">
        <w:rPr>
          <w:iCs/>
        </w:rPr>
        <w:t>s,</w:t>
      </w:r>
      <w:r w:rsidR="001251C6">
        <w:t xml:space="preserve"> </w:t>
      </w:r>
      <w:r>
        <w:t>Demand Side Resources</w:t>
      </w:r>
      <w:r w:rsidR="00551680">
        <w:t>, and Aggregations</w:t>
      </w:r>
      <w:r>
        <w:t xml:space="preserve"> that satisfy all applicable ISO requirements.</w:t>
      </w:r>
    </w:p>
    <w:p w:rsidR="009A716B" w14:paraId="6ADE5505" w14:textId="77777777">
      <w:pPr>
        <w:pStyle w:val="Definition"/>
      </w:pPr>
      <w:r>
        <w:rPr>
          <w:b/>
        </w:rPr>
        <w:t>System Resource</w:t>
      </w:r>
      <w:r>
        <w:t>: A portfolio of Unforced Capacity provided by Resources located in a single ISO-defined Locality, the remainder of the NYCA, or any single External Control Area, that is owned by or under the control of a single entity, which is not the operator of the Control Area where such Resources are located, and that is made available, in whole or in part, to the ISO.</w:t>
      </w:r>
    </w:p>
    <w:sectPr w:rsidSect="009A716B">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41271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B"/>
    <w:rsid w:val="000620FA"/>
    <w:rsid w:val="000A4538"/>
    <w:rsid w:val="000D4F43"/>
    <w:rsid w:val="001251C6"/>
    <w:rsid w:val="002425C3"/>
    <w:rsid w:val="00273281"/>
    <w:rsid w:val="00275448"/>
    <w:rsid w:val="002E351D"/>
    <w:rsid w:val="00313AAA"/>
    <w:rsid w:val="00316C9D"/>
    <w:rsid w:val="003F5EAF"/>
    <w:rsid w:val="004C249B"/>
    <w:rsid w:val="004D072A"/>
    <w:rsid w:val="00501C1E"/>
    <w:rsid w:val="00551680"/>
    <w:rsid w:val="005B7C84"/>
    <w:rsid w:val="006350C0"/>
    <w:rsid w:val="006849A3"/>
    <w:rsid w:val="006A4A0F"/>
    <w:rsid w:val="006D1C26"/>
    <w:rsid w:val="00704541"/>
    <w:rsid w:val="0078639A"/>
    <w:rsid w:val="008962D6"/>
    <w:rsid w:val="008A094E"/>
    <w:rsid w:val="008C104E"/>
    <w:rsid w:val="008C274D"/>
    <w:rsid w:val="008F46AB"/>
    <w:rsid w:val="00967B35"/>
    <w:rsid w:val="009A716B"/>
    <w:rsid w:val="009B459F"/>
    <w:rsid w:val="009C1547"/>
    <w:rsid w:val="00A52A3F"/>
    <w:rsid w:val="00AE0BAA"/>
    <w:rsid w:val="00B111C0"/>
    <w:rsid w:val="00C644EC"/>
    <w:rsid w:val="00CA69A3"/>
    <w:rsid w:val="00CB234C"/>
    <w:rsid w:val="00CC2A20"/>
    <w:rsid w:val="00D83D8D"/>
    <w:rsid w:val="00E0062A"/>
    <w:rsid w:val="00EC4214"/>
    <w:rsid w:val="00EC7880"/>
    <w:rsid w:val="00ED7E26"/>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E3104E"/>
  <w15:docId w15:val="{1A32A89E-6DDA-45A8-BF66-DC748459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16B"/>
    <w:rPr>
      <w:sz w:val="24"/>
      <w:szCs w:val="24"/>
    </w:rPr>
  </w:style>
  <w:style w:type="paragraph" w:styleId="Heading1">
    <w:name w:val="heading 1"/>
    <w:basedOn w:val="Normal"/>
    <w:next w:val="Normal"/>
    <w:link w:val="Heading1Char"/>
    <w:uiPriority w:val="99"/>
    <w:qFormat/>
    <w:rsid w:val="009A716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A716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A716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A716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A716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A716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A716B"/>
    <w:pPr>
      <w:keepNext/>
      <w:spacing w:line="480" w:lineRule="auto"/>
      <w:ind w:left="720" w:right="630"/>
      <w:outlineLvl w:val="6"/>
    </w:pPr>
    <w:rPr>
      <w:b/>
    </w:rPr>
  </w:style>
  <w:style w:type="paragraph" w:styleId="Heading8">
    <w:name w:val="heading 8"/>
    <w:basedOn w:val="Normal"/>
    <w:next w:val="Normal"/>
    <w:link w:val="Heading8Char"/>
    <w:uiPriority w:val="99"/>
    <w:qFormat/>
    <w:rsid w:val="009A716B"/>
    <w:pPr>
      <w:keepNext/>
      <w:spacing w:line="480" w:lineRule="auto"/>
      <w:ind w:left="720" w:right="-90"/>
      <w:outlineLvl w:val="7"/>
    </w:pPr>
    <w:rPr>
      <w:b/>
    </w:rPr>
  </w:style>
  <w:style w:type="paragraph" w:styleId="Heading9">
    <w:name w:val="heading 9"/>
    <w:basedOn w:val="Normal"/>
    <w:next w:val="Normal"/>
    <w:link w:val="Heading9Char"/>
    <w:uiPriority w:val="99"/>
    <w:qFormat/>
    <w:rsid w:val="009A716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9A716B"/>
    <w:rPr>
      <w:rFonts w:ascii="Arial" w:hAnsi="Arial" w:cs="Arial"/>
      <w:b/>
      <w:bCs/>
      <w:sz w:val="22"/>
      <w:szCs w:val="26"/>
      <w:lang w:val="en-US" w:eastAsia="en-US" w:bidi="ar-SA"/>
    </w:rPr>
  </w:style>
  <w:style w:type="paragraph" w:styleId="Title">
    <w:name w:val="Title"/>
    <w:basedOn w:val="Normal"/>
    <w:link w:val="TitleChar"/>
    <w:uiPriority w:val="99"/>
    <w:qFormat/>
    <w:rsid w:val="009A716B"/>
    <w:pPr>
      <w:spacing w:after="240"/>
      <w:jc w:val="center"/>
    </w:pPr>
    <w:rPr>
      <w:rFonts w:cs="Arial"/>
      <w:bCs/>
      <w:szCs w:val="32"/>
    </w:rPr>
  </w:style>
  <w:style w:type="character" w:styleId="CommentReference">
    <w:name w:val="annotation reference"/>
    <w:basedOn w:val="DefaultParagraphFont"/>
    <w:semiHidden/>
    <w:rsid w:val="009A716B"/>
    <w:rPr>
      <w:sz w:val="16"/>
      <w:szCs w:val="16"/>
    </w:rPr>
  </w:style>
  <w:style w:type="paragraph" w:styleId="CommentText">
    <w:name w:val="annotation text"/>
    <w:basedOn w:val="Normal"/>
    <w:semiHidden/>
    <w:rsid w:val="009A716B"/>
    <w:pPr>
      <w:widowControl w:val="0"/>
    </w:pPr>
    <w:rPr>
      <w:sz w:val="20"/>
      <w:szCs w:val="20"/>
    </w:rPr>
  </w:style>
  <w:style w:type="paragraph" w:styleId="Header">
    <w:name w:val="header"/>
    <w:basedOn w:val="Normal"/>
    <w:link w:val="HeaderChar"/>
    <w:uiPriority w:val="99"/>
    <w:rsid w:val="009A716B"/>
    <w:pPr>
      <w:tabs>
        <w:tab w:val="center" w:pos="4680"/>
        <w:tab w:val="right" w:pos="9360"/>
      </w:tabs>
    </w:pPr>
  </w:style>
  <w:style w:type="paragraph" w:styleId="Subtitle">
    <w:name w:val="Subtitle"/>
    <w:basedOn w:val="Normal"/>
    <w:qFormat/>
    <w:rsid w:val="009A716B"/>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A716B"/>
    <w:rPr>
      <w:rFonts w:cs="Times New Roman"/>
    </w:rPr>
  </w:style>
  <w:style w:type="paragraph" w:styleId="BalloonText">
    <w:name w:val="Balloon Text"/>
    <w:basedOn w:val="Normal"/>
    <w:link w:val="BalloonTextChar"/>
    <w:uiPriority w:val="99"/>
    <w:semiHidden/>
    <w:rsid w:val="009A716B"/>
    <w:rPr>
      <w:rFonts w:ascii="Tahoma" w:hAnsi="Tahoma" w:cs="Tahoma"/>
      <w:sz w:val="16"/>
      <w:szCs w:val="16"/>
    </w:rPr>
  </w:style>
  <w:style w:type="paragraph" w:customStyle="1" w:styleId="Default">
    <w:name w:val="Default"/>
    <w:rsid w:val="009A716B"/>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A716B"/>
    <w:rPr>
      <w:rFonts w:cs="Times New Roman"/>
    </w:rPr>
  </w:style>
  <w:style w:type="paragraph" w:customStyle="1" w:styleId="Definition">
    <w:name w:val="Definition"/>
    <w:basedOn w:val="Normal"/>
    <w:uiPriority w:val="99"/>
    <w:rsid w:val="009A716B"/>
    <w:pPr>
      <w:spacing w:before="240" w:after="240"/>
    </w:pPr>
  </w:style>
  <w:style w:type="paragraph" w:customStyle="1" w:styleId="Definitionindent">
    <w:name w:val="Definition indent"/>
    <w:basedOn w:val="Definition"/>
    <w:uiPriority w:val="99"/>
    <w:rsid w:val="009A716B"/>
    <w:pPr>
      <w:spacing w:before="120" w:after="120"/>
      <w:ind w:left="720"/>
    </w:pPr>
  </w:style>
  <w:style w:type="paragraph" w:customStyle="1" w:styleId="Bodypara">
    <w:name w:val="Body para"/>
    <w:basedOn w:val="Normal"/>
    <w:uiPriority w:val="99"/>
    <w:rsid w:val="009A716B"/>
    <w:pPr>
      <w:spacing w:line="480" w:lineRule="auto"/>
      <w:ind w:firstLine="720"/>
    </w:pPr>
  </w:style>
  <w:style w:type="paragraph" w:customStyle="1" w:styleId="alphapara">
    <w:name w:val="alpha para"/>
    <w:basedOn w:val="Bodypara"/>
    <w:link w:val="alphaparaChar"/>
    <w:uiPriority w:val="99"/>
    <w:rsid w:val="009A716B"/>
    <w:pPr>
      <w:ind w:left="1440" w:hanging="720"/>
    </w:pPr>
  </w:style>
  <w:style w:type="paragraph" w:styleId="Date">
    <w:name w:val="Date"/>
    <w:basedOn w:val="Normal"/>
    <w:next w:val="Normal"/>
    <w:link w:val="DateChar"/>
    <w:uiPriority w:val="99"/>
    <w:rsid w:val="009A716B"/>
  </w:style>
  <w:style w:type="paragraph" w:customStyle="1" w:styleId="TOCHeading1">
    <w:name w:val="TOC Heading1"/>
    <w:basedOn w:val="Normal"/>
    <w:uiPriority w:val="99"/>
    <w:rsid w:val="009A716B"/>
    <w:pPr>
      <w:spacing w:before="240" w:after="240"/>
    </w:pPr>
    <w:rPr>
      <w:b/>
    </w:rPr>
  </w:style>
  <w:style w:type="paragraph" w:styleId="DocumentMap">
    <w:name w:val="Document Map"/>
    <w:basedOn w:val="Normal"/>
    <w:link w:val="DocumentMapChar"/>
    <w:uiPriority w:val="99"/>
    <w:semiHidden/>
    <w:rsid w:val="009A716B"/>
    <w:pPr>
      <w:shd w:val="clear" w:color="auto" w:fill="000080"/>
    </w:pPr>
    <w:rPr>
      <w:rFonts w:ascii="Tahoma" w:hAnsi="Tahoma" w:cs="Tahoma"/>
      <w:sz w:val="20"/>
    </w:rPr>
  </w:style>
  <w:style w:type="paragraph" w:customStyle="1" w:styleId="Footers">
    <w:name w:val="Footers"/>
    <w:basedOn w:val="Heading1"/>
    <w:uiPriority w:val="99"/>
    <w:rsid w:val="009A716B"/>
    <w:pPr>
      <w:tabs>
        <w:tab w:val="left" w:pos="1440"/>
        <w:tab w:val="left" w:pos="7020"/>
        <w:tab w:val="right" w:pos="9360"/>
      </w:tabs>
    </w:pPr>
    <w:rPr>
      <w:b w:val="0"/>
      <w:sz w:val="20"/>
    </w:rPr>
  </w:style>
  <w:style w:type="paragraph" w:customStyle="1" w:styleId="subhead">
    <w:name w:val="subhead"/>
    <w:basedOn w:val="Heading4"/>
    <w:uiPriority w:val="99"/>
    <w:rsid w:val="009A716B"/>
    <w:pPr>
      <w:tabs>
        <w:tab w:val="clear" w:pos="1800"/>
      </w:tabs>
      <w:ind w:left="720" w:firstLine="0"/>
    </w:pPr>
  </w:style>
  <w:style w:type="paragraph" w:customStyle="1" w:styleId="alphaheading">
    <w:name w:val="alpha heading"/>
    <w:basedOn w:val="Normal"/>
    <w:uiPriority w:val="99"/>
    <w:rsid w:val="009A716B"/>
    <w:pPr>
      <w:keepNext/>
      <w:tabs>
        <w:tab w:val="left" w:pos="1440"/>
      </w:tabs>
      <w:spacing w:before="240" w:after="240"/>
      <w:ind w:left="1440" w:hanging="720"/>
    </w:pPr>
    <w:rPr>
      <w:b/>
    </w:rPr>
  </w:style>
  <w:style w:type="paragraph" w:customStyle="1" w:styleId="romannumeralpara">
    <w:name w:val="roman numeral para"/>
    <w:basedOn w:val="Normal"/>
    <w:uiPriority w:val="99"/>
    <w:rsid w:val="009A716B"/>
    <w:pPr>
      <w:spacing w:line="480" w:lineRule="auto"/>
      <w:ind w:left="1440" w:hanging="720"/>
    </w:pPr>
  </w:style>
  <w:style w:type="paragraph" w:customStyle="1" w:styleId="Bulletpara">
    <w:name w:val="Bullet para"/>
    <w:basedOn w:val="Normal"/>
    <w:uiPriority w:val="99"/>
    <w:rsid w:val="009A716B"/>
    <w:pPr>
      <w:numPr>
        <w:numId w:val="1"/>
      </w:numPr>
      <w:tabs>
        <w:tab w:val="left" w:pos="900"/>
      </w:tabs>
      <w:spacing w:before="120" w:after="120"/>
    </w:pPr>
  </w:style>
  <w:style w:type="paragraph" w:styleId="TOC1">
    <w:name w:val="toc 1"/>
    <w:basedOn w:val="Normal"/>
    <w:next w:val="Normal"/>
    <w:uiPriority w:val="99"/>
    <w:semiHidden/>
    <w:rsid w:val="009A716B"/>
  </w:style>
  <w:style w:type="paragraph" w:customStyle="1" w:styleId="Tarifftitle">
    <w:name w:val="Tariff title"/>
    <w:basedOn w:val="Normal"/>
    <w:uiPriority w:val="99"/>
    <w:rsid w:val="009A716B"/>
    <w:rPr>
      <w:b/>
      <w:sz w:val="28"/>
      <w:szCs w:val="28"/>
    </w:rPr>
  </w:style>
  <w:style w:type="paragraph" w:styleId="TOC2">
    <w:name w:val="toc 2"/>
    <w:basedOn w:val="Normal"/>
    <w:next w:val="Normal"/>
    <w:uiPriority w:val="99"/>
    <w:semiHidden/>
    <w:rsid w:val="009A716B"/>
    <w:pPr>
      <w:ind w:left="240"/>
    </w:pPr>
  </w:style>
  <w:style w:type="character" w:styleId="Hyperlink">
    <w:name w:val="Hyperlink"/>
    <w:basedOn w:val="DefaultParagraphFont"/>
    <w:uiPriority w:val="99"/>
    <w:rsid w:val="009A716B"/>
    <w:rPr>
      <w:rFonts w:cs="Times New Roman"/>
      <w:color w:val="0000FF"/>
      <w:u w:val="single"/>
    </w:rPr>
  </w:style>
  <w:style w:type="paragraph" w:styleId="TOC3">
    <w:name w:val="toc 3"/>
    <w:basedOn w:val="Normal"/>
    <w:next w:val="Normal"/>
    <w:uiPriority w:val="99"/>
    <w:semiHidden/>
    <w:rsid w:val="009A716B"/>
    <w:pPr>
      <w:ind w:left="480"/>
    </w:pPr>
  </w:style>
  <w:style w:type="paragraph" w:styleId="TOC4">
    <w:name w:val="toc 4"/>
    <w:basedOn w:val="Normal"/>
    <w:next w:val="Normal"/>
    <w:uiPriority w:val="99"/>
    <w:semiHidden/>
    <w:rsid w:val="009A716B"/>
    <w:pPr>
      <w:ind w:left="720"/>
    </w:pPr>
  </w:style>
  <w:style w:type="paragraph" w:customStyle="1" w:styleId="subalphapara">
    <w:name w:val="sub alpha para"/>
    <w:basedOn w:val="alphapara"/>
    <w:rsid w:val="009A716B"/>
    <w:pPr>
      <w:ind w:firstLine="0"/>
    </w:pPr>
  </w:style>
  <w:style w:type="paragraph" w:customStyle="1" w:styleId="Level1">
    <w:name w:val="Level 1"/>
    <w:basedOn w:val="Normal"/>
    <w:uiPriority w:val="99"/>
    <w:rsid w:val="009A716B"/>
    <w:pPr>
      <w:ind w:left="1890" w:hanging="720"/>
    </w:pPr>
  </w:style>
  <w:style w:type="paragraph" w:styleId="BodyTextIndent2">
    <w:name w:val="Body Text Indent 2"/>
    <w:basedOn w:val="Normal"/>
    <w:rsid w:val="009A716B"/>
    <w:pPr>
      <w:spacing w:line="480" w:lineRule="auto"/>
      <w:ind w:left="720" w:firstLine="720"/>
    </w:pPr>
  </w:style>
  <w:style w:type="paragraph" w:styleId="EndnoteText">
    <w:name w:val="endnote text"/>
    <w:basedOn w:val="Normal"/>
    <w:semiHidden/>
    <w:rsid w:val="009A716B"/>
    <w:rPr>
      <w:sz w:val="20"/>
    </w:rPr>
  </w:style>
  <w:style w:type="character" w:styleId="EndnoteReference">
    <w:name w:val="endnote reference"/>
    <w:basedOn w:val="DefaultParagraphFont"/>
    <w:semiHidden/>
    <w:rsid w:val="009A716B"/>
    <w:rPr>
      <w:vertAlign w:val="superscript"/>
    </w:rPr>
  </w:style>
  <w:style w:type="paragraph" w:styleId="FootnoteText">
    <w:name w:val="footnote text"/>
    <w:basedOn w:val="Normal"/>
    <w:link w:val="FootnoteTextChar"/>
    <w:uiPriority w:val="99"/>
    <w:semiHidden/>
    <w:rsid w:val="009A716B"/>
    <w:pPr>
      <w:jc w:val="both"/>
    </w:pPr>
    <w:rPr>
      <w:sz w:val="20"/>
    </w:rPr>
  </w:style>
  <w:style w:type="character" w:customStyle="1" w:styleId="CharChar1">
    <w:name w:val="Char Char1"/>
    <w:basedOn w:val="DefaultParagraphFont"/>
    <w:rsid w:val="009A716B"/>
    <w:rPr>
      <w:rFonts w:ascii="Arial" w:hAnsi="Arial" w:cs="Arial"/>
      <w:b/>
      <w:bCs/>
      <w:kern w:val="32"/>
      <w:sz w:val="28"/>
      <w:szCs w:val="32"/>
      <w:lang w:val="en-US" w:eastAsia="en-US" w:bidi="ar-SA"/>
    </w:rPr>
  </w:style>
  <w:style w:type="paragraph" w:styleId="BodyTextIndent3">
    <w:name w:val="Body Text Indent 3"/>
    <w:basedOn w:val="Normal"/>
    <w:rsid w:val="009A716B"/>
    <w:pPr>
      <w:spacing w:after="120"/>
      <w:ind w:left="360"/>
    </w:pPr>
    <w:rPr>
      <w:sz w:val="16"/>
      <w:szCs w:val="16"/>
    </w:rPr>
  </w:style>
  <w:style w:type="paragraph" w:styleId="CommentSubject">
    <w:name w:val="annotation subject"/>
    <w:basedOn w:val="CommentText"/>
    <w:next w:val="CommentText"/>
    <w:semiHidden/>
    <w:rsid w:val="009A716B"/>
    <w:pPr>
      <w:widowControl/>
    </w:pPr>
    <w:rPr>
      <w:b/>
      <w:bCs/>
    </w:rPr>
  </w:style>
  <w:style w:type="paragraph" w:styleId="Footer">
    <w:name w:val="footer"/>
    <w:basedOn w:val="Normal"/>
    <w:link w:val="FooterChar"/>
    <w:uiPriority w:val="99"/>
    <w:rsid w:val="009A716B"/>
    <w:pPr>
      <w:tabs>
        <w:tab w:val="center" w:pos="4320"/>
        <w:tab w:val="right" w:pos="8640"/>
      </w:tabs>
    </w:pPr>
  </w:style>
  <w:style w:type="paragraph" w:customStyle="1" w:styleId="Response">
    <w:name w:val="Response"/>
    <w:basedOn w:val="Normal"/>
    <w:rsid w:val="009A716B"/>
    <w:pPr>
      <w:ind w:left="1620" w:hanging="1260"/>
    </w:pPr>
    <w:rPr>
      <w:bCs/>
      <w:color w:val="000080"/>
    </w:rPr>
  </w:style>
  <w:style w:type="paragraph" w:customStyle="1" w:styleId="Style1">
    <w:name w:val="Style1"/>
    <w:basedOn w:val="Heading4"/>
    <w:rsid w:val="009A716B"/>
    <w:pPr>
      <w:ind w:left="720" w:hanging="720"/>
    </w:pPr>
    <w:rPr>
      <w:i/>
    </w:rPr>
  </w:style>
  <w:style w:type="character" w:customStyle="1" w:styleId="Heading1Char">
    <w:name w:val="Heading 1 Char"/>
    <w:basedOn w:val="DefaultParagraphFont"/>
    <w:link w:val="Heading1"/>
    <w:uiPriority w:val="99"/>
    <w:locked/>
    <w:rsid w:val="009A716B"/>
    <w:rPr>
      <w:b/>
      <w:sz w:val="24"/>
      <w:szCs w:val="24"/>
    </w:rPr>
  </w:style>
  <w:style w:type="character" w:customStyle="1" w:styleId="Heading2Char">
    <w:name w:val="Heading 2 Char"/>
    <w:basedOn w:val="DefaultParagraphFont"/>
    <w:link w:val="Heading2"/>
    <w:uiPriority w:val="99"/>
    <w:locked/>
    <w:rsid w:val="009A716B"/>
    <w:rPr>
      <w:b/>
      <w:sz w:val="24"/>
      <w:szCs w:val="24"/>
    </w:rPr>
  </w:style>
  <w:style w:type="character" w:customStyle="1" w:styleId="Heading3Char">
    <w:name w:val="Heading 3 Char"/>
    <w:basedOn w:val="DefaultParagraphFont"/>
    <w:link w:val="Heading3"/>
    <w:uiPriority w:val="99"/>
    <w:locked/>
    <w:rsid w:val="009A716B"/>
    <w:rPr>
      <w:b/>
      <w:sz w:val="24"/>
      <w:szCs w:val="24"/>
    </w:rPr>
  </w:style>
  <w:style w:type="character" w:customStyle="1" w:styleId="Heading4Char">
    <w:name w:val="Heading 4 Char"/>
    <w:basedOn w:val="DefaultParagraphFont"/>
    <w:link w:val="Heading4"/>
    <w:uiPriority w:val="99"/>
    <w:locked/>
    <w:rsid w:val="009A716B"/>
    <w:rPr>
      <w:b/>
      <w:sz w:val="24"/>
      <w:szCs w:val="24"/>
    </w:rPr>
  </w:style>
  <w:style w:type="character" w:customStyle="1" w:styleId="Heading5Char">
    <w:name w:val="Heading 5 Char"/>
    <w:basedOn w:val="DefaultParagraphFont"/>
    <w:link w:val="Heading5"/>
    <w:uiPriority w:val="99"/>
    <w:locked/>
    <w:rsid w:val="009A716B"/>
    <w:rPr>
      <w:b/>
      <w:sz w:val="24"/>
      <w:szCs w:val="24"/>
    </w:rPr>
  </w:style>
  <w:style w:type="character" w:customStyle="1" w:styleId="Heading6Char">
    <w:name w:val="Heading 6 Char"/>
    <w:basedOn w:val="DefaultParagraphFont"/>
    <w:link w:val="Heading6"/>
    <w:uiPriority w:val="99"/>
    <w:locked/>
    <w:rsid w:val="009A716B"/>
    <w:rPr>
      <w:b/>
      <w:sz w:val="24"/>
      <w:szCs w:val="24"/>
    </w:rPr>
  </w:style>
  <w:style w:type="character" w:customStyle="1" w:styleId="Heading7Char">
    <w:name w:val="Heading 7 Char"/>
    <w:basedOn w:val="DefaultParagraphFont"/>
    <w:link w:val="Heading7"/>
    <w:uiPriority w:val="99"/>
    <w:locked/>
    <w:rsid w:val="009A716B"/>
    <w:rPr>
      <w:b/>
      <w:sz w:val="24"/>
      <w:szCs w:val="24"/>
    </w:rPr>
  </w:style>
  <w:style w:type="character" w:customStyle="1" w:styleId="Heading8Char">
    <w:name w:val="Heading 8 Char"/>
    <w:basedOn w:val="DefaultParagraphFont"/>
    <w:link w:val="Heading8"/>
    <w:uiPriority w:val="99"/>
    <w:locked/>
    <w:rsid w:val="009A716B"/>
    <w:rPr>
      <w:b/>
      <w:sz w:val="24"/>
      <w:szCs w:val="24"/>
    </w:rPr>
  </w:style>
  <w:style w:type="character" w:customStyle="1" w:styleId="Heading9Char">
    <w:name w:val="Heading 9 Char"/>
    <w:basedOn w:val="DefaultParagraphFont"/>
    <w:link w:val="Heading9"/>
    <w:uiPriority w:val="99"/>
    <w:locked/>
    <w:rsid w:val="009A716B"/>
    <w:rPr>
      <w:b/>
      <w:sz w:val="24"/>
      <w:szCs w:val="24"/>
    </w:rPr>
  </w:style>
  <w:style w:type="character" w:customStyle="1" w:styleId="FooterChar">
    <w:name w:val="Footer Char"/>
    <w:basedOn w:val="DefaultParagraphFont"/>
    <w:link w:val="Footer"/>
    <w:uiPriority w:val="99"/>
    <w:locked/>
    <w:rsid w:val="009A716B"/>
    <w:rPr>
      <w:sz w:val="24"/>
      <w:szCs w:val="24"/>
    </w:rPr>
  </w:style>
  <w:style w:type="paragraph" w:customStyle="1" w:styleId="Definitionhead">
    <w:name w:val="Definition head"/>
    <w:basedOn w:val="subhead"/>
    <w:uiPriority w:val="99"/>
    <w:rsid w:val="009A716B"/>
    <w:pPr>
      <w:spacing w:after="0"/>
      <w:ind w:left="0"/>
    </w:pPr>
  </w:style>
  <w:style w:type="character" w:customStyle="1" w:styleId="FootnoteTextChar">
    <w:name w:val="Footnote Text Char"/>
    <w:basedOn w:val="DefaultParagraphFont"/>
    <w:link w:val="FootnoteText"/>
    <w:uiPriority w:val="99"/>
    <w:semiHidden/>
    <w:locked/>
    <w:rsid w:val="009A716B"/>
    <w:rPr>
      <w:szCs w:val="24"/>
    </w:rPr>
  </w:style>
  <w:style w:type="character" w:customStyle="1" w:styleId="HeaderChar">
    <w:name w:val="Header Char"/>
    <w:basedOn w:val="DefaultParagraphFont"/>
    <w:link w:val="Header"/>
    <w:uiPriority w:val="99"/>
    <w:locked/>
    <w:rsid w:val="009A716B"/>
    <w:rPr>
      <w:sz w:val="24"/>
      <w:szCs w:val="24"/>
    </w:rPr>
  </w:style>
  <w:style w:type="character" w:customStyle="1" w:styleId="TitleChar">
    <w:name w:val="Title Char"/>
    <w:basedOn w:val="DefaultParagraphFont"/>
    <w:link w:val="Title"/>
    <w:uiPriority w:val="99"/>
    <w:locked/>
    <w:rsid w:val="009A716B"/>
    <w:rPr>
      <w:rFonts w:cs="Arial"/>
      <w:bCs/>
      <w:sz w:val="24"/>
      <w:szCs w:val="32"/>
    </w:rPr>
  </w:style>
  <w:style w:type="character" w:styleId="FollowedHyperlink">
    <w:name w:val="FollowedHyperlink"/>
    <w:basedOn w:val="DefaultParagraphFont"/>
    <w:uiPriority w:val="99"/>
    <w:rsid w:val="009A716B"/>
    <w:rPr>
      <w:rFonts w:cs="Times New Roman"/>
      <w:color w:val="800080"/>
      <w:u w:val="single"/>
    </w:rPr>
  </w:style>
  <w:style w:type="character" w:customStyle="1" w:styleId="DateChar">
    <w:name w:val="Date Char"/>
    <w:basedOn w:val="DefaultParagraphFont"/>
    <w:link w:val="Date"/>
    <w:uiPriority w:val="99"/>
    <w:locked/>
    <w:rsid w:val="009A716B"/>
    <w:rPr>
      <w:sz w:val="24"/>
      <w:szCs w:val="24"/>
    </w:rPr>
  </w:style>
  <w:style w:type="character" w:customStyle="1" w:styleId="DocumentMapChar">
    <w:name w:val="Document Map Char"/>
    <w:basedOn w:val="DefaultParagraphFont"/>
    <w:link w:val="DocumentMap"/>
    <w:uiPriority w:val="99"/>
    <w:semiHidden/>
    <w:locked/>
    <w:rsid w:val="009A716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A716B"/>
    <w:rPr>
      <w:rFonts w:ascii="Tahoma" w:hAnsi="Tahoma" w:cs="Tahoma"/>
      <w:sz w:val="16"/>
      <w:szCs w:val="16"/>
    </w:rPr>
  </w:style>
  <w:style w:type="character" w:customStyle="1" w:styleId="alphaparaChar">
    <w:name w:val="alpha para Char"/>
    <w:basedOn w:val="DefaultParagraphFont"/>
    <w:link w:val="alphapara"/>
    <w:uiPriority w:val="99"/>
    <w:locked/>
    <w:rsid w:val="009A716B"/>
    <w:rPr>
      <w:sz w:val="24"/>
      <w:szCs w:val="24"/>
    </w:rPr>
  </w:style>
  <w:style w:type="paragraph" w:styleId="Revision">
    <w:name w:val="Revision"/>
    <w:hidden/>
    <w:uiPriority w:val="99"/>
    <w:semiHidden/>
    <w:rsid w:val="009A716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1DD3B-66F7-4108-A336-FA5FFAB9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2327</Words>
  <Characters>12331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Morse, Alexander</cp:lastModifiedBy>
  <cp:revision>3</cp:revision>
  <cp:lastPrinted>2010-06-10T20:17:00Z</cp:lastPrinted>
  <dcterms:created xsi:type="dcterms:W3CDTF">2023-04-05T11:25:00Z</dcterms:created>
  <dcterms:modified xsi:type="dcterms:W3CDTF">2025-10-13T12:48:00Z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gFAA2RjfPKrF47i+FmqjeOD8WaLJD+t8VuaD/11D9dhO8w9/x1DiLn/yQGLssF9Saiw6t19Ewgvj2Rs5
AGWGNmhPXa0P31a4lz5RyTT7se5TOYz6o6tJ25elp/mrXSFnfi8uWg/dp6rTzFQdCcmJ4t02hbPY
rxkzj8f7tY1YOE+mC9CTXhnY8p1RDuffdyaXl9x3jGGXGychUfQQ6yu6POZ8RdIEr/i/faiutvVU
hRInbe1KNbHaw8tnS</vt:lpwstr>
  </property>
  <property fmtid="{D5CDD505-2E9C-101B-9397-08002B2CF9AE}" pid="4" name="MAIL_MSG_ID2">
    <vt:lpwstr>yqcWBxfHkrA9hlsXeS0xCnsA1j+FdCS7aEPa7ymhRPMDFAIKbpNvQ0BJFBJ
NMsgHwnU2qvbkptNF64kXLLVSmm5E/QCXiOHAQ==</vt:lpwstr>
  </property>
  <property fmtid="{D5CDD505-2E9C-101B-9397-08002B2CF9AE}" pid="5" name="MSIP_Label_5bf193d9-c1cf-45e0-8fa7-a9bc86b7f5dd_ActionId">
    <vt:lpwstr>ea6ce4b2-52fa-4366-8c2f-06ee9809c3b8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2023-04-05T11:15:02Z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SWDocID">
    <vt:lpwstr>55430.000072 EMF_US 32441598v1</vt:lpwstr>
  </property>
  <property fmtid="{D5CDD505-2E9C-101B-9397-08002B2CF9AE}" pid="14" name="_AdHocReviewCycleID">
    <vt:i4>171375178</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Balance of Period TCC - Initial Draft Filing for Review</vt:lpwstr>
  </property>
  <property fmtid="{D5CDD505-2E9C-101B-9397-08002B2CF9AE}" pid="18" name="_NewReviewCycle">
    <vt:lpwstr/>
  </property>
  <property fmtid="{D5CDD505-2E9C-101B-9397-08002B2CF9AE}" pid="19" name="_PreviousAdHocReviewCycleID">
    <vt:i4>304749101</vt:i4>
  </property>
  <property fmtid="{D5CDD505-2E9C-101B-9397-08002B2CF9AE}" pid="20" name="_ReviewingToolsShownOnce">
    <vt:lpwstr/>
  </property>
</Properties>
</file>