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7C" w:rsidRDefault="00F87511">
      <w:pPr>
        <w:pStyle w:val="subhead"/>
      </w:pPr>
      <w:bookmarkStart w:id="0" w:name="_GoBack"/>
      <w:bookmarkEnd w:id="0"/>
      <w:r>
        <w:t>23.4.5.7.15</w:t>
      </w:r>
      <w:r>
        <w:tab/>
        <w:t xml:space="preserve">Forecasts Under the Buyer Side Market Power Mitigation Measures   </w:t>
      </w:r>
    </w:p>
    <w:p w:rsidR="00D8027C" w:rsidRDefault="00F87511">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w:t>
      </w:r>
      <w:r w:rsidRPr="00515881">
        <w:rPr>
          <w:u w:color="0000FF"/>
        </w:rPr>
        <w:t xml:space="preserve"> Excluded Capacity set forth in Section 23.4.5.7.15.7.3 shall apply to Self Supply Capacity and Additional Self Supply Capacity under Section 23.4.5.7.14.3.</w:t>
      </w:r>
      <w:r>
        <w:rPr>
          <w:i/>
          <w:u w:color="0000FF"/>
        </w:rPr>
        <w:t xml:space="preserve">  </w:t>
      </w:r>
      <w:r>
        <w:rPr>
          <w:u w:color="0000FF"/>
        </w:rPr>
        <w:t>The ISO shall post on its website the BSM Forecast inputs determined in accordance with this Secti</w:t>
      </w:r>
      <w:r>
        <w:rPr>
          <w:u w:color="0000FF"/>
        </w:rPr>
        <w:t xml:space="preserve">on 23.4.5.7.15, subject to any restrictions on the disclosure of Confidential Information or Critical Energy Infrastructure Information, on or before the commencement of the Initial Decision </w:t>
      </w:r>
      <w:del w:id="1" w:author="Rilling, Elizabeth" w:date="2024-04-19T16:05:00Z">
        <w:r>
          <w:rPr>
            <w:u w:color="0000FF"/>
          </w:rPr>
          <w:delText xml:space="preserve">Periods </w:delText>
        </w:r>
      </w:del>
      <w:ins w:id="2" w:author="Rilling, Elizabeth" w:date="2024-04-19T16:05:00Z">
        <w:r>
          <w:rPr>
            <w:u w:color="0000FF"/>
          </w:rPr>
          <w:t xml:space="preserve">Rounds </w:t>
        </w:r>
      </w:ins>
      <w:r>
        <w:rPr>
          <w:u w:color="0000FF"/>
        </w:rPr>
        <w:t xml:space="preserve">for the Class Year Study, </w:t>
      </w:r>
      <w:ins w:id="3" w:author="Rilling, Elizabeth" w:date="2024-04-19T16:05:00Z">
        <w:r>
          <w:rPr>
            <w:u w:color="0000FF"/>
          </w:rPr>
          <w:t xml:space="preserve">Cluster </w:t>
        </w:r>
      </w:ins>
      <w:ins w:id="4" w:author="Rilling, Elizabeth" w:date="2024-04-19T16:06:00Z">
        <w:r>
          <w:rPr>
            <w:u w:color="0000FF"/>
          </w:rPr>
          <w:t xml:space="preserve">Study, </w:t>
        </w:r>
      </w:ins>
      <w:r>
        <w:rPr>
          <w:u w:color="0000FF"/>
        </w:rPr>
        <w:t>Additiona</w:t>
      </w:r>
      <w:r>
        <w:rPr>
          <w:u w:color="0000FF"/>
        </w:rPr>
        <w:t>l SDU Study</w:t>
      </w:r>
      <w:ins w:id="5" w:author="Amann, Stephanie" w:date="2024-04-23T14:12:00Z">
        <w:r>
          <w:rPr>
            <w:u w:color="0000FF"/>
          </w:rPr>
          <w:t>,</w:t>
        </w:r>
      </w:ins>
      <w:r>
        <w:rPr>
          <w:u w:color="0000FF"/>
        </w:rPr>
        <w:t xml:space="preserve"> and the Expedited Deliverability Study.  This posting will include sources of or references for publicly available information “demonstrating with reasonable certainty,” as defined in Section 23.4.5.7.15.2, used to develop the BSM Forecast.</w:t>
      </w:r>
    </w:p>
    <w:p w:rsidR="00D8027C" w:rsidRDefault="00F87511">
      <w:pPr>
        <w:pStyle w:val="alphapara"/>
      </w:pPr>
      <w:bookmarkStart w:id="6" w:name="_cp_text_1_48"/>
      <w:r>
        <w:rPr>
          <w:u w:color="0000FF"/>
        </w:rPr>
        <w:t>23</w:t>
      </w:r>
      <w:r>
        <w:rPr>
          <w:u w:color="0000FF"/>
        </w:rPr>
        <w:t>.4.5.7.15.1</w:t>
      </w:r>
      <w:r>
        <w:tab/>
      </w:r>
      <w:r>
        <w:rPr>
          <w:u w:color="0000FF"/>
        </w:rPr>
        <w:t>For the purposes of Section 23.4.5.7.15, a “positive indicator” that a Generator or UDR project will repair and return to service includes indications that a return to service is, in the ISO’s judgment, likely and imminent, such as visible site</w:t>
      </w:r>
      <w:r>
        <w:rPr>
          <w:u w:color="0000FF"/>
        </w:rPr>
        <w:t xml:space="preserve"> </w:t>
      </w:r>
      <w:r>
        <w:t>activity</w:t>
      </w:r>
      <w:r>
        <w:rPr>
          <w:u w:color="0000FF"/>
        </w:rPr>
        <w:t xml:space="preserve">, executed labor or fuel supply arrangements, or unit testing.  </w:t>
      </w:r>
    </w:p>
    <w:p w:rsidR="00D8027C" w:rsidRDefault="00F87511">
      <w:pPr>
        <w:pStyle w:val="alphapara"/>
      </w:pPr>
      <w:bookmarkStart w:id="7" w:name="_cp_text_1_49"/>
      <w:bookmarkEnd w:id="6"/>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7"/>
    <w:p w:rsidR="00D8027C" w:rsidRDefault="00F87511">
      <w:pPr>
        <w:pStyle w:val="alphapara"/>
        <w:rPr>
          <w:u w:color="0000FF"/>
        </w:rPr>
      </w:pPr>
      <w:r>
        <w:rPr>
          <w:u w:color="0000FF"/>
        </w:rPr>
        <w:t>23.</w:t>
      </w:r>
      <w:r>
        <w:rPr>
          <w:u w:color="0000FF"/>
        </w:rPr>
        <w:t>4.5.7.15.3</w:t>
      </w:r>
      <w:r>
        <w:tab/>
      </w:r>
      <w:r>
        <w:rPr>
          <w:u w:color="0000FF"/>
        </w:rPr>
        <w:t xml:space="preserve">When establishing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w:t>
      </w:r>
      <w:r>
        <w:rPr>
          <w:u w:color="0000FF"/>
        </w:rPr>
        <w:t>ing subsections in accordance with ISO Procedures.</w:t>
      </w:r>
    </w:p>
    <w:p w:rsidR="00D8027C" w:rsidRDefault="00F87511">
      <w:pPr>
        <w:pStyle w:val="alphapara"/>
      </w:pPr>
      <w:bookmarkStart w:id="8"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w:t>
      </w:r>
      <w:r>
        <w:rPr>
          <w:u w:color="0000FF"/>
        </w:rPr>
        <w:t xml:space="preserve"> Omitted</w:t>
      </w:r>
      <w:r>
        <w:rPr>
          <w:u w:color="0000FF"/>
        </w:rPr>
        <w:t xml:space="preserve"> Units</w:t>
      </w:r>
      <w:r>
        <w:rPr>
          <w:u w:color="0000FF"/>
        </w:rPr>
        <w:t>, as defined in Section 23.4.5.7.</w:t>
      </w:r>
      <w:r>
        <w:rPr>
          <w:u w:color="0000FF"/>
        </w:rPr>
        <w:t xml:space="preserve">15.6. </w:t>
      </w:r>
    </w:p>
    <w:p w:rsidR="00D8027C" w:rsidRDefault="00F87511">
      <w:pPr>
        <w:pStyle w:val="alphapara"/>
        <w:rPr>
          <w:i/>
        </w:rPr>
      </w:pPr>
      <w:bookmarkStart w:id="9" w:name="_cp_text_1_52"/>
      <w:bookmarkEnd w:id="8"/>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w:t>
      </w:r>
      <w:r>
        <w:rPr>
          <w:u w:color="0000FF"/>
        </w:rPr>
        <w:t>SO Procedures.</w:t>
      </w:r>
      <w:r>
        <w:rPr>
          <w:i/>
          <w:u w:color="0000FF"/>
        </w:rPr>
        <w:t xml:space="preserve">   </w:t>
      </w:r>
    </w:p>
    <w:bookmarkEnd w:id="9"/>
    <w:p w:rsidR="00D8027C" w:rsidRPr="00923765" w:rsidRDefault="00F87511">
      <w:pPr>
        <w:pStyle w:val="alphapara"/>
      </w:pPr>
      <w:r>
        <w:rPr>
          <w:u w:color="0000FF"/>
        </w:rPr>
        <w:t>23.4.5.7.15.3.3</w:t>
      </w:r>
      <w:r>
        <w:tab/>
      </w:r>
      <w:r>
        <w:rPr>
          <w:u w:color="0000FF"/>
        </w:rPr>
        <w:t>When determining a BSM ICAP Forecast, the ISO shall reflect Special Case Resource enrollment at a level consistent with average enrollment over the 3 prior Capability Years</w:t>
      </w:r>
      <w:r>
        <w:rPr>
          <w:u w:color="0000FF"/>
        </w:rPr>
        <w:t xml:space="preserve"> </w:t>
      </w:r>
      <w:r w:rsidRPr="00923765">
        <w:rPr>
          <w:spacing w:val="-1"/>
        </w:rPr>
        <w:t>and</w:t>
      </w:r>
      <w:r w:rsidRPr="00923765">
        <w:t xml:space="preserve"> </w:t>
      </w:r>
      <w:r w:rsidRPr="00923765">
        <w:rPr>
          <w:spacing w:val="-1"/>
        </w:rPr>
        <w:t>Distributed</w:t>
      </w:r>
      <w:r w:rsidRPr="00923765">
        <w:t xml:space="preserve"> Energy</w:t>
      </w:r>
      <w:r w:rsidRPr="00923765">
        <w:rPr>
          <w:spacing w:val="-5"/>
        </w:rPr>
        <w:t xml:space="preserve"> </w:t>
      </w:r>
      <w:r w:rsidRPr="00923765">
        <w:rPr>
          <w:spacing w:val="-1"/>
        </w:rPr>
        <w:t>Resource</w:t>
      </w:r>
      <w:r w:rsidRPr="00923765">
        <w:rPr>
          <w:spacing w:val="1"/>
        </w:rPr>
        <w:t xml:space="preserve"> </w:t>
      </w:r>
      <w:r w:rsidRPr="00923765">
        <w:rPr>
          <w:spacing w:val="-1"/>
        </w:rPr>
        <w:t>participation</w:t>
      </w:r>
      <w:r w:rsidRPr="00923765">
        <w:t xml:space="preserve"> in</w:t>
      </w:r>
      <w:r w:rsidRPr="00923765">
        <w:rPr>
          <w:spacing w:val="-1"/>
        </w:rPr>
        <w:t xml:space="preserve"> </w:t>
      </w:r>
      <w:r w:rsidRPr="00923765">
        <w:t>the</w:t>
      </w:r>
      <w:r w:rsidRPr="00923765">
        <w:rPr>
          <w:spacing w:val="1"/>
        </w:rPr>
        <w:t xml:space="preserve"> </w:t>
      </w:r>
      <w:r w:rsidRPr="00923765">
        <w:rPr>
          <w:spacing w:val="-1"/>
        </w:rPr>
        <w:t>Installed</w:t>
      </w:r>
      <w:r w:rsidRPr="00923765">
        <w:t xml:space="preserve"> </w:t>
      </w:r>
      <w:r w:rsidRPr="00923765">
        <w:rPr>
          <w:spacing w:val="-1"/>
        </w:rPr>
        <w:t>Capacity market</w:t>
      </w:r>
      <w:r w:rsidRPr="00923765">
        <w:rPr>
          <w:spacing w:val="1"/>
        </w:rPr>
        <w:t xml:space="preserve"> </w:t>
      </w:r>
      <w:r w:rsidRPr="00923765">
        <w:rPr>
          <w:spacing w:val="-1"/>
        </w:rPr>
        <w:t>at</w:t>
      </w:r>
      <w:r w:rsidRPr="00923765">
        <w:rPr>
          <w:spacing w:val="1"/>
        </w:rPr>
        <w:t xml:space="preserve"> </w:t>
      </w:r>
      <w:r w:rsidRPr="00923765">
        <w:t>a</w:t>
      </w:r>
      <w:r w:rsidRPr="00923765">
        <w:rPr>
          <w:spacing w:val="-1"/>
        </w:rPr>
        <w:t xml:space="preserve"> level</w:t>
      </w:r>
      <w:r w:rsidRPr="00923765">
        <w:rPr>
          <w:spacing w:val="1"/>
        </w:rPr>
        <w:t xml:space="preserve"> </w:t>
      </w:r>
      <w:r w:rsidRPr="00923765">
        <w:t xml:space="preserve">projected in </w:t>
      </w:r>
      <w:r w:rsidRPr="00923765">
        <w:rPr>
          <w:spacing w:val="-1"/>
        </w:rPr>
        <w:t>accordance</w:t>
      </w:r>
      <w:r w:rsidRPr="00923765">
        <w:rPr>
          <w:spacing w:val="2"/>
        </w:rPr>
        <w:t xml:space="preserve"> </w:t>
      </w:r>
      <w:r w:rsidRPr="00923765">
        <w:rPr>
          <w:spacing w:val="-1"/>
        </w:rPr>
        <w:t>with</w:t>
      </w:r>
      <w:r w:rsidRPr="00923765">
        <w:rPr>
          <w:spacing w:val="2"/>
        </w:rPr>
        <w:t xml:space="preserve"> </w:t>
      </w:r>
      <w:r w:rsidRPr="00923765">
        <w:rPr>
          <w:spacing w:val="-2"/>
        </w:rPr>
        <w:t>ISO</w:t>
      </w:r>
      <w:r w:rsidRPr="00923765">
        <w:rPr>
          <w:spacing w:val="1"/>
        </w:rPr>
        <w:t xml:space="preserve"> </w:t>
      </w:r>
      <w:r w:rsidRPr="00923765">
        <w:rPr>
          <w:spacing w:val="-1"/>
        </w:rPr>
        <w:t>Procedures</w:t>
      </w:r>
      <w:r w:rsidRPr="00923765">
        <w:t>.</w:t>
      </w:r>
    </w:p>
    <w:p w:rsidR="00D8027C" w:rsidRDefault="00F87511">
      <w:pPr>
        <w:pStyle w:val="alphapara"/>
        <w:rPr>
          <w:i/>
        </w:rPr>
      </w:pPr>
      <w:bookmarkStart w:id="10" w:name="_cp_text_1_54"/>
      <w:r>
        <w:rPr>
          <w:u w:color="0000FF"/>
        </w:rPr>
        <w:t>23.4.5.7.15.3.4</w:t>
      </w:r>
      <w:r>
        <w:tab/>
      </w:r>
      <w:r>
        <w:rPr>
          <w:u w:color="0000FF"/>
        </w:rPr>
        <w:t>When determining a BSM ICAP Forecast, the ISO shall identify the projected ICAP Demand Curve by applying the “inflation index” as defined in Section 23.4.</w:t>
      </w:r>
      <w:r>
        <w:rPr>
          <w:u w:color="0000FF"/>
        </w:rPr>
        <w:t>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when the Commission has not yet accepted the first ICAP Demand </w:t>
      </w:r>
      <w:r>
        <w:rPr>
          <w:u w:color="0000FF"/>
        </w:rPr>
        <w:lastRenderedPageBreak/>
        <w:t>Curve to apply specifically to the Miti</w:t>
      </w:r>
      <w:r>
        <w:rPr>
          <w:u w:color="0000FF"/>
        </w:rPr>
        <w:t>gated Capacity Zone in which the NCZ Examined Project is located, such inflation rate shall be applied to the ICAP Demand Curve the ISO filed pursuant to Services Tariff Section 5.14.1.2.2.4.11.</w:t>
      </w:r>
      <w:r>
        <w:rPr>
          <w:i/>
          <w:u w:color="0000FF"/>
        </w:rPr>
        <w:t xml:space="preserve"> </w:t>
      </w:r>
    </w:p>
    <w:p w:rsidR="00D8027C" w:rsidRDefault="00F87511">
      <w:pPr>
        <w:pStyle w:val="subhead"/>
      </w:pPr>
      <w:bookmarkStart w:id="11" w:name="_cp_text_1_55"/>
      <w:bookmarkEnd w:id="10"/>
      <w:r>
        <w:t>23.4.5.7.15.4</w:t>
      </w:r>
      <w:r>
        <w:tab/>
        <w:t>Existing Units</w:t>
      </w:r>
    </w:p>
    <w:bookmarkEnd w:id="11"/>
    <w:p w:rsidR="00D8027C" w:rsidRDefault="00F87511">
      <w:pPr>
        <w:pStyle w:val="Bodypara"/>
        <w:rPr>
          <w:u w:color="0000FF"/>
        </w:rPr>
      </w:pPr>
      <w:r>
        <w:rPr>
          <w:u w:color="0000FF"/>
        </w:rPr>
        <w:t>Except for the Generators and U</w:t>
      </w:r>
      <w:r>
        <w:rPr>
          <w:u w:color="0000FF"/>
        </w:rPr>
        <w:t>DR projects that are excluded without limitation under an exception set forth in Section 23.4.5.7.15.7, the ISO shall identify “Existing Units” as the set of Generators and UDR projects identified in the ISO’s most-recently published Gold Book that have CR</w:t>
      </w:r>
      <w:r>
        <w:rPr>
          <w:u w:color="0000FF"/>
        </w:rPr>
        <w:t>IS, and are operating at the time that the ISO determines the forecast; including but not limited to Generators in Forced Outage or Inactive Reserve status.</w:t>
      </w:r>
    </w:p>
    <w:p w:rsidR="00D8027C" w:rsidRDefault="00F87511">
      <w:pPr>
        <w:pStyle w:val="subhead"/>
      </w:pPr>
      <w:bookmarkStart w:id="12" w:name="_cp_text_1_57"/>
      <w:r>
        <w:t>23.4.5.7.15.5</w:t>
      </w:r>
      <w:r>
        <w:tab/>
        <w:t>Additional Units</w:t>
      </w:r>
    </w:p>
    <w:p w:rsidR="00D8027C" w:rsidRDefault="00F87511">
      <w:pPr>
        <w:pStyle w:val="Bodypara"/>
      </w:pPr>
      <w:bookmarkStart w:id="13" w:name="_cp_text_1_58"/>
      <w:bookmarkEnd w:id="12"/>
      <w:r>
        <w:rPr>
          <w:u w:color="0000FF"/>
        </w:rPr>
        <w:t>Subject to the exceptions set forth in Section 23.4.5.7.15.7, the IS</w:t>
      </w:r>
      <w:r>
        <w:rPr>
          <w:u w:color="0000FF"/>
        </w:rPr>
        <w:t>O shall identify “Additional Units” as each Generator and UDR project that</w:t>
      </w:r>
      <w:r w:rsidRPr="00464797">
        <w:rPr>
          <w:u w:color="0000FF"/>
        </w:rPr>
        <w:t xml:space="preserve"> has been found to be exempt from an Offer Floor as described in Section 23.4.5.7.15.5.2 or</w:t>
      </w:r>
      <w:r>
        <w:rPr>
          <w:u w:color="0000FF"/>
        </w:rPr>
        <w:t xml:space="preserve"> (i) has previously offered to supply UCAP, (ii) has CRIS, (iii) is not in Existing Units, </w:t>
      </w:r>
      <w:r>
        <w:rPr>
          <w:u w:color="0000FF"/>
        </w:rPr>
        <w:t>and (iv) if a Generator, is in an ICAP Ineligible Forced Outage, Mothball Outage, or Retired; if either: (a) the ISO concludes in its sole judgment that there are sufficient positive indicators that the Generator or UDR project will repair and return to se</w:t>
      </w:r>
      <w:r>
        <w:rPr>
          <w:u w:color="0000FF"/>
        </w:rPr>
        <w:t xml:space="preserve">rvice, or (b) the ISO determines that a return to service of the Generator or UDR project would have a positive Net Present Value as set forth in Section 23.4.5.7.15.8. </w:t>
      </w:r>
    </w:p>
    <w:p w:rsidR="00D8027C" w:rsidRDefault="00F87511">
      <w:pPr>
        <w:pStyle w:val="alphapara"/>
        <w:rPr>
          <w:u w:color="0000FF"/>
        </w:rPr>
      </w:pPr>
      <w:bookmarkStart w:id="14" w:name="_cp_text_1_59"/>
      <w:bookmarkEnd w:id="13"/>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EC5AD3" w:rsidRDefault="00F87511">
      <w:pPr>
        <w:pStyle w:val="alphapara"/>
      </w:pPr>
      <w:r w:rsidRPr="00464797">
        <w:rPr>
          <w:u w:color="0000FF"/>
        </w:rPr>
        <w:t>23.4.5.7.15.5.2</w:t>
      </w:r>
      <w:r w:rsidRPr="00464797">
        <w:rPr>
          <w:u w:color="0000FF"/>
        </w:rPr>
        <w:tab/>
        <w:t xml:space="preserve">When the ISO establishes </w:t>
      </w:r>
      <w:r w:rsidRPr="00464797">
        <w:rPr>
          <w:u w:color="0000FF"/>
        </w:rPr>
        <w:t>a BSM Forecast</w:t>
      </w:r>
      <w:r w:rsidRPr="00464797">
        <w:t xml:space="preserve"> to complete the BSM determinations for a Class Year Study, </w:t>
      </w:r>
      <w:ins w:id="15" w:author="Rilling, Elizabeth" w:date="2024-04-19T16:07:00Z">
        <w:r>
          <w:t xml:space="preserve">Cluster Study, </w:t>
        </w:r>
      </w:ins>
      <w:r w:rsidRPr="00464797">
        <w:t xml:space="preserve">Additional SDU Study or Expedited Deliverability Study, the ISO shall not double-count exemptions.  The ISO, in consultation with the Market Monitoring Unit, shall include for each set of decision round determinations: (i) </w:t>
      </w:r>
      <w:r w:rsidRPr="00752818">
        <w:t>all</w:t>
      </w:r>
      <w:r w:rsidRPr="00752818">
        <w:rPr>
          <w:u w:color="0000FF"/>
        </w:rPr>
        <w:t xml:space="preserve"> Examined Facilities that the </w:t>
      </w:r>
      <w:r w:rsidRPr="00752818">
        <w:rPr>
          <w:u w:color="0000FF"/>
        </w:rPr>
        <w:t>ISO has previously exempted from an Offer Floor</w:t>
      </w:r>
      <w:r w:rsidRPr="00752818">
        <w:rPr>
          <w:u w:color="0000FF"/>
        </w:rPr>
        <w:t xml:space="preserve"> </w:t>
      </w:r>
      <w:r w:rsidRPr="00752818">
        <w:rPr>
          <w:u w:color="0000FF"/>
        </w:rPr>
        <w:t>as</w:t>
      </w:r>
      <w:r w:rsidRPr="00464797">
        <w:rPr>
          <w:u w:color="0000FF"/>
        </w:rPr>
        <w:t xml:space="preserve"> a Public Policy Resource under Section 23.4.5.7.3.1 in a Class Year Study, </w:t>
      </w:r>
      <w:ins w:id="16" w:author="Rilling, Elizabeth" w:date="2024-04-19T16:07:00Z">
        <w:r>
          <w:rPr>
            <w:u w:color="0000FF"/>
          </w:rPr>
          <w:t xml:space="preserve">Cluster Study, </w:t>
        </w:r>
      </w:ins>
      <w:r w:rsidRPr="00464797">
        <w:rPr>
          <w:u w:color="0000FF"/>
        </w:rPr>
        <w:t xml:space="preserve">or Additional SDU Study or Expedited Deliverability Study </w:t>
      </w:r>
      <w:r w:rsidRPr="00464797">
        <w:t>in the first Capability Year in which the Examined Facili</w:t>
      </w:r>
      <w:r w:rsidRPr="00464797">
        <w:t>ty was granted such exemption, provided, however, for any exemption granted to an Examined Facility as a Public Policy Resource under Section 23.4.5.7.3.1 prior to the most recently completed Class Year Study</w:t>
      </w:r>
      <w:ins w:id="17" w:author="Rilling, Elizabeth" w:date="2024-04-19T16:07:00Z">
        <w:r>
          <w:t xml:space="preserve"> or Cluster Study</w:t>
        </w:r>
      </w:ins>
      <w:r w:rsidRPr="00464797">
        <w:t>, the ISO shall exclude the Exa</w:t>
      </w:r>
      <w:r w:rsidRPr="00464797">
        <w:t xml:space="preserve">mined Facility if it has determined it is reasonable to project the Examined Facility will not enter the market, </w:t>
      </w:r>
      <w:r w:rsidRPr="00464797">
        <w:rPr>
          <w:u w:color="0000FF"/>
        </w:rPr>
        <w:t>and (ii) all Examined Facilities that the ISO determines will receive a Part A Exemption in the currently ongoing Class Year Study,</w:t>
      </w:r>
      <w:ins w:id="18" w:author="Rilling, Elizabeth" w:date="2024-04-19T16:08:00Z">
        <w:r>
          <w:rPr>
            <w:u w:color="0000FF"/>
          </w:rPr>
          <w:t xml:space="preserve"> Cluster Stu</w:t>
        </w:r>
        <w:r>
          <w:rPr>
            <w:u w:color="0000FF"/>
          </w:rPr>
          <w:t>dy,</w:t>
        </w:r>
      </w:ins>
      <w:r w:rsidRPr="00464797">
        <w:rPr>
          <w:u w:color="0000FF"/>
        </w:rPr>
        <w:t xml:space="preserve"> Additional SDU Study or Expedited Deliverability Study until and unless an Examined Facility rejects </w:t>
      </w:r>
      <w:r w:rsidRPr="00752818">
        <w:rPr>
          <w:u w:color="0000FF"/>
        </w:rPr>
        <w:t>it</w:t>
      </w:r>
      <w:r w:rsidRPr="00752818">
        <w:rPr>
          <w:u w:color="0000FF"/>
        </w:rPr>
        <w:t>s</w:t>
      </w:r>
      <w:r w:rsidRPr="00752818">
        <w:rPr>
          <w:u w:color="0000FF"/>
        </w:rPr>
        <w:t xml:space="preserve"> co</w:t>
      </w:r>
      <w:r w:rsidRPr="00464797">
        <w:rPr>
          <w:u w:color="0000FF"/>
        </w:rPr>
        <w:t xml:space="preserve">st allocation or otherwise drops out of such Class Year Study, </w:t>
      </w:r>
      <w:ins w:id="19" w:author="Rilling, Elizabeth" w:date="2024-04-19T16:08:00Z">
        <w:r>
          <w:rPr>
            <w:u w:color="0000FF"/>
          </w:rPr>
          <w:t xml:space="preserve">Cluster Study, </w:t>
        </w:r>
      </w:ins>
      <w:r w:rsidRPr="00464797">
        <w:rPr>
          <w:u w:color="0000FF"/>
        </w:rPr>
        <w:t>Additional SDU Study or Expedited Deliverability Study.  Any Examin</w:t>
      </w:r>
      <w:r w:rsidRPr="00464797">
        <w:rPr>
          <w:u w:color="0000FF"/>
        </w:rPr>
        <w:t xml:space="preserve">ed Facility that was granted an exemption by the ISO in a previously completed Class Year Study, </w:t>
      </w:r>
      <w:ins w:id="20" w:author="Rilling, Elizabeth" w:date="2024-04-19T16:09:00Z">
        <w:r>
          <w:rPr>
            <w:u w:color="0000FF"/>
          </w:rPr>
          <w:t xml:space="preserve">Cluster Study, </w:t>
        </w:r>
      </w:ins>
      <w:r w:rsidRPr="00464797">
        <w:rPr>
          <w:u w:color="0000FF"/>
        </w:rPr>
        <w:t xml:space="preserve">Additional SDU Study, or Expedited Deliverability Study </w:t>
      </w:r>
      <w:r w:rsidRPr="00464797">
        <w:t>pursuant to Section 23.4.5.7.2(a) if issued prior to the start of Class Year 2019, Secti</w:t>
      </w:r>
      <w:r w:rsidRPr="00464797">
        <w:t>on 23.4.5.7.2(b), Section 23.4.5.7.2(c) or Section 23.4.5.7.2(</w:t>
      </w:r>
      <w:r>
        <w:t>d</w:t>
      </w:r>
      <w:r w:rsidRPr="00464797">
        <w:t xml:space="preserve">) </w:t>
      </w:r>
      <w:r w:rsidRPr="00464797">
        <w:rPr>
          <w:u w:color="0000FF"/>
        </w:rPr>
        <w:t xml:space="preserve">shall also be included in the BSM Forecast for each set of decision round determinations for such Class Year Study, </w:t>
      </w:r>
      <w:ins w:id="21" w:author="Rilling, Elizabeth" w:date="2024-04-19T16:09:00Z">
        <w:r>
          <w:rPr>
            <w:u w:color="0000FF"/>
          </w:rPr>
          <w:t xml:space="preserve">Cluster Study, </w:t>
        </w:r>
      </w:ins>
      <w:r w:rsidRPr="00464797">
        <w:rPr>
          <w:u w:color="0000FF"/>
        </w:rPr>
        <w:t>Additional SDU Study</w:t>
      </w:r>
      <w:ins w:id="22" w:author="Rilling, Elizabeth" w:date="2024-04-19T16:09:00Z">
        <w:r>
          <w:rPr>
            <w:u w:color="0000FF"/>
          </w:rPr>
          <w:t>,</w:t>
        </w:r>
      </w:ins>
      <w:r w:rsidRPr="00464797">
        <w:rPr>
          <w:u w:color="0000FF"/>
        </w:rPr>
        <w:t xml:space="preserve"> or Expedited Deliverability Study if t</w:t>
      </w:r>
      <w:r w:rsidRPr="00464797">
        <w:rPr>
          <w:u w:color="0000FF"/>
        </w:rPr>
        <w:t>he ISO has determined that 5% or more of its respective total project’s costs have been spent.</w:t>
      </w:r>
    </w:p>
    <w:p w:rsidR="00D8027C" w:rsidRDefault="00F87511">
      <w:pPr>
        <w:pStyle w:val="subhead"/>
      </w:pPr>
      <w:bookmarkStart w:id="23" w:name="_cp_text_1_60"/>
      <w:bookmarkEnd w:id="14"/>
      <w:r>
        <w:t>23.4.5.7.15.6</w:t>
      </w:r>
      <w:r>
        <w:tab/>
      </w:r>
      <w:r>
        <w:t>Omitted</w:t>
      </w:r>
      <w:r>
        <w:t xml:space="preserve"> Units</w:t>
      </w:r>
    </w:p>
    <w:bookmarkEnd w:id="23"/>
    <w:p w:rsidR="00D8027C" w:rsidRDefault="00F87511">
      <w:pPr>
        <w:pStyle w:val="Bodypara"/>
        <w:rPr>
          <w:u w:color="0000FF"/>
        </w:rPr>
      </w:pPr>
      <w:r>
        <w:rPr>
          <w:u w:color="0000FF"/>
        </w:rPr>
        <w:t>Subject to the exceptions set forth in Section 23.4.5.7.15.7, the ISO shall identify “</w:t>
      </w:r>
      <w:r>
        <w:rPr>
          <w:u w:color="0000FF"/>
        </w:rPr>
        <w:t>Omitted</w:t>
      </w:r>
      <w:r>
        <w:rPr>
          <w:u w:color="0000FF"/>
        </w:rPr>
        <w:t xml:space="preserve"> Units</w:t>
      </w:r>
      <w:r>
        <w:rPr>
          <w:u w:color="0000FF"/>
        </w:rPr>
        <w:t>” as the set of Generators and UDR</w:t>
      </w:r>
      <w:r>
        <w:rPr>
          <w:u w:color="0000FF"/>
        </w:rPr>
        <w:t xml:space="preserve"> projects that meet the criteria in the following subsections.</w:t>
      </w:r>
    </w:p>
    <w:p w:rsidR="00D8027C" w:rsidRDefault="00F87511">
      <w:pPr>
        <w:pStyle w:val="alphapara"/>
        <w:rPr>
          <w:u w:color="0000FF"/>
        </w:rPr>
      </w:pPr>
      <w:r>
        <w:rPr>
          <w:u w:color="0000FF"/>
        </w:rPr>
        <w:t>23.4.5.7.15.6.1</w:t>
      </w:r>
      <w:r>
        <w:tab/>
      </w:r>
      <w:r>
        <w:rPr>
          <w:u w:color="0000FF"/>
        </w:rPr>
        <w:t>Generators and UDR projects (i) that have transferred CRIS; (ii) for which the CRIS has expired; (iii) that have CRIS for which a request has been received by the ISO for an eva</w:t>
      </w:r>
      <w:r>
        <w:rPr>
          <w:u w:color="0000FF"/>
        </w:rPr>
        <w:t xml:space="preserve">luation of a CRIS transfer from another location in the Class Year </w:t>
      </w:r>
      <w:del w:id="24" w:author="Rilling, Elizabeth" w:date="2024-04-19T16:09:00Z">
        <w:r>
          <w:delText>Facilities</w:delText>
        </w:r>
        <w:r>
          <w:rPr>
            <w:u w:color="0000FF"/>
          </w:rPr>
          <w:delText xml:space="preserve"> </w:delText>
        </w:r>
      </w:del>
      <w:r>
        <w:rPr>
          <w:u w:color="0000FF"/>
        </w:rPr>
        <w:t>Study</w:t>
      </w:r>
      <w:ins w:id="25" w:author="Rilling, Elizabeth" w:date="2024-04-19T16:09:00Z">
        <w:r>
          <w:rPr>
            <w:u w:color="0000FF"/>
          </w:rPr>
          <w:t xml:space="preserve"> or Cluster Study</w:t>
        </w:r>
      </w:ins>
      <w:r>
        <w:rPr>
          <w:u w:color="0000FF"/>
        </w:rPr>
        <w:t xml:space="preserve"> commencing in a calendar year in or preceding the Mitigation Study Period; or (iv) that are an expected transferor of transferred CRIS at the same location.  For any CRIS transfer described in (iii) or (iv) of this Section, the transferor or the transfere</w:t>
      </w:r>
      <w:r>
        <w:rPr>
          <w:u w:color="0000FF"/>
        </w:rPr>
        <w:t xml:space="preserve">e must have notified the ISO of the transfer pursuant to </w:t>
      </w:r>
      <w:del w:id="26" w:author="Rilling, Elizabeth" w:date="2024-04-19T16:10:00Z">
        <w:r>
          <w:rPr>
            <w:u w:color="0000FF"/>
          </w:rPr>
          <w:delText xml:space="preserve">OATT Attachment S </w:delText>
        </w:r>
      </w:del>
      <w:r>
        <w:rPr>
          <w:u w:color="0000FF"/>
        </w:rPr>
        <w:t xml:space="preserve">Section 25.9.4 </w:t>
      </w:r>
      <w:ins w:id="27" w:author="Rilling, Elizabeth" w:date="2024-04-19T16:10:00Z">
        <w:r>
          <w:rPr>
            <w:u w:color="0000FF"/>
          </w:rPr>
          <w:t xml:space="preserve">of Attachment S or Section 40.18.3 of Attachment HH to the OATT </w:t>
        </w:r>
      </w:ins>
      <w:r>
        <w:rPr>
          <w:u w:color="0000FF"/>
        </w:rPr>
        <w:t>and the transfer must be reasonably expected to be effective on a date within the Mitigation Study Per</w:t>
      </w:r>
      <w:r>
        <w:rPr>
          <w:u w:color="0000FF"/>
        </w:rPr>
        <w:t>iod.</w:t>
      </w:r>
    </w:p>
    <w:p w:rsidR="00D8027C" w:rsidRDefault="00F87511">
      <w:pPr>
        <w:pStyle w:val="alphapara"/>
      </w:pPr>
      <w:bookmarkStart w:id="28" w:name="_cp_text_1_63"/>
      <w:r>
        <w:rPr>
          <w:u w:color="0000FF"/>
        </w:rPr>
        <w:t>23.4.5.7.15.6.2</w:t>
      </w:r>
      <w:r>
        <w:tab/>
      </w:r>
      <w:r>
        <w:rPr>
          <w:u w:color="0000FF"/>
        </w:rPr>
        <w:t xml:space="preserve">Generators in ICAP Ineligible Forced Outages (even if resulting from Catastrophic Failures), Mothball Outages, or that are Retired; provided they are not </w:t>
      </w:r>
      <w:r>
        <w:t>identified</w:t>
      </w:r>
      <w:r>
        <w:rPr>
          <w:u w:color="0000FF"/>
        </w:rPr>
        <w:t xml:space="preserve"> under Section 23.4.5.7.15.5 as an Additional Unit or an exception unde</w:t>
      </w:r>
      <w:r>
        <w:rPr>
          <w:u w:color="0000FF"/>
        </w:rPr>
        <w:t>r Section 23.4.5.7.15.7.</w:t>
      </w:r>
    </w:p>
    <w:p w:rsidR="00D8027C" w:rsidRDefault="00F87511">
      <w:pPr>
        <w:pStyle w:val="alphapara"/>
        <w:rPr>
          <w:i/>
        </w:rPr>
      </w:pPr>
      <w:bookmarkStart w:id="29" w:name="_cp_text_1_64"/>
      <w:bookmarkEnd w:id="28"/>
      <w:r>
        <w:rPr>
          <w:u w:color="0000FF"/>
        </w:rPr>
        <w:t>23.4.5.7.15.6.3</w:t>
      </w:r>
      <w:r>
        <w:tab/>
      </w:r>
      <w:r>
        <w:rPr>
          <w:u w:color="0000FF"/>
        </w:rPr>
        <w:t>Generators that have submitted a Generation Deactivation Notice, beginning with the proposed deactivation date identified in such notice, provided that: (i) the ISO does not identify sufficient positive indicators t</w:t>
      </w:r>
      <w:r>
        <w:rPr>
          <w:u w:color="0000FF"/>
        </w:rPr>
        <w:t xml:space="preserve">hat the Generator will repair and </w:t>
      </w:r>
      <w:r>
        <w:t>return</w:t>
      </w:r>
      <w:r>
        <w:rPr>
          <w:u w:color="0000FF"/>
        </w:rPr>
        <w:t xml:space="preserve"> to service and (ii) the ISO determines that a return to service or continued operation of the Generator does not have a positive Net Present Value as set forth in Section 23.4.5.7.15.8. </w:t>
      </w:r>
    </w:p>
    <w:p w:rsidR="00D8027C" w:rsidRDefault="00F87511">
      <w:pPr>
        <w:pStyle w:val="subhead"/>
      </w:pPr>
      <w:bookmarkStart w:id="30" w:name="_cp_text_1_65"/>
      <w:bookmarkEnd w:id="29"/>
      <w:r>
        <w:t>23.4.5.7.15.7</w:t>
      </w:r>
      <w:r>
        <w:tab/>
      </w:r>
      <w:r>
        <w:tab/>
        <w:t xml:space="preserve">Exceptions </w:t>
      </w:r>
    </w:p>
    <w:bookmarkEnd w:id="30"/>
    <w:p w:rsidR="00D8027C" w:rsidRDefault="00F87511">
      <w:pPr>
        <w:pStyle w:val="Bodypara"/>
      </w:pPr>
      <w:r>
        <w:t>T</w:t>
      </w:r>
      <w:r>
        <w:t>he rules set forth in the following subsections take precedence over the rules described elsewhere in Section 23.4.5.7.15 under the facts and circumstances defined therein.</w:t>
      </w:r>
    </w:p>
    <w:p w:rsidR="00D8027C" w:rsidRDefault="00F87511">
      <w:pPr>
        <w:pStyle w:val="alphapara"/>
      </w:pPr>
      <w:bookmarkStart w:id="31" w:name="_cp_text_1_67"/>
      <w:r>
        <w:rPr>
          <w:u w:color="0000FF"/>
        </w:rPr>
        <w:t>23.4.5.7.15.7.1</w:t>
      </w:r>
      <w:r>
        <w:tab/>
      </w:r>
      <w:r>
        <w:rPr>
          <w:u w:color="0000FF"/>
        </w:rPr>
        <w:t>Generators that have submitted a Generation Deactivation Notice, fo</w:t>
      </w:r>
      <w:r>
        <w:rPr>
          <w:u w:color="0000FF"/>
        </w:rPr>
        <w:t xml:space="preserve">r which the ISO has not yet completed its </w:t>
      </w:r>
      <w:r>
        <w:t xml:space="preserve">Short-Term Assessment of Reliability or </w:t>
      </w:r>
      <w:r>
        <w:rPr>
          <w:u w:color="0000FF"/>
        </w:rPr>
        <w:t xml:space="preserve">Generation Deactivation Assessment, shall not be identified by the ISO as </w:t>
      </w:r>
      <w:r>
        <w:rPr>
          <w:u w:color="0000FF"/>
        </w:rPr>
        <w:t>Omitted</w:t>
      </w:r>
      <w:r>
        <w:rPr>
          <w:u w:color="0000FF"/>
        </w:rPr>
        <w:t xml:space="preserve"> Units</w:t>
      </w:r>
      <w:r>
        <w:rPr>
          <w:u w:color="0000FF"/>
        </w:rPr>
        <w:t>, unless there is publicly available information demonstrating with reasonable certaint</w:t>
      </w:r>
      <w:r>
        <w:rPr>
          <w:u w:color="0000FF"/>
        </w:rPr>
        <w:t xml:space="preserve">y that the Generator or UDR project will indefinitely cease operation. </w:t>
      </w:r>
    </w:p>
    <w:p w:rsidR="00D8027C" w:rsidRDefault="00F87511">
      <w:pPr>
        <w:pStyle w:val="alphapara"/>
      </w:pPr>
      <w:bookmarkStart w:id="32" w:name="_cp_text_1_68"/>
      <w:bookmarkEnd w:id="31"/>
      <w:r>
        <w:rPr>
          <w:u w:color="0000FF"/>
        </w:rPr>
        <w:t>23.4.5.7.15.7.2</w:t>
      </w:r>
      <w:r>
        <w:tab/>
      </w:r>
      <w:r>
        <w:rPr>
          <w:u w:color="0000FF"/>
        </w:rPr>
        <w:t>Initiating Generators with an associated Generator Deactivation Reliability Need for which a Short-Term Reliability Process Solution has not yet been identified, RMR Ge</w:t>
      </w:r>
      <w:r>
        <w:rPr>
          <w:u w:color="0000FF"/>
        </w:rPr>
        <w:t xml:space="preserve">nerators, and Interim Service Providers </w:t>
      </w:r>
      <w:r>
        <w:rPr>
          <w:spacing w:val="-1"/>
        </w:rPr>
        <w:t>that are required to keep their generating unit(s) in-service</w:t>
      </w:r>
      <w:r>
        <w:rPr>
          <w:u w:color="0000FF"/>
        </w:rPr>
        <w:t>, shall be included in Existing Units for the expected duration of such Generator Deactivation Reliability Need with which they are associated.  Such Gener</w:t>
      </w:r>
      <w:r>
        <w:rPr>
          <w:u w:color="0000FF"/>
        </w:rPr>
        <w:t xml:space="preserve">ators shall also be included in Existing Units beyond the expected </w:t>
      </w:r>
      <w:r>
        <w:t>duration</w:t>
      </w:r>
      <w:r>
        <w:rPr>
          <w:u w:color="0000FF"/>
        </w:rPr>
        <w:t xml:space="preserve"> of the Generator Deactivation Reliability Need if either: (a) the ISO determines, in its sole judgment, that a return to service or continued operation of the Generator has a posit</w:t>
      </w:r>
      <w:r>
        <w:rPr>
          <w:u w:color="0000FF"/>
        </w:rPr>
        <w:t>ive Net Present Value as set forth in Section 23.4.5.7.15.8, or (b) there is publicly available information demonstrating with reasonable certainty that the Generator will continue operation.</w:t>
      </w:r>
    </w:p>
    <w:bookmarkEnd w:id="32"/>
    <w:p w:rsidR="00D8027C" w:rsidRDefault="00F87511">
      <w:pPr>
        <w:pStyle w:val="alphapara"/>
        <w:rPr>
          <w:u w:color="0000FF"/>
        </w:rPr>
      </w:pPr>
      <w:r>
        <w:rPr>
          <w:u w:color="0000FF"/>
        </w:rPr>
        <w:t>23.4.5.7.15.7.3</w:t>
      </w:r>
      <w:r>
        <w:tab/>
      </w:r>
      <w:r>
        <w:rPr>
          <w:u w:color="0000FF"/>
        </w:rPr>
        <w:t>Except for those included in Existing Units purs</w:t>
      </w:r>
      <w:r>
        <w:rPr>
          <w:u w:color="0000FF"/>
        </w:rPr>
        <w:t xml:space="preserve">uant to Section 23.4.5.7.15.7.2, Generators and UDR projects for which there is publicly available information demonstrating with reasonable certainty that they will indefinitely cease operation, shall </w:t>
      </w:r>
      <w:r>
        <w:t>be</w:t>
      </w:r>
      <w:r>
        <w:rPr>
          <w:u w:color="0000FF"/>
        </w:rPr>
        <w:t xml:space="preserve"> identified as Excluded Capacity beginning with the </w:t>
      </w:r>
      <w:r>
        <w:rPr>
          <w:u w:color="0000FF"/>
        </w:rPr>
        <w:t>date determined by the ISO to be consistent with the expected cessation of operations.</w:t>
      </w:r>
    </w:p>
    <w:p w:rsidR="00D8027C" w:rsidRDefault="00F87511">
      <w:pPr>
        <w:pStyle w:val="alphapara"/>
      </w:pPr>
      <w:bookmarkStart w:id="33" w:name="_cp_text_1_70"/>
      <w:r>
        <w:rPr>
          <w:u w:color="0000FF"/>
        </w:rPr>
        <w:t>23.4.5.7.15.7.4</w:t>
      </w:r>
      <w:r>
        <w:tab/>
      </w:r>
      <w:r>
        <w:rPr>
          <w:u w:color="0000FF"/>
        </w:rPr>
        <w:t>Generators and UDR projects for which there is publicly available information demonstrating with reasonable certainty that (a) they will return to servic</w:t>
      </w:r>
      <w:r>
        <w:rPr>
          <w:u w:color="0000FF"/>
        </w:rPr>
        <w:t>e shall be included in Additional Units beginning with the date determined by the ISO to be consistent with its expected return to service, or (b) they will continue operations shall be included in Additional Units until the date determined by the ISO to b</w:t>
      </w:r>
      <w:r>
        <w:rPr>
          <w:u w:color="0000FF"/>
        </w:rPr>
        <w:t>e consistent with its expected continuation of operations.</w:t>
      </w:r>
    </w:p>
    <w:bookmarkEnd w:id="33"/>
    <w:p w:rsidR="00D8027C" w:rsidRDefault="00F87511">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been operating under a</w:t>
      </w:r>
      <w:r>
        <w:rPr>
          <w:u w:color="0000FF"/>
        </w:rPr>
        <w:t xml:space="preserve"> long term partial derate (such as due to the delay or deferral of repairs) may be treated as if it were in and of itself a separate Generator or UDR project in an ICAP Ineligible Forced Outage for the purposes of Section 23.4.5.7.15.  In such instances, t</w:t>
      </w:r>
      <w:r>
        <w:rPr>
          <w:u w:color="0000FF"/>
        </w:rPr>
        <w:t>he net present value of the investment required to for the Generator or UDR facility to return to its original capability or capability prior to the long term partial derate shall be evaluated in place of the cost of returning to service.</w:t>
      </w:r>
    </w:p>
    <w:p w:rsidR="00D8027C" w:rsidRDefault="00F87511">
      <w:pPr>
        <w:pStyle w:val="alphapara"/>
        <w:rPr>
          <w:i/>
        </w:rPr>
      </w:pPr>
      <w:bookmarkStart w:id="34" w:name="_cp_text_1_72"/>
      <w:r>
        <w:rPr>
          <w:u w:color="0000FF"/>
        </w:rPr>
        <w:t>23.4.5.7.15.7.6</w:t>
      </w:r>
      <w:r>
        <w:tab/>
      </w:r>
      <w:r>
        <w:rPr>
          <w:u w:color="0000FF"/>
        </w:rPr>
        <w:t>T</w:t>
      </w:r>
      <w:r>
        <w:rPr>
          <w:u w:color="0000FF"/>
        </w:rPr>
        <w:t>he ISO shall not be required pursuant to Section 23.4.5.7.15 to determine whether a return to service or continued operation would have a positive Net Present Value as set forth in Section 23.4.5.7.15.8 for: (i) Generators in ICAP Ineligible Forced Outages</w:t>
      </w:r>
      <w:r>
        <w:rPr>
          <w:u w:color="0000FF"/>
        </w:rPr>
        <w:t xml:space="preserve"> that the ISO determined to have resulted from a Catastrophic Failure; and (ii) Generators that are Retired, provided that in the case of (ii),  in the ISO’s sole judgment, (a) the Generator was subject to actions that rendered it permanently inoperable, (</w:t>
      </w:r>
      <w:r>
        <w:rPr>
          <w:u w:color="0000FF"/>
        </w:rPr>
        <w:t xml:space="preserve">b) the reversal of such actions would be a nontrivial undertaking, and (c) the ISO has received confirmation from it that it has permanently ceased operations. </w:t>
      </w:r>
    </w:p>
    <w:p w:rsidR="00D8027C" w:rsidRDefault="00F87511">
      <w:pPr>
        <w:pStyle w:val="alphapara"/>
        <w:rPr>
          <w:u w:color="0000FF"/>
        </w:rPr>
      </w:pPr>
      <w:bookmarkStart w:id="35" w:name="_cp_text_1_73"/>
      <w:bookmarkEnd w:id="34"/>
      <w:r>
        <w:rPr>
          <w:u w:color="0000FF"/>
        </w:rPr>
        <w:t>23.4.5.7.15.7.7</w:t>
      </w:r>
      <w:r>
        <w:tab/>
      </w:r>
      <w:r>
        <w:rPr>
          <w:u w:color="0000FF"/>
        </w:rPr>
        <w:t>The production and sale of energy from Generators and UDR projects that only ha</w:t>
      </w:r>
      <w:r>
        <w:rPr>
          <w:u w:color="0000FF"/>
        </w:rPr>
        <w:t xml:space="preserve">ve ERIS and no CRIS, or that will have ERIS only after a transfer of CRIS, for which the ISO has received notice or made a determination in the Class Year </w:t>
      </w:r>
      <w:ins w:id="36" w:author="Rilling, Elizabeth" w:date="2024-04-19T16:10:00Z">
        <w:r>
          <w:rPr>
            <w:u w:color="0000FF"/>
          </w:rPr>
          <w:t xml:space="preserve">or Cluster Study </w:t>
        </w:r>
      </w:ins>
      <w:r>
        <w:rPr>
          <w:u w:color="0000FF"/>
        </w:rPr>
        <w:t>as described in the next sentence, shall be modeled in the BSM Forecasts, but such u</w:t>
      </w:r>
      <w:r>
        <w:rPr>
          <w:u w:color="0000FF"/>
        </w:rPr>
        <w:t>nits shall be excluded from the BSM ICAP Forecast.  In accordance with Attachment S</w:t>
      </w:r>
      <w:ins w:id="37" w:author="Rilling, Elizabeth" w:date="2024-04-19T16:14:00Z">
        <w:r>
          <w:rPr>
            <w:u w:color="0000FF"/>
          </w:rPr>
          <w:t xml:space="preserve"> or HH</w:t>
        </w:r>
      </w:ins>
      <w:r>
        <w:rPr>
          <w:u w:color="0000FF"/>
        </w:rPr>
        <w:t xml:space="preserve"> of the OATT, the ISO must have received notice that the transaction is final if a transfer of CRIS at the same location, or have determined the facility receiving the transfer is deliverable and such transferee is either in the Class Year</w:t>
      </w:r>
      <w:ins w:id="38" w:author="Rilling, Elizabeth" w:date="2024-04-19T16:14:00Z">
        <w:r>
          <w:rPr>
            <w:u w:color="0000FF"/>
          </w:rPr>
          <w:t xml:space="preserve"> or Cluster Study</w:t>
        </w:r>
      </w:ins>
      <w:r>
        <w:rPr>
          <w:u w:color="0000FF"/>
        </w:rPr>
        <w:t xml:space="preserve"> being examined, or remained in a prior Class Year </w:t>
      </w:r>
      <w:ins w:id="39" w:author="Rilling, Elizabeth" w:date="2024-04-19T16:14:00Z">
        <w:r>
          <w:rPr>
            <w:u w:color="0000FF"/>
          </w:rPr>
          <w:t xml:space="preserve">or Cluster Study </w:t>
        </w:r>
      </w:ins>
      <w:r>
        <w:rPr>
          <w:u w:color="0000FF"/>
        </w:rPr>
        <w:t>at the time of its completion, if a transfer of CRIS from a different location.</w:t>
      </w:r>
    </w:p>
    <w:p w:rsidR="00D8027C" w:rsidRDefault="00F87511">
      <w:pPr>
        <w:pStyle w:val="subhead"/>
      </w:pPr>
      <w:bookmarkStart w:id="40" w:name="_cp_text_1_74"/>
      <w:r>
        <w:t>23.4.5.7.15.8</w:t>
      </w:r>
      <w:r>
        <w:tab/>
        <w:t>Net Present Value Analysis</w:t>
      </w:r>
    </w:p>
    <w:bookmarkEnd w:id="40"/>
    <w:p w:rsidR="00D8027C" w:rsidRDefault="00F87511">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w:t>
      </w:r>
      <w:ins w:id="41" w:author="Rilling, Elizabeth" w:date="2024-04-19T16:15:00Z">
        <w:r>
          <w:t>or Cluster Study</w:t>
        </w:r>
      </w:ins>
      <w:ins w:id="42" w:author="Rilling, Elizabeth" w:date="2024-04-19T16:16:00Z">
        <w:r>
          <w:t xml:space="preserve"> </w:t>
        </w:r>
      </w:ins>
      <w:r>
        <w:t xml:space="preserve">and those that remained in prior Class Years </w:t>
      </w:r>
      <w:ins w:id="43" w:author="Rilling, Elizabeth" w:date="2024-04-19T16:15:00Z">
        <w:r>
          <w:t xml:space="preserve">or Cluster Studies </w:t>
        </w:r>
      </w:ins>
      <w:r>
        <w:t xml:space="preserve">at the time of their completion, in accordance with ISO Procedures.  If the ISO-estimated net present value is greater than zero, </w:t>
      </w:r>
      <w:r>
        <w:t xml:space="preserve">then the criterion of this Section will be considered to have been met. </w:t>
      </w:r>
    </w:p>
    <w:p w:rsidR="00D8027C" w:rsidRDefault="00F87511">
      <w:pPr>
        <w:pStyle w:val="alphapara"/>
      </w:pPr>
      <w:bookmarkStart w:id="44"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w:t>
      </w:r>
      <w:r>
        <w:rPr>
          <w:u w:color="0000FF"/>
        </w:rPr>
        <w:t>ct to service if the unit is not currently operating, and of continued operation through the end of the Mitigation Study Period, or the end of the investment horizon as reasonably determined by the ISO, whichever is of greater length (including, if applica</w:t>
      </w:r>
      <w:r>
        <w:rPr>
          <w:u w:color="0000FF"/>
        </w:rPr>
        <w:t xml:space="preserve">ble, the expected lost revenues of the rest of the portfolio of the Installed Capacity Supplier attributable to reductions in ICAP Spot Market Auction prices caused by the Generator or UDR project’s return to service); (b) the ISO-estimated revenues, over </w:t>
      </w:r>
      <w:r>
        <w:rPr>
          <w:u w:color="0000FF"/>
        </w:rPr>
        <w:t xml:space="preserve">the same time period, from the production and sale of Energy, Ancillary Services, and capacity, and (c) </w:t>
      </w:r>
      <w:r>
        <w:t>the</w:t>
      </w:r>
      <w:r>
        <w:rPr>
          <w:u w:color="0000FF"/>
        </w:rPr>
        <w:t xml:space="preserve"> effect that additional risk associated with the age, condition, and location of the Generator or UDR project may have on the required return on inve</w:t>
      </w:r>
      <w:r>
        <w:rPr>
          <w:u w:color="0000FF"/>
        </w:rPr>
        <w:t xml:space="preserve">stment. </w:t>
      </w:r>
    </w:p>
    <w:bookmarkEnd w:id="44"/>
    <w:p w:rsidR="00D8027C" w:rsidRDefault="00F87511">
      <w:pPr>
        <w:pStyle w:val="alphapara"/>
        <w:rPr>
          <w:u w:color="0000FF"/>
        </w:rPr>
      </w:pPr>
      <w:r>
        <w:rPr>
          <w:u w:color="0000FF"/>
        </w:rPr>
        <w:t>23.4.5.7.15.8.2</w:t>
      </w:r>
      <w:r>
        <w:tab/>
      </w:r>
      <w:r>
        <w:rPr>
          <w:u w:color="0000FF"/>
        </w:rPr>
        <w:t xml:space="preserve">The ISO’s net present value analysis shall be for a period beginning </w:t>
      </w:r>
      <w:r>
        <w:t>after</w:t>
      </w:r>
      <w:r>
        <w:rPr>
          <w:u w:color="0000FF"/>
        </w:rPr>
        <w:t xml:space="preserve"> the reasonably anticipated commencement of the Initial Decision </w:t>
      </w:r>
      <w:ins w:id="45" w:author="Morse, Alexander" w:date="2024-04-22T11:46:00Z">
        <w:r>
          <w:rPr>
            <w:u w:color="0000FF"/>
          </w:rPr>
          <w:t>Round</w:t>
        </w:r>
      </w:ins>
      <w:del w:id="46" w:author="Morse, Alexander" w:date="2024-04-22T11:46:00Z">
        <w:r>
          <w:rPr>
            <w:u w:color="0000FF"/>
          </w:rPr>
          <w:delText>Period</w:delText>
        </w:r>
      </w:del>
      <w:r>
        <w:rPr>
          <w:u w:color="0000FF"/>
        </w:rPr>
        <w:t xml:space="preserve"> but before the starting Capability Period of the Mitigation Study Period, throug</w:t>
      </w:r>
      <w:r>
        <w:rPr>
          <w:u w:color="0000FF"/>
        </w:rPr>
        <w:t xml:space="preserve">h the end of Mitigation Study Period, or until the investment horizon as reasonably assumed by the ISO, whichever is of greater length. </w:t>
      </w:r>
    </w:p>
    <w:p w:rsidR="00D8027C" w:rsidRDefault="00F87511">
      <w:pPr>
        <w:pStyle w:val="alphapara"/>
      </w:pPr>
      <w:bookmarkStart w:id="47"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w:t>
      </w:r>
      <w:r>
        <w:rPr>
          <w:u w:color="0000FF"/>
        </w:rPr>
        <w:t xml:space="preserve">t present value analysis pursuant to this Section 23.4.5.7.15.8, and information received pursuant to Section </w:t>
      </w:r>
      <w:del w:id="48" w:author="Amann, Stephanie" w:date="2024-04-23T14:16:00Z">
        <w:r>
          <w:rPr>
            <w:u w:color="0000FF"/>
          </w:rPr>
          <w:delText>3</w:delText>
        </w:r>
      </w:del>
      <w:del w:id="49" w:author="Rilling, Elizabeth" w:date="2024-04-19T16:16:00Z">
        <w:r>
          <w:rPr>
            <w:u w:color="0000FF"/>
          </w:rPr>
          <w:delText>0</w:delText>
        </w:r>
      </w:del>
      <w:ins w:id="50" w:author="Amann, Stephanie" w:date="2024-04-23T14:16:00Z">
        <w:r>
          <w:rPr>
            <w:u w:color="0000FF"/>
          </w:rPr>
          <w:t>38</w:t>
        </w:r>
      </w:ins>
      <w:r>
        <w:rPr>
          <w:u w:color="0000FF"/>
        </w:rPr>
        <w:t>.25 of the OATT, along with any new, updated, or relevant information that the ISO, in its sole judgment and in accordance with ISO Procedures</w:t>
      </w:r>
      <w:r>
        <w:rPr>
          <w:u w:color="0000FF"/>
        </w:rPr>
        <w:t>, has verified is reasonable and accurate.  If the ISO has not timely received sufficient information from the owner or representative of a Generator or UDR project, or if the ISO has received information but determined it is not suitable or reliable to be</w:t>
      </w:r>
      <w:r>
        <w:rPr>
          <w:u w:color="0000FF"/>
        </w:rPr>
        <w:t xml:space="preserve"> used for the purposes of a net present value analysis pursuant to Section 23.4.5.7.8, the ISO can substitute suitable estimated data, or identify the Generator or UDR project as </w:t>
      </w:r>
      <w:r>
        <w:rPr>
          <w:u w:color="0000FF"/>
        </w:rPr>
        <w:t>Omitted</w:t>
      </w:r>
      <w:r>
        <w:rPr>
          <w:u w:color="0000FF"/>
        </w:rPr>
        <w:t xml:space="preserve"> Units</w:t>
      </w:r>
      <w:r>
        <w:rPr>
          <w:u w:color="0000FF"/>
        </w:rPr>
        <w:t>.</w:t>
      </w:r>
      <w:bookmarkEnd w:id="47"/>
    </w:p>
    <w:bookmarkEnd w:id="35"/>
    <w:p w:rsidR="00D8027C" w:rsidRDefault="00F87511"/>
    <w:sectPr w:rsidR="00D8027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511">
      <w:r>
        <w:separator/>
      </w:r>
    </w:p>
  </w:endnote>
  <w:endnote w:type="continuationSeparator" w:id="0">
    <w:p w:rsidR="00000000" w:rsidRDefault="00F8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1F" w:rsidRDefault="00F8751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1F" w:rsidRDefault="00F8751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1F" w:rsidRDefault="00F8751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511">
      <w:r>
        <w:separator/>
      </w:r>
    </w:p>
  </w:footnote>
  <w:footnote w:type="continuationSeparator" w:id="0">
    <w:p w:rsidR="00000000" w:rsidRDefault="00F8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1F" w:rsidRDefault="00F8751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w:t>
    </w:r>
    <w:r>
      <w:rPr>
        <w:rFonts w:ascii="Arial" w:eastAsia="Arial" w:hAnsi="Arial" w:cs="Arial"/>
        <w:color w:val="000000"/>
        <w:sz w:val="16"/>
      </w:rPr>
      <w:t>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1F" w:rsidRDefault="00F87511">
    <w:r>
      <w:rPr>
        <w:rFonts w:ascii="Arial" w:eastAsia="Arial" w:hAnsi="Arial" w:cs="Arial"/>
        <w:color w:val="000000"/>
        <w:sz w:val="16"/>
      </w:rPr>
      <w:t>NYISO Tariffs --&gt; Market Administration and Control Area Services Tariff (MST) --&gt; 23 MST Att H - ISO Market Power Mitigation Measures --&gt; 23.4.5 MST Att I</w:t>
    </w:r>
    <w:r>
      <w:rPr>
        <w:rFonts w:ascii="Arial" w:eastAsia="Arial" w:hAnsi="Arial" w:cs="Arial"/>
        <w:color w:val="000000"/>
        <w:sz w:val="16"/>
      </w:rPr>
      <w:t>nstalled Capacity Market Mitigation Measures --&gt; 23.4.5.7 MST Att H --&gt; 23.4.5.7.15 MST Att H Forecasts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1F" w:rsidRDefault="00F8751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23.4.5.7.15 MST Att H F</w:t>
    </w:r>
    <w:r>
      <w:rPr>
        <w:rFonts w:ascii="Arial" w:eastAsia="Arial" w:hAnsi="Arial" w:cs="Arial"/>
        <w:color w:val="000000"/>
        <w:sz w:val="16"/>
      </w:rPr>
      <w:t>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4A03EB0">
      <w:start w:val="5"/>
      <w:numFmt w:val="upperRoman"/>
      <w:lvlText w:val="(%1)"/>
      <w:lvlJc w:val="left"/>
      <w:pPr>
        <w:ind w:left="1800" w:hanging="720"/>
      </w:pPr>
      <w:rPr>
        <w:rFonts w:hint="default"/>
        <w:color w:val="auto"/>
      </w:rPr>
    </w:lvl>
    <w:lvl w:ilvl="1" w:tplc="5B880DEE" w:tentative="1">
      <w:start w:val="1"/>
      <w:numFmt w:val="lowerLetter"/>
      <w:lvlText w:val="%2."/>
      <w:lvlJc w:val="left"/>
      <w:pPr>
        <w:ind w:left="2160" w:hanging="360"/>
      </w:pPr>
    </w:lvl>
    <w:lvl w:ilvl="2" w:tplc="DC7AF12A" w:tentative="1">
      <w:start w:val="1"/>
      <w:numFmt w:val="lowerRoman"/>
      <w:lvlText w:val="%3."/>
      <w:lvlJc w:val="right"/>
      <w:pPr>
        <w:ind w:left="2880" w:hanging="180"/>
      </w:pPr>
    </w:lvl>
    <w:lvl w:ilvl="3" w:tplc="A28EB0F0" w:tentative="1">
      <w:start w:val="1"/>
      <w:numFmt w:val="decimal"/>
      <w:lvlText w:val="%4."/>
      <w:lvlJc w:val="left"/>
      <w:pPr>
        <w:ind w:left="3600" w:hanging="360"/>
      </w:pPr>
    </w:lvl>
    <w:lvl w:ilvl="4" w:tplc="795C560A" w:tentative="1">
      <w:start w:val="1"/>
      <w:numFmt w:val="lowerLetter"/>
      <w:lvlText w:val="%5."/>
      <w:lvlJc w:val="left"/>
      <w:pPr>
        <w:ind w:left="4320" w:hanging="360"/>
      </w:pPr>
    </w:lvl>
    <w:lvl w:ilvl="5" w:tplc="289EA8D8" w:tentative="1">
      <w:start w:val="1"/>
      <w:numFmt w:val="lowerRoman"/>
      <w:lvlText w:val="%6."/>
      <w:lvlJc w:val="right"/>
      <w:pPr>
        <w:ind w:left="5040" w:hanging="180"/>
      </w:pPr>
    </w:lvl>
    <w:lvl w:ilvl="6" w:tplc="DD6E78C2" w:tentative="1">
      <w:start w:val="1"/>
      <w:numFmt w:val="decimal"/>
      <w:lvlText w:val="%7."/>
      <w:lvlJc w:val="left"/>
      <w:pPr>
        <w:ind w:left="5760" w:hanging="360"/>
      </w:pPr>
    </w:lvl>
    <w:lvl w:ilvl="7" w:tplc="3C6A1ECE" w:tentative="1">
      <w:start w:val="1"/>
      <w:numFmt w:val="lowerLetter"/>
      <w:lvlText w:val="%8."/>
      <w:lvlJc w:val="left"/>
      <w:pPr>
        <w:ind w:left="6480" w:hanging="360"/>
      </w:pPr>
    </w:lvl>
    <w:lvl w:ilvl="8" w:tplc="1FAA2A4A" w:tentative="1">
      <w:start w:val="1"/>
      <w:numFmt w:val="lowerRoman"/>
      <w:lvlText w:val="%9."/>
      <w:lvlJc w:val="right"/>
      <w:pPr>
        <w:ind w:left="7200" w:hanging="180"/>
      </w:pPr>
    </w:lvl>
  </w:abstractNum>
  <w:abstractNum w:abstractNumId="1">
    <w:nsid w:val="0775374A"/>
    <w:multiLevelType w:val="hybridMultilevel"/>
    <w:tmpl w:val="F5EC19CC"/>
    <w:lvl w:ilvl="0" w:tplc="A468B506">
      <w:start w:val="1"/>
      <w:numFmt w:val="bullet"/>
      <w:pStyle w:val="Bulletpara"/>
      <w:lvlText w:val=""/>
      <w:lvlJc w:val="left"/>
      <w:pPr>
        <w:tabs>
          <w:tab w:val="num" w:pos="720"/>
        </w:tabs>
        <w:ind w:left="720" w:hanging="360"/>
      </w:pPr>
      <w:rPr>
        <w:rFonts w:ascii="Symbol" w:hAnsi="Symbol" w:hint="default"/>
      </w:rPr>
    </w:lvl>
    <w:lvl w:ilvl="1" w:tplc="489A92C6" w:tentative="1">
      <w:start w:val="1"/>
      <w:numFmt w:val="bullet"/>
      <w:lvlText w:val="o"/>
      <w:lvlJc w:val="left"/>
      <w:pPr>
        <w:tabs>
          <w:tab w:val="num" w:pos="1440"/>
        </w:tabs>
        <w:ind w:left="1440" w:hanging="360"/>
      </w:pPr>
      <w:rPr>
        <w:rFonts w:ascii="Courier New" w:hAnsi="Courier New" w:cs="Courier New" w:hint="default"/>
      </w:rPr>
    </w:lvl>
    <w:lvl w:ilvl="2" w:tplc="42A4DE26" w:tentative="1">
      <w:start w:val="1"/>
      <w:numFmt w:val="bullet"/>
      <w:lvlText w:val=""/>
      <w:lvlJc w:val="left"/>
      <w:pPr>
        <w:tabs>
          <w:tab w:val="num" w:pos="2160"/>
        </w:tabs>
        <w:ind w:left="2160" w:hanging="360"/>
      </w:pPr>
      <w:rPr>
        <w:rFonts w:ascii="Wingdings" w:hAnsi="Wingdings" w:hint="default"/>
      </w:rPr>
    </w:lvl>
    <w:lvl w:ilvl="3" w:tplc="0B34394E" w:tentative="1">
      <w:start w:val="1"/>
      <w:numFmt w:val="bullet"/>
      <w:lvlText w:val=""/>
      <w:lvlJc w:val="left"/>
      <w:pPr>
        <w:tabs>
          <w:tab w:val="num" w:pos="2880"/>
        </w:tabs>
        <w:ind w:left="2880" w:hanging="360"/>
      </w:pPr>
      <w:rPr>
        <w:rFonts w:ascii="Symbol" w:hAnsi="Symbol" w:hint="default"/>
      </w:rPr>
    </w:lvl>
    <w:lvl w:ilvl="4" w:tplc="C6786BE2" w:tentative="1">
      <w:start w:val="1"/>
      <w:numFmt w:val="bullet"/>
      <w:lvlText w:val="o"/>
      <w:lvlJc w:val="left"/>
      <w:pPr>
        <w:tabs>
          <w:tab w:val="num" w:pos="3600"/>
        </w:tabs>
        <w:ind w:left="3600" w:hanging="360"/>
      </w:pPr>
      <w:rPr>
        <w:rFonts w:ascii="Courier New" w:hAnsi="Courier New" w:cs="Courier New" w:hint="default"/>
      </w:rPr>
    </w:lvl>
    <w:lvl w:ilvl="5" w:tplc="3F482F98" w:tentative="1">
      <w:start w:val="1"/>
      <w:numFmt w:val="bullet"/>
      <w:lvlText w:val=""/>
      <w:lvlJc w:val="left"/>
      <w:pPr>
        <w:tabs>
          <w:tab w:val="num" w:pos="4320"/>
        </w:tabs>
        <w:ind w:left="4320" w:hanging="360"/>
      </w:pPr>
      <w:rPr>
        <w:rFonts w:ascii="Wingdings" w:hAnsi="Wingdings" w:hint="default"/>
      </w:rPr>
    </w:lvl>
    <w:lvl w:ilvl="6" w:tplc="4C06D0CA" w:tentative="1">
      <w:start w:val="1"/>
      <w:numFmt w:val="bullet"/>
      <w:lvlText w:val=""/>
      <w:lvlJc w:val="left"/>
      <w:pPr>
        <w:tabs>
          <w:tab w:val="num" w:pos="5040"/>
        </w:tabs>
        <w:ind w:left="5040" w:hanging="360"/>
      </w:pPr>
      <w:rPr>
        <w:rFonts w:ascii="Symbol" w:hAnsi="Symbol" w:hint="default"/>
      </w:rPr>
    </w:lvl>
    <w:lvl w:ilvl="7" w:tplc="755E2FB8" w:tentative="1">
      <w:start w:val="1"/>
      <w:numFmt w:val="bullet"/>
      <w:lvlText w:val="o"/>
      <w:lvlJc w:val="left"/>
      <w:pPr>
        <w:tabs>
          <w:tab w:val="num" w:pos="5760"/>
        </w:tabs>
        <w:ind w:left="5760" w:hanging="360"/>
      </w:pPr>
      <w:rPr>
        <w:rFonts w:ascii="Courier New" w:hAnsi="Courier New" w:cs="Courier New" w:hint="default"/>
      </w:rPr>
    </w:lvl>
    <w:lvl w:ilvl="8" w:tplc="30F6AA3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05C2622">
      <w:start w:val="1"/>
      <w:numFmt w:val="lowerLetter"/>
      <w:lvlText w:val="%1."/>
      <w:lvlJc w:val="left"/>
      <w:pPr>
        <w:ind w:left="720" w:hanging="360"/>
      </w:pPr>
      <w:rPr>
        <w:rFonts w:hint="default"/>
      </w:rPr>
    </w:lvl>
    <w:lvl w:ilvl="1" w:tplc="65F62358" w:tentative="1">
      <w:start w:val="1"/>
      <w:numFmt w:val="lowerLetter"/>
      <w:lvlText w:val="%2."/>
      <w:lvlJc w:val="left"/>
      <w:pPr>
        <w:ind w:left="1440" w:hanging="360"/>
      </w:pPr>
    </w:lvl>
    <w:lvl w:ilvl="2" w:tplc="53D0E070" w:tentative="1">
      <w:start w:val="1"/>
      <w:numFmt w:val="lowerRoman"/>
      <w:lvlText w:val="%3."/>
      <w:lvlJc w:val="right"/>
      <w:pPr>
        <w:ind w:left="2160" w:hanging="180"/>
      </w:pPr>
    </w:lvl>
    <w:lvl w:ilvl="3" w:tplc="CF1AC3D4" w:tentative="1">
      <w:start w:val="1"/>
      <w:numFmt w:val="decimal"/>
      <w:lvlText w:val="%4."/>
      <w:lvlJc w:val="left"/>
      <w:pPr>
        <w:ind w:left="2880" w:hanging="360"/>
      </w:pPr>
    </w:lvl>
    <w:lvl w:ilvl="4" w:tplc="53E018D6" w:tentative="1">
      <w:start w:val="1"/>
      <w:numFmt w:val="lowerLetter"/>
      <w:lvlText w:val="%5."/>
      <w:lvlJc w:val="left"/>
      <w:pPr>
        <w:ind w:left="3600" w:hanging="360"/>
      </w:pPr>
    </w:lvl>
    <w:lvl w:ilvl="5" w:tplc="37C00AB0" w:tentative="1">
      <w:start w:val="1"/>
      <w:numFmt w:val="lowerRoman"/>
      <w:lvlText w:val="%6."/>
      <w:lvlJc w:val="right"/>
      <w:pPr>
        <w:ind w:left="4320" w:hanging="180"/>
      </w:pPr>
    </w:lvl>
    <w:lvl w:ilvl="6" w:tplc="76E0EA4C" w:tentative="1">
      <w:start w:val="1"/>
      <w:numFmt w:val="decimal"/>
      <w:lvlText w:val="%7."/>
      <w:lvlJc w:val="left"/>
      <w:pPr>
        <w:ind w:left="5040" w:hanging="360"/>
      </w:pPr>
    </w:lvl>
    <w:lvl w:ilvl="7" w:tplc="0F80FB4C" w:tentative="1">
      <w:start w:val="1"/>
      <w:numFmt w:val="lowerLetter"/>
      <w:lvlText w:val="%8."/>
      <w:lvlJc w:val="left"/>
      <w:pPr>
        <w:ind w:left="5760" w:hanging="360"/>
      </w:pPr>
    </w:lvl>
    <w:lvl w:ilvl="8" w:tplc="2566396E" w:tentative="1">
      <w:start w:val="1"/>
      <w:numFmt w:val="lowerRoman"/>
      <w:lvlText w:val="%9."/>
      <w:lvlJc w:val="right"/>
      <w:pPr>
        <w:ind w:left="6480" w:hanging="180"/>
      </w:pPr>
    </w:lvl>
  </w:abstractNum>
  <w:abstractNum w:abstractNumId="3">
    <w:nsid w:val="0EBD13D5"/>
    <w:multiLevelType w:val="hybridMultilevel"/>
    <w:tmpl w:val="5DACEA7A"/>
    <w:lvl w:ilvl="0" w:tplc="60B68CAA">
      <w:start w:val="1"/>
      <w:numFmt w:val="lowerLetter"/>
      <w:lvlText w:val="%1."/>
      <w:lvlJc w:val="left"/>
      <w:pPr>
        <w:ind w:left="720" w:hanging="360"/>
      </w:pPr>
      <w:rPr>
        <w:rFonts w:hint="default"/>
      </w:rPr>
    </w:lvl>
    <w:lvl w:ilvl="1" w:tplc="D902C964" w:tentative="1">
      <w:start w:val="1"/>
      <w:numFmt w:val="lowerLetter"/>
      <w:lvlText w:val="%2."/>
      <w:lvlJc w:val="left"/>
      <w:pPr>
        <w:ind w:left="1440" w:hanging="360"/>
      </w:pPr>
    </w:lvl>
    <w:lvl w:ilvl="2" w:tplc="82905930" w:tentative="1">
      <w:start w:val="1"/>
      <w:numFmt w:val="lowerRoman"/>
      <w:lvlText w:val="%3."/>
      <w:lvlJc w:val="right"/>
      <w:pPr>
        <w:ind w:left="2160" w:hanging="180"/>
      </w:pPr>
    </w:lvl>
    <w:lvl w:ilvl="3" w:tplc="E76816A6" w:tentative="1">
      <w:start w:val="1"/>
      <w:numFmt w:val="decimal"/>
      <w:lvlText w:val="%4."/>
      <w:lvlJc w:val="left"/>
      <w:pPr>
        <w:ind w:left="2880" w:hanging="360"/>
      </w:pPr>
    </w:lvl>
    <w:lvl w:ilvl="4" w:tplc="34CCE672" w:tentative="1">
      <w:start w:val="1"/>
      <w:numFmt w:val="lowerLetter"/>
      <w:lvlText w:val="%5."/>
      <w:lvlJc w:val="left"/>
      <w:pPr>
        <w:ind w:left="3600" w:hanging="360"/>
      </w:pPr>
    </w:lvl>
    <w:lvl w:ilvl="5" w:tplc="3F421A3A" w:tentative="1">
      <w:start w:val="1"/>
      <w:numFmt w:val="lowerRoman"/>
      <w:lvlText w:val="%6."/>
      <w:lvlJc w:val="right"/>
      <w:pPr>
        <w:ind w:left="4320" w:hanging="180"/>
      </w:pPr>
    </w:lvl>
    <w:lvl w:ilvl="6" w:tplc="AB488512" w:tentative="1">
      <w:start w:val="1"/>
      <w:numFmt w:val="decimal"/>
      <w:lvlText w:val="%7."/>
      <w:lvlJc w:val="left"/>
      <w:pPr>
        <w:ind w:left="5040" w:hanging="360"/>
      </w:pPr>
    </w:lvl>
    <w:lvl w:ilvl="7" w:tplc="8556A30A" w:tentative="1">
      <w:start w:val="1"/>
      <w:numFmt w:val="lowerLetter"/>
      <w:lvlText w:val="%8."/>
      <w:lvlJc w:val="left"/>
      <w:pPr>
        <w:ind w:left="5760" w:hanging="360"/>
      </w:pPr>
    </w:lvl>
    <w:lvl w:ilvl="8" w:tplc="29A28414" w:tentative="1">
      <w:start w:val="1"/>
      <w:numFmt w:val="lowerRoman"/>
      <w:lvlText w:val="%9."/>
      <w:lvlJc w:val="right"/>
      <w:pPr>
        <w:ind w:left="6480" w:hanging="180"/>
      </w:pPr>
    </w:lvl>
  </w:abstractNum>
  <w:abstractNum w:abstractNumId="4">
    <w:nsid w:val="12AB6DDA"/>
    <w:multiLevelType w:val="hybridMultilevel"/>
    <w:tmpl w:val="AF2CC96E"/>
    <w:lvl w:ilvl="0" w:tplc="400A4016">
      <w:start w:val="1"/>
      <w:numFmt w:val="decimal"/>
      <w:lvlText w:val="%1."/>
      <w:lvlJc w:val="left"/>
      <w:pPr>
        <w:ind w:left="720" w:hanging="360"/>
      </w:pPr>
      <w:rPr>
        <w:rFonts w:hint="default"/>
      </w:rPr>
    </w:lvl>
    <w:lvl w:ilvl="1" w:tplc="0F8CCFEA" w:tentative="1">
      <w:start w:val="1"/>
      <w:numFmt w:val="lowerLetter"/>
      <w:lvlText w:val="%2."/>
      <w:lvlJc w:val="left"/>
      <w:pPr>
        <w:ind w:left="1440" w:hanging="360"/>
      </w:pPr>
    </w:lvl>
    <w:lvl w:ilvl="2" w:tplc="FEEEBA42" w:tentative="1">
      <w:start w:val="1"/>
      <w:numFmt w:val="lowerRoman"/>
      <w:lvlText w:val="%3."/>
      <w:lvlJc w:val="right"/>
      <w:pPr>
        <w:ind w:left="2160" w:hanging="180"/>
      </w:pPr>
    </w:lvl>
    <w:lvl w:ilvl="3" w:tplc="FA3EBF0A" w:tentative="1">
      <w:start w:val="1"/>
      <w:numFmt w:val="decimal"/>
      <w:lvlText w:val="%4."/>
      <w:lvlJc w:val="left"/>
      <w:pPr>
        <w:ind w:left="2880" w:hanging="360"/>
      </w:pPr>
    </w:lvl>
    <w:lvl w:ilvl="4" w:tplc="92C62DB4" w:tentative="1">
      <w:start w:val="1"/>
      <w:numFmt w:val="lowerLetter"/>
      <w:lvlText w:val="%5."/>
      <w:lvlJc w:val="left"/>
      <w:pPr>
        <w:ind w:left="3600" w:hanging="360"/>
      </w:pPr>
    </w:lvl>
    <w:lvl w:ilvl="5" w:tplc="CAAA876E" w:tentative="1">
      <w:start w:val="1"/>
      <w:numFmt w:val="lowerRoman"/>
      <w:lvlText w:val="%6."/>
      <w:lvlJc w:val="right"/>
      <w:pPr>
        <w:ind w:left="4320" w:hanging="180"/>
      </w:pPr>
    </w:lvl>
    <w:lvl w:ilvl="6" w:tplc="0CAC676C" w:tentative="1">
      <w:start w:val="1"/>
      <w:numFmt w:val="decimal"/>
      <w:lvlText w:val="%7."/>
      <w:lvlJc w:val="left"/>
      <w:pPr>
        <w:ind w:left="5040" w:hanging="360"/>
      </w:pPr>
    </w:lvl>
    <w:lvl w:ilvl="7" w:tplc="3AB83570" w:tentative="1">
      <w:start w:val="1"/>
      <w:numFmt w:val="lowerLetter"/>
      <w:lvlText w:val="%8."/>
      <w:lvlJc w:val="left"/>
      <w:pPr>
        <w:ind w:left="5760" w:hanging="360"/>
      </w:pPr>
    </w:lvl>
    <w:lvl w:ilvl="8" w:tplc="623ACE9A" w:tentative="1">
      <w:start w:val="1"/>
      <w:numFmt w:val="lowerRoman"/>
      <w:lvlText w:val="%9."/>
      <w:lvlJc w:val="right"/>
      <w:pPr>
        <w:ind w:left="6480" w:hanging="180"/>
      </w:pPr>
    </w:lvl>
  </w:abstractNum>
  <w:abstractNum w:abstractNumId="5">
    <w:nsid w:val="207863CF"/>
    <w:multiLevelType w:val="hybridMultilevel"/>
    <w:tmpl w:val="9F4463D2"/>
    <w:lvl w:ilvl="0" w:tplc="BA4A42EA">
      <w:start w:val="1"/>
      <w:numFmt w:val="upperRoman"/>
      <w:lvlText w:val="(%1)"/>
      <w:lvlJc w:val="left"/>
      <w:pPr>
        <w:ind w:left="810" w:hanging="720"/>
      </w:pPr>
      <w:rPr>
        <w:rFonts w:hint="default"/>
        <w:color w:val="auto"/>
      </w:rPr>
    </w:lvl>
    <w:lvl w:ilvl="1" w:tplc="9A2E5BAE" w:tentative="1">
      <w:start w:val="1"/>
      <w:numFmt w:val="lowerLetter"/>
      <w:lvlText w:val="%2."/>
      <w:lvlJc w:val="left"/>
      <w:pPr>
        <w:ind w:left="1170" w:hanging="360"/>
      </w:pPr>
    </w:lvl>
    <w:lvl w:ilvl="2" w:tplc="7FE62AC4" w:tentative="1">
      <w:start w:val="1"/>
      <w:numFmt w:val="lowerRoman"/>
      <w:lvlText w:val="%3."/>
      <w:lvlJc w:val="right"/>
      <w:pPr>
        <w:ind w:left="1890" w:hanging="180"/>
      </w:pPr>
    </w:lvl>
    <w:lvl w:ilvl="3" w:tplc="FB2A142E" w:tentative="1">
      <w:start w:val="1"/>
      <w:numFmt w:val="decimal"/>
      <w:lvlText w:val="%4."/>
      <w:lvlJc w:val="left"/>
      <w:pPr>
        <w:ind w:left="2610" w:hanging="360"/>
      </w:pPr>
    </w:lvl>
    <w:lvl w:ilvl="4" w:tplc="75BC2ABE" w:tentative="1">
      <w:start w:val="1"/>
      <w:numFmt w:val="lowerLetter"/>
      <w:lvlText w:val="%5."/>
      <w:lvlJc w:val="left"/>
      <w:pPr>
        <w:ind w:left="3330" w:hanging="360"/>
      </w:pPr>
    </w:lvl>
    <w:lvl w:ilvl="5" w:tplc="390E43E6" w:tentative="1">
      <w:start w:val="1"/>
      <w:numFmt w:val="lowerRoman"/>
      <w:lvlText w:val="%6."/>
      <w:lvlJc w:val="right"/>
      <w:pPr>
        <w:ind w:left="4050" w:hanging="180"/>
      </w:pPr>
    </w:lvl>
    <w:lvl w:ilvl="6" w:tplc="39A6E2B8" w:tentative="1">
      <w:start w:val="1"/>
      <w:numFmt w:val="decimal"/>
      <w:lvlText w:val="%7."/>
      <w:lvlJc w:val="left"/>
      <w:pPr>
        <w:ind w:left="4770" w:hanging="360"/>
      </w:pPr>
    </w:lvl>
    <w:lvl w:ilvl="7" w:tplc="3C1A0356" w:tentative="1">
      <w:start w:val="1"/>
      <w:numFmt w:val="lowerLetter"/>
      <w:lvlText w:val="%8."/>
      <w:lvlJc w:val="left"/>
      <w:pPr>
        <w:ind w:left="5490" w:hanging="360"/>
      </w:pPr>
    </w:lvl>
    <w:lvl w:ilvl="8" w:tplc="3E1C230A" w:tentative="1">
      <w:start w:val="1"/>
      <w:numFmt w:val="lowerRoman"/>
      <w:lvlText w:val="%9."/>
      <w:lvlJc w:val="right"/>
      <w:pPr>
        <w:ind w:left="6210" w:hanging="180"/>
      </w:pPr>
    </w:lvl>
  </w:abstractNum>
  <w:abstractNum w:abstractNumId="6">
    <w:nsid w:val="38BB2E5C"/>
    <w:multiLevelType w:val="hybridMultilevel"/>
    <w:tmpl w:val="0C9E450E"/>
    <w:lvl w:ilvl="0" w:tplc="553E867A">
      <w:start w:val="1"/>
      <w:numFmt w:val="decimal"/>
      <w:lvlText w:val="%1."/>
      <w:lvlJc w:val="left"/>
      <w:pPr>
        <w:ind w:left="720" w:hanging="360"/>
      </w:pPr>
      <w:rPr>
        <w:rFonts w:hint="default"/>
        <w:b w:val="0"/>
        <w:i w:val="0"/>
      </w:rPr>
    </w:lvl>
    <w:lvl w:ilvl="1" w:tplc="65C48D7C" w:tentative="1">
      <w:start w:val="1"/>
      <w:numFmt w:val="lowerLetter"/>
      <w:lvlText w:val="%2."/>
      <w:lvlJc w:val="left"/>
      <w:pPr>
        <w:ind w:left="1440" w:hanging="360"/>
      </w:pPr>
    </w:lvl>
    <w:lvl w:ilvl="2" w:tplc="73D67CB2" w:tentative="1">
      <w:start w:val="1"/>
      <w:numFmt w:val="lowerRoman"/>
      <w:lvlText w:val="%3."/>
      <w:lvlJc w:val="right"/>
      <w:pPr>
        <w:ind w:left="2160" w:hanging="180"/>
      </w:pPr>
    </w:lvl>
    <w:lvl w:ilvl="3" w:tplc="537645B2" w:tentative="1">
      <w:start w:val="1"/>
      <w:numFmt w:val="decimal"/>
      <w:lvlText w:val="%4."/>
      <w:lvlJc w:val="left"/>
      <w:pPr>
        <w:ind w:left="2880" w:hanging="360"/>
      </w:pPr>
    </w:lvl>
    <w:lvl w:ilvl="4" w:tplc="2A485F92" w:tentative="1">
      <w:start w:val="1"/>
      <w:numFmt w:val="lowerLetter"/>
      <w:lvlText w:val="%5."/>
      <w:lvlJc w:val="left"/>
      <w:pPr>
        <w:ind w:left="3600" w:hanging="360"/>
      </w:pPr>
    </w:lvl>
    <w:lvl w:ilvl="5" w:tplc="BD48F6F4" w:tentative="1">
      <w:start w:val="1"/>
      <w:numFmt w:val="lowerRoman"/>
      <w:lvlText w:val="%6."/>
      <w:lvlJc w:val="right"/>
      <w:pPr>
        <w:ind w:left="4320" w:hanging="180"/>
      </w:pPr>
    </w:lvl>
    <w:lvl w:ilvl="6" w:tplc="9E92B4AA" w:tentative="1">
      <w:start w:val="1"/>
      <w:numFmt w:val="decimal"/>
      <w:lvlText w:val="%7."/>
      <w:lvlJc w:val="left"/>
      <w:pPr>
        <w:ind w:left="5040" w:hanging="360"/>
      </w:pPr>
    </w:lvl>
    <w:lvl w:ilvl="7" w:tplc="6F62A480" w:tentative="1">
      <w:start w:val="1"/>
      <w:numFmt w:val="lowerLetter"/>
      <w:lvlText w:val="%8."/>
      <w:lvlJc w:val="left"/>
      <w:pPr>
        <w:ind w:left="5760" w:hanging="360"/>
      </w:pPr>
    </w:lvl>
    <w:lvl w:ilvl="8" w:tplc="5AA0FEF0" w:tentative="1">
      <w:start w:val="1"/>
      <w:numFmt w:val="lowerRoman"/>
      <w:lvlText w:val="%9."/>
      <w:lvlJc w:val="right"/>
      <w:pPr>
        <w:ind w:left="6480" w:hanging="180"/>
      </w:pPr>
    </w:lvl>
  </w:abstractNum>
  <w:abstractNum w:abstractNumId="7">
    <w:nsid w:val="64335067"/>
    <w:multiLevelType w:val="hybridMultilevel"/>
    <w:tmpl w:val="B96CD70C"/>
    <w:lvl w:ilvl="0" w:tplc="27704F12">
      <w:start w:val="1"/>
      <w:numFmt w:val="lowerLetter"/>
      <w:lvlText w:val="(%1)"/>
      <w:lvlJc w:val="left"/>
      <w:pPr>
        <w:ind w:left="559" w:hanging="360"/>
      </w:pPr>
      <w:rPr>
        <w:rFonts w:hint="default"/>
        <w:color w:val="auto"/>
      </w:rPr>
    </w:lvl>
    <w:lvl w:ilvl="1" w:tplc="B42C97D2" w:tentative="1">
      <w:start w:val="1"/>
      <w:numFmt w:val="lowerLetter"/>
      <w:lvlText w:val="%2."/>
      <w:lvlJc w:val="left"/>
      <w:pPr>
        <w:ind w:left="1279" w:hanging="360"/>
      </w:pPr>
    </w:lvl>
    <w:lvl w:ilvl="2" w:tplc="DBC6D87A" w:tentative="1">
      <w:start w:val="1"/>
      <w:numFmt w:val="lowerRoman"/>
      <w:lvlText w:val="%3."/>
      <w:lvlJc w:val="right"/>
      <w:pPr>
        <w:ind w:left="1999" w:hanging="180"/>
      </w:pPr>
    </w:lvl>
    <w:lvl w:ilvl="3" w:tplc="7FC06194" w:tentative="1">
      <w:start w:val="1"/>
      <w:numFmt w:val="decimal"/>
      <w:lvlText w:val="%4."/>
      <w:lvlJc w:val="left"/>
      <w:pPr>
        <w:ind w:left="2719" w:hanging="360"/>
      </w:pPr>
    </w:lvl>
    <w:lvl w:ilvl="4" w:tplc="05DAF4A8" w:tentative="1">
      <w:start w:val="1"/>
      <w:numFmt w:val="lowerLetter"/>
      <w:lvlText w:val="%5."/>
      <w:lvlJc w:val="left"/>
      <w:pPr>
        <w:ind w:left="3439" w:hanging="360"/>
      </w:pPr>
    </w:lvl>
    <w:lvl w:ilvl="5" w:tplc="8FA65156" w:tentative="1">
      <w:start w:val="1"/>
      <w:numFmt w:val="lowerRoman"/>
      <w:lvlText w:val="%6."/>
      <w:lvlJc w:val="right"/>
      <w:pPr>
        <w:ind w:left="4159" w:hanging="180"/>
      </w:pPr>
    </w:lvl>
    <w:lvl w:ilvl="6" w:tplc="B9907050" w:tentative="1">
      <w:start w:val="1"/>
      <w:numFmt w:val="decimal"/>
      <w:lvlText w:val="%7."/>
      <w:lvlJc w:val="left"/>
      <w:pPr>
        <w:ind w:left="4879" w:hanging="360"/>
      </w:pPr>
    </w:lvl>
    <w:lvl w:ilvl="7" w:tplc="48A43C3A" w:tentative="1">
      <w:start w:val="1"/>
      <w:numFmt w:val="lowerLetter"/>
      <w:lvlText w:val="%8."/>
      <w:lvlJc w:val="left"/>
      <w:pPr>
        <w:ind w:left="5599" w:hanging="360"/>
      </w:pPr>
    </w:lvl>
    <w:lvl w:ilvl="8" w:tplc="E1C87AFA" w:tentative="1">
      <w:start w:val="1"/>
      <w:numFmt w:val="lowerRoman"/>
      <w:lvlText w:val="%9."/>
      <w:lvlJc w:val="right"/>
      <w:pPr>
        <w:ind w:left="6319" w:hanging="180"/>
      </w:pPr>
    </w:lvl>
  </w:abstractNum>
  <w:abstractNum w:abstractNumId="8">
    <w:nsid w:val="6CDD1727"/>
    <w:multiLevelType w:val="hybridMultilevel"/>
    <w:tmpl w:val="F394F5EA"/>
    <w:lvl w:ilvl="0" w:tplc="B46654A4">
      <w:start w:val="1"/>
      <w:numFmt w:val="lowerLetter"/>
      <w:lvlText w:val="%1."/>
      <w:lvlJc w:val="left"/>
      <w:pPr>
        <w:ind w:left="720" w:hanging="360"/>
      </w:pPr>
      <w:rPr>
        <w:rFonts w:hint="default"/>
        <w:color w:val="auto"/>
      </w:rPr>
    </w:lvl>
    <w:lvl w:ilvl="1" w:tplc="AC827D9E" w:tentative="1">
      <w:start w:val="1"/>
      <w:numFmt w:val="lowerLetter"/>
      <w:lvlText w:val="%2."/>
      <w:lvlJc w:val="left"/>
      <w:pPr>
        <w:ind w:left="1440" w:hanging="360"/>
      </w:pPr>
    </w:lvl>
    <w:lvl w:ilvl="2" w:tplc="A6AEC994" w:tentative="1">
      <w:start w:val="1"/>
      <w:numFmt w:val="lowerRoman"/>
      <w:lvlText w:val="%3."/>
      <w:lvlJc w:val="right"/>
      <w:pPr>
        <w:ind w:left="2160" w:hanging="180"/>
      </w:pPr>
    </w:lvl>
    <w:lvl w:ilvl="3" w:tplc="E1287632" w:tentative="1">
      <w:start w:val="1"/>
      <w:numFmt w:val="decimal"/>
      <w:lvlText w:val="%4."/>
      <w:lvlJc w:val="left"/>
      <w:pPr>
        <w:ind w:left="2880" w:hanging="360"/>
      </w:pPr>
    </w:lvl>
    <w:lvl w:ilvl="4" w:tplc="B728E6DC" w:tentative="1">
      <w:start w:val="1"/>
      <w:numFmt w:val="lowerLetter"/>
      <w:lvlText w:val="%5."/>
      <w:lvlJc w:val="left"/>
      <w:pPr>
        <w:ind w:left="3600" w:hanging="360"/>
      </w:pPr>
    </w:lvl>
    <w:lvl w:ilvl="5" w:tplc="400445D8" w:tentative="1">
      <w:start w:val="1"/>
      <w:numFmt w:val="lowerRoman"/>
      <w:lvlText w:val="%6."/>
      <w:lvlJc w:val="right"/>
      <w:pPr>
        <w:ind w:left="4320" w:hanging="180"/>
      </w:pPr>
    </w:lvl>
    <w:lvl w:ilvl="6" w:tplc="EE84FCA2" w:tentative="1">
      <w:start w:val="1"/>
      <w:numFmt w:val="decimal"/>
      <w:lvlText w:val="%7."/>
      <w:lvlJc w:val="left"/>
      <w:pPr>
        <w:ind w:left="5040" w:hanging="360"/>
      </w:pPr>
    </w:lvl>
    <w:lvl w:ilvl="7" w:tplc="6C766F90" w:tentative="1">
      <w:start w:val="1"/>
      <w:numFmt w:val="lowerLetter"/>
      <w:lvlText w:val="%8."/>
      <w:lvlJc w:val="left"/>
      <w:pPr>
        <w:ind w:left="5760" w:hanging="360"/>
      </w:pPr>
    </w:lvl>
    <w:lvl w:ilvl="8" w:tplc="5E1019CE" w:tentative="1">
      <w:start w:val="1"/>
      <w:numFmt w:val="lowerRoman"/>
      <w:lvlText w:val="%9."/>
      <w:lvlJc w:val="right"/>
      <w:pPr>
        <w:ind w:left="6480" w:hanging="180"/>
      </w:pPr>
    </w:lvl>
  </w:abstractNum>
  <w:abstractNum w:abstractNumId="9">
    <w:nsid w:val="7A6136E0"/>
    <w:multiLevelType w:val="hybridMultilevel"/>
    <w:tmpl w:val="89642E12"/>
    <w:lvl w:ilvl="0" w:tplc="3B1627CE">
      <w:start w:val="1"/>
      <w:numFmt w:val="decimal"/>
      <w:lvlText w:val="%1."/>
      <w:lvlJc w:val="left"/>
      <w:pPr>
        <w:ind w:left="1080" w:hanging="720"/>
      </w:pPr>
      <w:rPr>
        <w:rFonts w:hint="default"/>
      </w:rPr>
    </w:lvl>
    <w:lvl w:ilvl="1" w:tplc="768EA78E" w:tentative="1">
      <w:start w:val="1"/>
      <w:numFmt w:val="lowerLetter"/>
      <w:lvlText w:val="%2."/>
      <w:lvlJc w:val="left"/>
      <w:pPr>
        <w:ind w:left="1440" w:hanging="360"/>
      </w:pPr>
    </w:lvl>
    <w:lvl w:ilvl="2" w:tplc="69BCAE72" w:tentative="1">
      <w:start w:val="1"/>
      <w:numFmt w:val="lowerRoman"/>
      <w:lvlText w:val="%3."/>
      <w:lvlJc w:val="right"/>
      <w:pPr>
        <w:ind w:left="2160" w:hanging="180"/>
      </w:pPr>
    </w:lvl>
    <w:lvl w:ilvl="3" w:tplc="DF4AAE3E" w:tentative="1">
      <w:start w:val="1"/>
      <w:numFmt w:val="decimal"/>
      <w:lvlText w:val="%4."/>
      <w:lvlJc w:val="left"/>
      <w:pPr>
        <w:ind w:left="2880" w:hanging="360"/>
      </w:pPr>
    </w:lvl>
    <w:lvl w:ilvl="4" w:tplc="16307ED8" w:tentative="1">
      <w:start w:val="1"/>
      <w:numFmt w:val="lowerLetter"/>
      <w:lvlText w:val="%5."/>
      <w:lvlJc w:val="left"/>
      <w:pPr>
        <w:ind w:left="3600" w:hanging="360"/>
      </w:pPr>
    </w:lvl>
    <w:lvl w:ilvl="5" w:tplc="B43CF5A2" w:tentative="1">
      <w:start w:val="1"/>
      <w:numFmt w:val="lowerRoman"/>
      <w:lvlText w:val="%6."/>
      <w:lvlJc w:val="right"/>
      <w:pPr>
        <w:ind w:left="4320" w:hanging="180"/>
      </w:pPr>
    </w:lvl>
    <w:lvl w:ilvl="6" w:tplc="F17A769C" w:tentative="1">
      <w:start w:val="1"/>
      <w:numFmt w:val="decimal"/>
      <w:lvlText w:val="%7."/>
      <w:lvlJc w:val="left"/>
      <w:pPr>
        <w:ind w:left="5040" w:hanging="360"/>
      </w:pPr>
    </w:lvl>
    <w:lvl w:ilvl="7" w:tplc="BA84D436" w:tentative="1">
      <w:start w:val="1"/>
      <w:numFmt w:val="lowerLetter"/>
      <w:lvlText w:val="%8."/>
      <w:lvlJc w:val="left"/>
      <w:pPr>
        <w:ind w:left="5760" w:hanging="360"/>
      </w:pPr>
    </w:lvl>
    <w:lvl w:ilvl="8" w:tplc="A798DFC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1F"/>
    <w:rsid w:val="00047F1F"/>
    <w:rsid w:val="00F8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7C354-A365-4C55-9A14-18E5F9AB3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50801-F0C1-4FDE-8A27-F4CAD357B3B0}">
  <ds:schemaRefs>
    <ds:schemaRef ds:uri="http://schemas.microsoft.com/sharepoint/v3/contenttype/forms"/>
  </ds:schemaRefs>
</ds:datastoreItem>
</file>

<file path=customXml/itemProps3.xml><?xml version="1.0" encoding="utf-8"?>
<ds:datastoreItem xmlns:ds="http://schemas.openxmlformats.org/officeDocument/2006/customXml" ds:itemID="{12BB7E94-C5DF-48B8-A832-6AB36918E8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EA0498-F68E-4274-BA9B-F67392D4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2459</Words>
  <Characters>14020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2024-05-08T15:10:00Z</dcterms:created>
  <dcterms:modified xsi:type="dcterms:W3CDTF">2024-05-08T15:10:00Z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71a902c6-92e4-406e-aeed-5f84fe67a978</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2023-10-10T20:53:06Z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-692421580</vt:i4>
  </property>
  <property fmtid="{D5CDD505-2E9C-101B-9397-08002B2CF9AE}" pid="16" name="_AuthorEmail">
    <vt:lpwstr>DAllen@nyiso.com</vt:lpwstr>
  </property>
  <property fmtid="{D5CDD505-2E9C-101B-9397-08002B2CF9AE}" pid="17" name="_AuthorEmailDisplayName">
    <vt:lpwstr>Allen, David M</vt:lpwstr>
  </property>
  <property fmtid="{D5CDD505-2E9C-101B-9397-08002B2CF9AE}" pid="18" name="_EmailSubject">
    <vt:lpwstr>Tariff and Current Draft of Filing Letter</vt:lpwstr>
  </property>
  <property fmtid="{D5CDD505-2E9C-101B-9397-08002B2CF9AE}" pid="19" name="_NewReviewCycle">
    <vt:lpwstr/>
  </property>
  <property fmtid="{D5CDD505-2E9C-101B-9397-08002B2CF9AE}" pid="20" name="_PreviousAdHocReviewCycleID">
    <vt:i4>-1292296256</vt:i4>
  </property>
  <property fmtid="{D5CDD505-2E9C-101B-9397-08002B2CF9AE}" pid="21" name="_ReviewingToolsShownOnce">
    <vt:lpwstr/>
  </property>
</Properties>
</file>