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C" w:rsidRDefault="00155C74">
      <w:pPr>
        <w:pStyle w:val="Heading2"/>
      </w:pPr>
      <w:bookmarkStart w:id="0" w:name="_Toc262812417"/>
      <w:bookmarkStart w:id="1" w:name="_GoBack"/>
      <w:bookmarkEnd w:id="1"/>
      <w:r>
        <w:t>6.3</w:t>
      </w:r>
      <w:r>
        <w:tab/>
        <w:t>Schedule 3 - Charges for Regulation Service</w:t>
      </w:r>
      <w:bookmarkEnd w:id="0"/>
    </w:p>
    <w:p w:rsidR="009047FC" w:rsidRDefault="00155C74">
      <w:pPr>
        <w:pStyle w:val="Bodypara"/>
      </w:pPr>
      <w:r>
        <w:t>Regulation Service is necessary to provide for the continuous balance of resources (generation and interchange) with Load.  The obligation to maintain this balance between Resources and Load lies with the ISO.  The ISO must offer this service when the Tran</w:t>
      </w:r>
      <w:r>
        <w:t xml:space="preserve">smission Service is used to serve Load within the NYCA and when LSEs use Energy from the LBMP Market to service Load within the NYCA.  The charges for Regulation Service are set forth below. </w:t>
      </w:r>
    </w:p>
    <w:p w:rsidR="009047FC" w:rsidRDefault="00155C74">
      <w:pPr>
        <w:pStyle w:val="Heading3"/>
      </w:pPr>
      <w:bookmarkStart w:id="2" w:name="_Toc262812418"/>
      <w:r>
        <w:t>6.3.1</w:t>
      </w:r>
      <w:r>
        <w:tab/>
        <w:t>Customer Obligations and Responsibilities</w:t>
      </w:r>
      <w:bookmarkEnd w:id="2"/>
    </w:p>
    <w:p w:rsidR="009047FC" w:rsidRDefault="00155C74">
      <w:pPr>
        <w:pStyle w:val="Bodypara"/>
        <w:rPr>
          <w:color w:val="000000"/>
        </w:rPr>
      </w:pPr>
      <w:r>
        <w:t>LSEs shall purch</w:t>
      </w:r>
      <w:r>
        <w:t>ase this service from the ISO</w:t>
      </w:r>
      <w:r>
        <w:rPr>
          <w:color w:val="000000"/>
        </w:rPr>
        <w:t xml:space="preserve">.  </w:t>
      </w:r>
    </w:p>
    <w:p w:rsidR="009047FC" w:rsidRDefault="00155C74">
      <w:pPr>
        <w:pStyle w:val="Heading3"/>
      </w:pPr>
      <w:bookmarkStart w:id="3" w:name="_Toc262812419"/>
      <w:r>
        <w:t>6.3.2</w:t>
      </w:r>
      <w:r>
        <w:tab/>
        <w:t xml:space="preserve">Charges to </w:t>
      </w:r>
      <w:bookmarkEnd w:id="3"/>
      <w:r>
        <w:t>LSEs</w:t>
      </w:r>
    </w:p>
    <w:p w:rsidR="009047FC" w:rsidRDefault="00155C74">
      <w:pPr>
        <w:pStyle w:val="alphapara"/>
      </w:pPr>
      <w:r>
        <w:t>6.3.2.1</w:t>
      </w:r>
      <w:r>
        <w:tab/>
        <w:t>For all Actual Energy Withdrawals for Load located in the NYCA, LSE taking service under  the OATT or buying Energy from the LBMP Market shall pay a charge for this service on all withdrawals t</w:t>
      </w:r>
      <w:r>
        <w:t>o serve Load in the NYCA in accordance with this Rate Schedule.</w:t>
      </w:r>
    </w:p>
    <w:p w:rsidR="009047FC" w:rsidRDefault="00155C74">
      <w:pPr>
        <w:pStyle w:val="alphapara"/>
      </w:pPr>
      <w:r>
        <w:t>6.3.2.2</w:t>
      </w:r>
      <w:r>
        <w:tab/>
        <w:t>The ISO shall charge LSEs serving Load in the NYCA for Regulation Service for each hour.  The ISO shall charge LSEs taking service under Section 5 of the ISO OATT to supply Station Pow</w:t>
      </w:r>
      <w:r>
        <w:t>er as third-party providers for Service for each day. The charge shall be calculated as the Regulation Service Rate, determined as an hourly or a daily rate as appropriate, multiplied by the LSE’s Load for the hour or by the LSE’s withdrawals to provide St</w:t>
      </w:r>
      <w:r>
        <w:t>ation Power as a third party provider for the day.  The ISO shall calculate the Regulation Service Rate, for an hour or for a day as appropriate, as follows:</w:t>
      </w:r>
    </w:p>
    <w:p w:rsidR="009047FC" w:rsidRDefault="00155C74">
      <w:pPr>
        <w:pStyle w:val="Bodypara"/>
        <w:rPr>
          <w:color w:val="000000"/>
        </w:rPr>
      </w:pPr>
      <m:oMathPara>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r>
            <w:rPr>
              <w:rFonts w:ascii="Cambria Math" w:hAnsi="Cambria Math"/>
              <w:color w:val="000000"/>
            </w:rPr>
            <m:t xml:space="preserve">= </m:t>
          </m:r>
          <m:f>
            <m:fPr>
              <m:ctrlPr>
                <w:rPr>
                  <w:rFonts w:ascii="Cambria Math" w:hAnsi="Cambria Math"/>
                  <w:i/>
                  <w:color w:val="000000"/>
                </w:rPr>
              </m:ctrlPr>
            </m:fPr>
            <m:num>
              <m:d>
                <m:dPr>
                  <m:ctrlPr>
                    <w:rPr>
                      <w:rFonts w:ascii="Cambria Math" w:hAnsi="Cambria Math"/>
                      <w:i/>
                      <w:color w:val="000000"/>
                    </w:rPr>
                  </m:ctrlPr>
                </m:dPr>
                <m:e>
                  <m:r>
                    <w:rPr>
                      <w:rFonts w:ascii="Cambria Math" w:hAnsi="Cambria Math"/>
                      <w:color w:val="000000"/>
                    </w:rPr>
                    <m:t>Supplier</m:t>
                  </m:r>
                  <m:r>
                    <w:rPr>
                      <w:rFonts w:ascii="Cambria Math" w:hAnsi="Cambria Math"/>
                      <w:color w:val="000000"/>
                    </w:rPr>
                    <m:t xml:space="preserve"> </m:t>
                  </m:r>
                  <m:r>
                    <w:rPr>
                      <w:rFonts w:ascii="Cambria Math" w:hAnsi="Cambria Math"/>
                      <w:color w:val="000000"/>
                    </w:rPr>
                    <m:t>Payment</m:t>
                  </m:r>
                  <m:r>
                    <w:rPr>
                      <w:rFonts w:ascii="Cambria Math" w:hAnsi="Cambria Math"/>
                      <w:color w:val="000000"/>
                    </w:rPr>
                    <m:t>-</m:t>
                  </m:r>
                  <m:r>
                    <w:rPr>
                      <w:rFonts w:ascii="Cambria Math" w:hAnsi="Cambria Math"/>
                      <w:color w:val="000000"/>
                    </w:rPr>
                    <m:t>Supplier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r>
                    <w:rPr>
                      <w:rFonts w:ascii="Cambria Math" w:hAnsi="Cambria Math"/>
                      <w:color w:val="000000"/>
                    </w:rPr>
                    <m:t>-</m:t>
                  </m:r>
                  <m:r>
                    <w:rPr>
                      <w:rFonts w:ascii="Cambria Math" w:hAnsi="Cambria Math"/>
                      <w:color w:val="000000"/>
                    </w:rPr>
                    <m:t>Generator</m:t>
                  </m:r>
                  <m:r>
                    <w:rPr>
                      <w:rFonts w:ascii="Cambria Math" w:hAnsi="Cambria Math"/>
                      <w:color w:val="000000"/>
                    </w:rPr>
                    <m:t xml:space="preserve"> </m:t>
                  </m:r>
                  <m:r>
                    <w:rPr>
                      <w:rFonts w:ascii="Cambria Math" w:hAnsi="Cambria Math"/>
                      <w:color w:val="000000"/>
                    </w:rPr>
                    <m:t>C</m:t>
                  </m:r>
                  <m:r>
                    <w:rPr>
                      <w:rFonts w:ascii="Cambria Math" w:hAnsi="Cambria Math"/>
                      <w:color w:val="000000"/>
                    </w:rPr>
                    <m:t>h</m:t>
                  </m:r>
                  <m:r>
                    <w:rPr>
                      <w:rFonts w:ascii="Cambria Math" w:hAnsi="Cambria Math"/>
                      <w:color w:val="000000"/>
                    </w:rPr>
                    <m:t>arge</m:t>
                  </m:r>
                </m:e>
              </m:d>
            </m:num>
            <m:den>
              <m:sSub>
                <m:sSubPr>
                  <m:ctrlPr>
                    <w:rPr>
                      <w:rFonts w:ascii="Cambria Math" w:hAnsi="Cambria Math"/>
                      <w:i/>
                      <w:color w:val="000000"/>
                    </w:rPr>
                  </m:ctrlPr>
                </m:sSubPr>
                <m:e>
                  <m:r>
                    <w:rPr>
                      <w:rFonts w:ascii="Cambria Math" w:hAnsi="Cambria Math"/>
                      <w:color w:val="000000"/>
                    </w:rPr>
                    <m:t>Load</m:t>
                  </m:r>
                </m:e>
                <m:sub>
                  <m:r>
                    <w:rPr>
                      <w:rFonts w:ascii="Cambria Math" w:hAnsi="Cambria Math"/>
                      <w:color w:val="000000"/>
                    </w:rPr>
                    <m:t>NYCA</m:t>
                  </m:r>
                </m:sub>
              </m:sSub>
            </m:den>
          </m:f>
        </m:oMath>
      </m:oMathPara>
    </w:p>
    <w:p w:rsidR="009047FC" w:rsidRDefault="00155C74">
      <w:pPr>
        <w:pStyle w:val="Bodypara"/>
        <w:rPr>
          <w:color w:val="000000"/>
        </w:rPr>
      </w:pPr>
      <w:r>
        <w:rPr>
          <w:color w:val="000000"/>
        </w:rPr>
        <w:t xml:space="preserve">where:  </w:t>
      </w:r>
      <m:oMath>
        <m:sSub>
          <m:sSubPr>
            <m:ctrlPr>
              <w:rPr>
                <w:rFonts w:ascii="Cambria Math" w:hAnsi="Cambria Math"/>
                <w:i/>
                <w:color w:val="000000"/>
              </w:rPr>
            </m:ctrlPr>
          </m:sSubPr>
          <m:e>
            <m:r>
              <w:rPr>
                <w:rFonts w:ascii="Cambria Math" w:hAnsi="Cambria Math"/>
                <w:color w:val="000000"/>
              </w:rPr>
              <m:t>Rate</m:t>
            </m:r>
          </m:e>
          <m:sub>
            <m:r>
              <w:rPr>
                <w:rFonts w:ascii="Cambria Math" w:hAnsi="Cambria Math"/>
                <w:color w:val="000000"/>
              </w:rPr>
              <m:t>Reg</m:t>
            </m:r>
          </m:sub>
        </m:sSub>
      </m:oMath>
      <w:r>
        <w:rPr>
          <w:color w:val="000000"/>
        </w:rPr>
        <w:t xml:space="preserve"> is the hourly or daily rate for Regulation Service ($/MWh); </w:t>
      </w:r>
    </w:p>
    <w:p w:rsidR="009047FC" w:rsidRDefault="00155C74">
      <w:pPr>
        <w:pStyle w:val="Bodypara"/>
      </w:pPr>
      <w:r>
        <w:rPr>
          <w:i/>
        </w:rPr>
        <w:t xml:space="preserve">Supplier Payment </w:t>
      </w:r>
      <w:r>
        <w:t>is the aggregate of all Day-Ahead Market and Real-Time Market payments (including Regulation Revenue Adjustment Payments) made by</w:t>
      </w:r>
      <w:r>
        <w:t xml:space="preserve"> the ISO to all Suppliers of this Regulation Service as described in  Rate Schedule 3 of the ISO Services Tariff for the hour or for the day; </w:t>
      </w:r>
    </w:p>
    <w:p w:rsidR="009047FC" w:rsidRDefault="00155C74">
      <w:pPr>
        <w:pStyle w:val="Bodypara"/>
      </w:pPr>
      <w:r>
        <w:rPr>
          <w:i/>
        </w:rPr>
        <w:t xml:space="preserve">Supplier Charge </w:t>
      </w:r>
      <w:r>
        <w:t xml:space="preserve">is the aggregate of:  (i) charges paid by all Suppliers for poor Regulation Service performance, </w:t>
      </w:r>
      <w:r>
        <w:t xml:space="preserve">as described in Section 15.3.5.4; (ii) all real-time imbalance charges paid by Suppliers under Section 15.3.5.2(a) of that Rate Schedule; and (iii) all Regulation Revenue Adjustment Charges assessed pursuant to Section 15.3.6 of that Rate Schedule for the </w:t>
      </w:r>
      <w:r>
        <w:t>hour or for the day;</w:t>
      </w:r>
    </w:p>
    <w:p w:rsidR="009047FC" w:rsidRDefault="00155C74">
      <w:pPr>
        <w:pStyle w:val="Bodypara"/>
      </w:pPr>
      <w:r>
        <w:rPr>
          <w:i/>
        </w:rPr>
        <w:t xml:space="preserve">Generator Charge </w:t>
      </w:r>
      <w:r>
        <w:t>is the aggregate of charges paid by all Generators and Aggregations that do not provide Regulation Service and do not follow their RTD Base Points sufficiently accurately, as described in Rate Schedule 3A of the ISO Se</w:t>
      </w:r>
      <w:r>
        <w:t xml:space="preserve">rvices Tariff for the hour or for the day; and </w:t>
      </w:r>
    </w:p>
    <w:p w:rsidR="009047FC" w:rsidRDefault="00155C74">
      <w:pPr>
        <w:pStyle w:val="Bodypara"/>
      </w:pPr>
      <w:r>
        <w:rPr>
          <w:i/>
        </w:rPr>
        <w:t>Load</w:t>
      </w:r>
      <w:r>
        <w:rPr>
          <w:vertAlign w:val="subscript"/>
        </w:rPr>
        <w:t xml:space="preserve"> </w:t>
      </w:r>
      <w:r>
        <w:rPr>
          <w:i/>
          <w:vertAlign w:val="subscript"/>
        </w:rPr>
        <w:t>NYCA</w:t>
      </w:r>
      <w:r>
        <w:rPr>
          <w:i/>
        </w:rPr>
        <w:t xml:space="preserve"> </w:t>
      </w:r>
      <w:r>
        <w:t>is the total Load in the NYCA for the hour or for the day, as appropriate.</w:t>
      </w:r>
    </w:p>
    <w:p w:rsidR="009047FC" w:rsidRDefault="00155C74">
      <w:pPr>
        <w:pStyle w:val="alphapara"/>
      </w:pPr>
      <w:r>
        <w:t>6.3.2.3</w:t>
      </w:r>
      <w:r>
        <w:tab/>
      </w:r>
      <w:r>
        <w:tab/>
        <w:t>In any hour where the charges paid by Generators and Suppliers, as described in the ISO Services Tariff, exceed th</w:t>
      </w:r>
      <w:r>
        <w:t>e payments made to Suppliers of this service (i) the ISO shall not assess a charge against any LSE, and (ii) the surplus will be applied to the following hour as an offset to subsequent payments.</w:t>
      </w:r>
    </w:p>
    <w:p w:rsidR="009047FC" w:rsidRDefault="00155C74">
      <w:pPr>
        <w:pStyle w:val="alphapara"/>
      </w:pPr>
      <w:r>
        <w:t>6.3.2.4</w:t>
      </w:r>
      <w:r>
        <w:tab/>
      </w:r>
      <w:r>
        <w:tab/>
        <w:t>Charges to be paid by LSEs for this service shall b</w:t>
      </w:r>
      <w:r>
        <w:t>e aggregated to render a monthly charge.  The ISO shall credit charges paid for Regulation Service by LSEs taking service under Section 5 of the ISO OATT to supply Station Power as third-party providers for the day on a Load ratio share basis to LSEs servi</w:t>
      </w:r>
      <w:r>
        <w:t>ng Load in the NYCA for the day.</w:t>
      </w:r>
    </w:p>
    <w:sectPr w:rsidR="009047F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C74">
      <w:r>
        <w:separator/>
      </w:r>
    </w:p>
  </w:endnote>
  <w:endnote w:type="continuationSeparator" w:id="0">
    <w:p w:rsidR="00000000" w:rsidRDefault="0015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C74">
      <w:r>
        <w:separator/>
      </w:r>
    </w:p>
  </w:footnote>
  <w:footnote w:type="continuationSeparator" w:id="0">
    <w:p w:rsidR="00000000" w:rsidRDefault="0015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r>
      <w:rPr>
        <w:rFonts w:ascii="Arial" w:eastAsia="Arial" w:hAnsi="Arial" w:cs="Arial"/>
        <w:color w:val="000000"/>
        <w:sz w:val="16"/>
      </w:rPr>
      <w:t>NYISO Tariffs --&gt; Open Access Transmission Tariff (OATT) --&gt; 6 OATT Rate Schedules --&gt; 6.3 OATT Schedule 3 - Charges For Regulation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6 OATT Rate Schedules --&gt; 6.3 OATT Schedule 3 - Charges For Regulation Service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2A7" w:rsidRDefault="00155C74">
    <w:r>
      <w:rPr>
        <w:rFonts w:ascii="Arial" w:eastAsia="Arial" w:hAnsi="Arial" w:cs="Arial"/>
        <w:color w:val="000000"/>
        <w:sz w:val="16"/>
      </w:rPr>
      <w:t>NYISO Tariffs --&gt; Open Access Transmission Tariff (OATT) --&gt; 6 OATT Rate Schedules --&gt; 6.3 OATT Schedule 3 - Charges For Regulation Service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9416BA16">
      <w:start w:val="1"/>
      <w:numFmt w:val="bullet"/>
      <w:pStyle w:val="Bullettext"/>
      <w:lvlText w:val=""/>
      <w:lvlJc w:val="left"/>
      <w:pPr>
        <w:tabs>
          <w:tab w:val="num" w:pos="1440"/>
        </w:tabs>
        <w:ind w:left="1440" w:hanging="360"/>
      </w:pPr>
      <w:rPr>
        <w:rFonts w:ascii="Symbol" w:hAnsi="Symbol" w:hint="default"/>
      </w:rPr>
    </w:lvl>
    <w:lvl w:ilvl="1" w:tplc="8FB22A86" w:tentative="1">
      <w:start w:val="1"/>
      <w:numFmt w:val="bullet"/>
      <w:lvlText w:val="o"/>
      <w:lvlJc w:val="left"/>
      <w:pPr>
        <w:tabs>
          <w:tab w:val="num" w:pos="2160"/>
        </w:tabs>
        <w:ind w:left="2160" w:hanging="360"/>
      </w:pPr>
      <w:rPr>
        <w:rFonts w:ascii="Courier New" w:hAnsi="Courier New" w:cs="Courier New" w:hint="default"/>
      </w:rPr>
    </w:lvl>
    <w:lvl w:ilvl="2" w:tplc="D848E8BC" w:tentative="1">
      <w:start w:val="1"/>
      <w:numFmt w:val="bullet"/>
      <w:lvlText w:val=""/>
      <w:lvlJc w:val="left"/>
      <w:pPr>
        <w:tabs>
          <w:tab w:val="num" w:pos="2880"/>
        </w:tabs>
        <w:ind w:left="2880" w:hanging="360"/>
      </w:pPr>
      <w:rPr>
        <w:rFonts w:ascii="Wingdings" w:hAnsi="Wingdings" w:hint="default"/>
      </w:rPr>
    </w:lvl>
    <w:lvl w:ilvl="3" w:tplc="FC026E90" w:tentative="1">
      <w:start w:val="1"/>
      <w:numFmt w:val="bullet"/>
      <w:lvlText w:val=""/>
      <w:lvlJc w:val="left"/>
      <w:pPr>
        <w:tabs>
          <w:tab w:val="num" w:pos="3600"/>
        </w:tabs>
        <w:ind w:left="3600" w:hanging="360"/>
      </w:pPr>
      <w:rPr>
        <w:rFonts w:ascii="Symbol" w:hAnsi="Symbol" w:hint="default"/>
      </w:rPr>
    </w:lvl>
    <w:lvl w:ilvl="4" w:tplc="1D6E486A" w:tentative="1">
      <w:start w:val="1"/>
      <w:numFmt w:val="bullet"/>
      <w:lvlText w:val="o"/>
      <w:lvlJc w:val="left"/>
      <w:pPr>
        <w:tabs>
          <w:tab w:val="num" w:pos="4320"/>
        </w:tabs>
        <w:ind w:left="4320" w:hanging="360"/>
      </w:pPr>
      <w:rPr>
        <w:rFonts w:ascii="Courier New" w:hAnsi="Courier New" w:cs="Courier New" w:hint="default"/>
      </w:rPr>
    </w:lvl>
    <w:lvl w:ilvl="5" w:tplc="95EE5560" w:tentative="1">
      <w:start w:val="1"/>
      <w:numFmt w:val="bullet"/>
      <w:lvlText w:val=""/>
      <w:lvlJc w:val="left"/>
      <w:pPr>
        <w:tabs>
          <w:tab w:val="num" w:pos="5040"/>
        </w:tabs>
        <w:ind w:left="5040" w:hanging="360"/>
      </w:pPr>
      <w:rPr>
        <w:rFonts w:ascii="Wingdings" w:hAnsi="Wingdings" w:hint="default"/>
      </w:rPr>
    </w:lvl>
    <w:lvl w:ilvl="6" w:tplc="9752C272" w:tentative="1">
      <w:start w:val="1"/>
      <w:numFmt w:val="bullet"/>
      <w:lvlText w:val=""/>
      <w:lvlJc w:val="left"/>
      <w:pPr>
        <w:tabs>
          <w:tab w:val="num" w:pos="5760"/>
        </w:tabs>
        <w:ind w:left="5760" w:hanging="360"/>
      </w:pPr>
      <w:rPr>
        <w:rFonts w:ascii="Symbol" w:hAnsi="Symbol" w:hint="default"/>
      </w:rPr>
    </w:lvl>
    <w:lvl w:ilvl="7" w:tplc="345C176A" w:tentative="1">
      <w:start w:val="1"/>
      <w:numFmt w:val="bullet"/>
      <w:lvlText w:val="o"/>
      <w:lvlJc w:val="left"/>
      <w:pPr>
        <w:tabs>
          <w:tab w:val="num" w:pos="6480"/>
        </w:tabs>
        <w:ind w:left="6480" w:hanging="360"/>
      </w:pPr>
      <w:rPr>
        <w:rFonts w:ascii="Courier New" w:hAnsi="Courier New" w:cs="Courier New" w:hint="default"/>
      </w:rPr>
    </w:lvl>
    <w:lvl w:ilvl="8" w:tplc="AEFA5D0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00144104">
      <w:start w:val="1"/>
      <w:numFmt w:val="bullet"/>
      <w:pStyle w:val="Bulletpara"/>
      <w:lvlText w:val=""/>
      <w:lvlJc w:val="left"/>
      <w:pPr>
        <w:tabs>
          <w:tab w:val="num" w:pos="720"/>
        </w:tabs>
        <w:ind w:left="720" w:hanging="360"/>
      </w:pPr>
      <w:rPr>
        <w:rFonts w:ascii="Symbol" w:hAnsi="Symbol" w:hint="default"/>
      </w:rPr>
    </w:lvl>
    <w:lvl w:ilvl="1" w:tplc="C2A26786" w:tentative="1">
      <w:start w:val="1"/>
      <w:numFmt w:val="bullet"/>
      <w:lvlText w:val="o"/>
      <w:lvlJc w:val="left"/>
      <w:pPr>
        <w:tabs>
          <w:tab w:val="num" w:pos="1440"/>
        </w:tabs>
        <w:ind w:left="1440" w:hanging="360"/>
      </w:pPr>
      <w:rPr>
        <w:rFonts w:ascii="Courier New" w:hAnsi="Courier New" w:hint="default"/>
      </w:rPr>
    </w:lvl>
    <w:lvl w:ilvl="2" w:tplc="01EAB9DE" w:tentative="1">
      <w:start w:val="1"/>
      <w:numFmt w:val="bullet"/>
      <w:lvlText w:val=""/>
      <w:lvlJc w:val="left"/>
      <w:pPr>
        <w:tabs>
          <w:tab w:val="num" w:pos="2160"/>
        </w:tabs>
        <w:ind w:left="2160" w:hanging="360"/>
      </w:pPr>
      <w:rPr>
        <w:rFonts w:ascii="Wingdings" w:hAnsi="Wingdings" w:hint="default"/>
      </w:rPr>
    </w:lvl>
    <w:lvl w:ilvl="3" w:tplc="09D0DB94" w:tentative="1">
      <w:start w:val="1"/>
      <w:numFmt w:val="bullet"/>
      <w:lvlText w:val=""/>
      <w:lvlJc w:val="left"/>
      <w:pPr>
        <w:tabs>
          <w:tab w:val="num" w:pos="2880"/>
        </w:tabs>
        <w:ind w:left="2880" w:hanging="360"/>
      </w:pPr>
      <w:rPr>
        <w:rFonts w:ascii="Symbol" w:hAnsi="Symbol" w:hint="default"/>
      </w:rPr>
    </w:lvl>
    <w:lvl w:ilvl="4" w:tplc="7E5AC06E" w:tentative="1">
      <w:start w:val="1"/>
      <w:numFmt w:val="bullet"/>
      <w:lvlText w:val="o"/>
      <w:lvlJc w:val="left"/>
      <w:pPr>
        <w:tabs>
          <w:tab w:val="num" w:pos="3600"/>
        </w:tabs>
        <w:ind w:left="3600" w:hanging="360"/>
      </w:pPr>
      <w:rPr>
        <w:rFonts w:ascii="Courier New" w:hAnsi="Courier New" w:hint="default"/>
      </w:rPr>
    </w:lvl>
    <w:lvl w:ilvl="5" w:tplc="B1D6D076" w:tentative="1">
      <w:start w:val="1"/>
      <w:numFmt w:val="bullet"/>
      <w:lvlText w:val=""/>
      <w:lvlJc w:val="left"/>
      <w:pPr>
        <w:tabs>
          <w:tab w:val="num" w:pos="4320"/>
        </w:tabs>
        <w:ind w:left="4320" w:hanging="360"/>
      </w:pPr>
      <w:rPr>
        <w:rFonts w:ascii="Wingdings" w:hAnsi="Wingdings" w:hint="default"/>
      </w:rPr>
    </w:lvl>
    <w:lvl w:ilvl="6" w:tplc="B5F04138" w:tentative="1">
      <w:start w:val="1"/>
      <w:numFmt w:val="bullet"/>
      <w:lvlText w:val=""/>
      <w:lvlJc w:val="left"/>
      <w:pPr>
        <w:tabs>
          <w:tab w:val="num" w:pos="5040"/>
        </w:tabs>
        <w:ind w:left="5040" w:hanging="360"/>
      </w:pPr>
      <w:rPr>
        <w:rFonts w:ascii="Symbol" w:hAnsi="Symbol" w:hint="default"/>
      </w:rPr>
    </w:lvl>
    <w:lvl w:ilvl="7" w:tplc="83CA6EF0" w:tentative="1">
      <w:start w:val="1"/>
      <w:numFmt w:val="bullet"/>
      <w:lvlText w:val="o"/>
      <w:lvlJc w:val="left"/>
      <w:pPr>
        <w:tabs>
          <w:tab w:val="num" w:pos="5760"/>
        </w:tabs>
        <w:ind w:left="5760" w:hanging="360"/>
      </w:pPr>
      <w:rPr>
        <w:rFonts w:ascii="Courier New" w:hAnsi="Courier New" w:hint="default"/>
      </w:rPr>
    </w:lvl>
    <w:lvl w:ilvl="8" w:tplc="484036C6"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04674AE">
      <w:start w:val="1"/>
      <w:numFmt w:val="lowerRoman"/>
      <w:lvlText w:val="(%1)"/>
      <w:lvlJc w:val="left"/>
      <w:pPr>
        <w:tabs>
          <w:tab w:val="num" w:pos="2448"/>
        </w:tabs>
        <w:ind w:left="2448" w:hanging="648"/>
      </w:pPr>
      <w:rPr>
        <w:rFonts w:cs="Times New Roman" w:hint="default"/>
        <w:b w:val="0"/>
        <w:i w:val="0"/>
        <w:u w:val="none"/>
      </w:rPr>
    </w:lvl>
    <w:lvl w:ilvl="1" w:tplc="C3460598" w:tentative="1">
      <w:start w:val="1"/>
      <w:numFmt w:val="lowerLetter"/>
      <w:lvlText w:val="%2."/>
      <w:lvlJc w:val="left"/>
      <w:pPr>
        <w:tabs>
          <w:tab w:val="num" w:pos="1440"/>
        </w:tabs>
        <w:ind w:left="1440" w:hanging="360"/>
      </w:pPr>
      <w:rPr>
        <w:rFonts w:cs="Times New Roman"/>
      </w:rPr>
    </w:lvl>
    <w:lvl w:ilvl="2" w:tplc="E8A00970" w:tentative="1">
      <w:start w:val="1"/>
      <w:numFmt w:val="lowerRoman"/>
      <w:lvlText w:val="%3."/>
      <w:lvlJc w:val="right"/>
      <w:pPr>
        <w:tabs>
          <w:tab w:val="num" w:pos="2160"/>
        </w:tabs>
        <w:ind w:left="2160" w:hanging="180"/>
      </w:pPr>
      <w:rPr>
        <w:rFonts w:cs="Times New Roman"/>
      </w:rPr>
    </w:lvl>
    <w:lvl w:ilvl="3" w:tplc="5A6C46CA" w:tentative="1">
      <w:start w:val="1"/>
      <w:numFmt w:val="decimal"/>
      <w:lvlText w:val="%4."/>
      <w:lvlJc w:val="left"/>
      <w:pPr>
        <w:tabs>
          <w:tab w:val="num" w:pos="2880"/>
        </w:tabs>
        <w:ind w:left="2880" w:hanging="360"/>
      </w:pPr>
      <w:rPr>
        <w:rFonts w:cs="Times New Roman"/>
      </w:rPr>
    </w:lvl>
    <w:lvl w:ilvl="4" w:tplc="3CDE66B4" w:tentative="1">
      <w:start w:val="1"/>
      <w:numFmt w:val="lowerLetter"/>
      <w:lvlText w:val="%5."/>
      <w:lvlJc w:val="left"/>
      <w:pPr>
        <w:tabs>
          <w:tab w:val="num" w:pos="3600"/>
        </w:tabs>
        <w:ind w:left="3600" w:hanging="360"/>
      </w:pPr>
      <w:rPr>
        <w:rFonts w:cs="Times New Roman"/>
      </w:rPr>
    </w:lvl>
    <w:lvl w:ilvl="5" w:tplc="7E6441DA" w:tentative="1">
      <w:start w:val="1"/>
      <w:numFmt w:val="lowerRoman"/>
      <w:lvlText w:val="%6."/>
      <w:lvlJc w:val="right"/>
      <w:pPr>
        <w:tabs>
          <w:tab w:val="num" w:pos="4320"/>
        </w:tabs>
        <w:ind w:left="4320" w:hanging="180"/>
      </w:pPr>
      <w:rPr>
        <w:rFonts w:cs="Times New Roman"/>
      </w:rPr>
    </w:lvl>
    <w:lvl w:ilvl="6" w:tplc="9A88D248" w:tentative="1">
      <w:start w:val="1"/>
      <w:numFmt w:val="decimal"/>
      <w:lvlText w:val="%7."/>
      <w:lvlJc w:val="left"/>
      <w:pPr>
        <w:tabs>
          <w:tab w:val="num" w:pos="5040"/>
        </w:tabs>
        <w:ind w:left="5040" w:hanging="360"/>
      </w:pPr>
      <w:rPr>
        <w:rFonts w:cs="Times New Roman"/>
      </w:rPr>
    </w:lvl>
    <w:lvl w:ilvl="7" w:tplc="A8822A32" w:tentative="1">
      <w:start w:val="1"/>
      <w:numFmt w:val="lowerLetter"/>
      <w:lvlText w:val="%8."/>
      <w:lvlJc w:val="left"/>
      <w:pPr>
        <w:tabs>
          <w:tab w:val="num" w:pos="5760"/>
        </w:tabs>
        <w:ind w:left="5760" w:hanging="360"/>
      </w:pPr>
      <w:rPr>
        <w:rFonts w:cs="Times New Roman"/>
      </w:rPr>
    </w:lvl>
    <w:lvl w:ilvl="8" w:tplc="16343D84"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960CD360">
      <w:start w:val="1"/>
      <w:numFmt w:val="decimal"/>
      <w:lvlText w:val="%1."/>
      <w:lvlJc w:val="left"/>
      <w:pPr>
        <w:tabs>
          <w:tab w:val="num" w:pos="720"/>
        </w:tabs>
        <w:ind w:left="720" w:hanging="360"/>
      </w:pPr>
      <w:rPr>
        <w:rFonts w:cs="Times New Roman"/>
      </w:rPr>
    </w:lvl>
    <w:lvl w:ilvl="1" w:tplc="8346B2E8" w:tentative="1">
      <w:start w:val="1"/>
      <w:numFmt w:val="lowerLetter"/>
      <w:lvlText w:val="%2."/>
      <w:lvlJc w:val="left"/>
      <w:pPr>
        <w:tabs>
          <w:tab w:val="num" w:pos="1440"/>
        </w:tabs>
        <w:ind w:left="1440" w:hanging="360"/>
      </w:pPr>
      <w:rPr>
        <w:rFonts w:cs="Times New Roman"/>
      </w:rPr>
    </w:lvl>
    <w:lvl w:ilvl="2" w:tplc="11068C22" w:tentative="1">
      <w:start w:val="1"/>
      <w:numFmt w:val="lowerRoman"/>
      <w:lvlText w:val="%3."/>
      <w:lvlJc w:val="right"/>
      <w:pPr>
        <w:tabs>
          <w:tab w:val="num" w:pos="2160"/>
        </w:tabs>
        <w:ind w:left="2160" w:hanging="180"/>
      </w:pPr>
      <w:rPr>
        <w:rFonts w:cs="Times New Roman"/>
      </w:rPr>
    </w:lvl>
    <w:lvl w:ilvl="3" w:tplc="7A78E15A" w:tentative="1">
      <w:start w:val="1"/>
      <w:numFmt w:val="decimal"/>
      <w:lvlText w:val="%4."/>
      <w:lvlJc w:val="left"/>
      <w:pPr>
        <w:tabs>
          <w:tab w:val="num" w:pos="2880"/>
        </w:tabs>
        <w:ind w:left="2880" w:hanging="360"/>
      </w:pPr>
      <w:rPr>
        <w:rFonts w:cs="Times New Roman"/>
      </w:rPr>
    </w:lvl>
    <w:lvl w:ilvl="4" w:tplc="CEAEA54A" w:tentative="1">
      <w:start w:val="1"/>
      <w:numFmt w:val="lowerLetter"/>
      <w:lvlText w:val="%5."/>
      <w:lvlJc w:val="left"/>
      <w:pPr>
        <w:tabs>
          <w:tab w:val="num" w:pos="3600"/>
        </w:tabs>
        <w:ind w:left="3600" w:hanging="360"/>
      </w:pPr>
      <w:rPr>
        <w:rFonts w:cs="Times New Roman"/>
      </w:rPr>
    </w:lvl>
    <w:lvl w:ilvl="5" w:tplc="B1EE7370" w:tentative="1">
      <w:start w:val="1"/>
      <w:numFmt w:val="lowerRoman"/>
      <w:lvlText w:val="%6."/>
      <w:lvlJc w:val="right"/>
      <w:pPr>
        <w:tabs>
          <w:tab w:val="num" w:pos="4320"/>
        </w:tabs>
        <w:ind w:left="4320" w:hanging="180"/>
      </w:pPr>
      <w:rPr>
        <w:rFonts w:cs="Times New Roman"/>
      </w:rPr>
    </w:lvl>
    <w:lvl w:ilvl="6" w:tplc="1F80F794" w:tentative="1">
      <w:start w:val="1"/>
      <w:numFmt w:val="decimal"/>
      <w:lvlText w:val="%7."/>
      <w:lvlJc w:val="left"/>
      <w:pPr>
        <w:tabs>
          <w:tab w:val="num" w:pos="5040"/>
        </w:tabs>
        <w:ind w:left="5040" w:hanging="360"/>
      </w:pPr>
      <w:rPr>
        <w:rFonts w:cs="Times New Roman"/>
      </w:rPr>
    </w:lvl>
    <w:lvl w:ilvl="7" w:tplc="986AB948" w:tentative="1">
      <w:start w:val="1"/>
      <w:numFmt w:val="lowerLetter"/>
      <w:lvlText w:val="%8."/>
      <w:lvlJc w:val="left"/>
      <w:pPr>
        <w:tabs>
          <w:tab w:val="num" w:pos="5760"/>
        </w:tabs>
        <w:ind w:left="5760" w:hanging="360"/>
      </w:pPr>
      <w:rPr>
        <w:rFonts w:cs="Times New Roman"/>
      </w:rPr>
    </w:lvl>
    <w:lvl w:ilvl="8" w:tplc="9CB693A4"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2FAC39E0">
      <w:start w:val="1"/>
      <w:numFmt w:val="bullet"/>
      <w:lvlText w:val=""/>
      <w:lvlJc w:val="left"/>
      <w:pPr>
        <w:tabs>
          <w:tab w:val="num" w:pos="5760"/>
        </w:tabs>
        <w:ind w:left="5760" w:hanging="360"/>
      </w:pPr>
      <w:rPr>
        <w:rFonts w:ascii="Symbol" w:hAnsi="Symbol" w:hint="default"/>
        <w:color w:val="auto"/>
        <w:u w:val="none"/>
      </w:rPr>
    </w:lvl>
    <w:lvl w:ilvl="1" w:tplc="CEBA47B8" w:tentative="1">
      <w:start w:val="1"/>
      <w:numFmt w:val="bullet"/>
      <w:lvlText w:val="o"/>
      <w:lvlJc w:val="left"/>
      <w:pPr>
        <w:tabs>
          <w:tab w:val="num" w:pos="3600"/>
        </w:tabs>
        <w:ind w:left="3600" w:hanging="360"/>
      </w:pPr>
      <w:rPr>
        <w:rFonts w:ascii="Courier New" w:hAnsi="Courier New" w:hint="default"/>
      </w:rPr>
    </w:lvl>
    <w:lvl w:ilvl="2" w:tplc="EB48A9C4" w:tentative="1">
      <w:start w:val="1"/>
      <w:numFmt w:val="bullet"/>
      <w:lvlText w:val=""/>
      <w:lvlJc w:val="left"/>
      <w:pPr>
        <w:tabs>
          <w:tab w:val="num" w:pos="4320"/>
        </w:tabs>
        <w:ind w:left="4320" w:hanging="360"/>
      </w:pPr>
      <w:rPr>
        <w:rFonts w:ascii="Wingdings" w:hAnsi="Wingdings" w:hint="default"/>
      </w:rPr>
    </w:lvl>
    <w:lvl w:ilvl="3" w:tplc="79A88C5E">
      <w:start w:val="1"/>
      <w:numFmt w:val="bullet"/>
      <w:lvlText w:val=""/>
      <w:lvlJc w:val="left"/>
      <w:pPr>
        <w:tabs>
          <w:tab w:val="num" w:pos="5040"/>
        </w:tabs>
        <w:ind w:left="5040" w:hanging="360"/>
      </w:pPr>
      <w:rPr>
        <w:rFonts w:ascii="Symbol" w:hAnsi="Symbol" w:hint="default"/>
      </w:rPr>
    </w:lvl>
    <w:lvl w:ilvl="4" w:tplc="873A597A" w:tentative="1">
      <w:start w:val="1"/>
      <w:numFmt w:val="bullet"/>
      <w:lvlText w:val="o"/>
      <w:lvlJc w:val="left"/>
      <w:pPr>
        <w:tabs>
          <w:tab w:val="num" w:pos="5760"/>
        </w:tabs>
        <w:ind w:left="5760" w:hanging="360"/>
      </w:pPr>
      <w:rPr>
        <w:rFonts w:ascii="Courier New" w:hAnsi="Courier New" w:hint="default"/>
      </w:rPr>
    </w:lvl>
    <w:lvl w:ilvl="5" w:tplc="EF5427B4" w:tentative="1">
      <w:start w:val="1"/>
      <w:numFmt w:val="bullet"/>
      <w:lvlText w:val=""/>
      <w:lvlJc w:val="left"/>
      <w:pPr>
        <w:tabs>
          <w:tab w:val="num" w:pos="6480"/>
        </w:tabs>
        <w:ind w:left="6480" w:hanging="360"/>
      </w:pPr>
      <w:rPr>
        <w:rFonts w:ascii="Wingdings" w:hAnsi="Wingdings" w:hint="default"/>
      </w:rPr>
    </w:lvl>
    <w:lvl w:ilvl="6" w:tplc="AAC00FF0" w:tentative="1">
      <w:start w:val="1"/>
      <w:numFmt w:val="bullet"/>
      <w:lvlText w:val=""/>
      <w:lvlJc w:val="left"/>
      <w:pPr>
        <w:tabs>
          <w:tab w:val="num" w:pos="7200"/>
        </w:tabs>
        <w:ind w:left="7200" w:hanging="360"/>
      </w:pPr>
      <w:rPr>
        <w:rFonts w:ascii="Symbol" w:hAnsi="Symbol" w:hint="default"/>
      </w:rPr>
    </w:lvl>
    <w:lvl w:ilvl="7" w:tplc="A9362620" w:tentative="1">
      <w:start w:val="1"/>
      <w:numFmt w:val="bullet"/>
      <w:lvlText w:val="o"/>
      <w:lvlJc w:val="left"/>
      <w:pPr>
        <w:tabs>
          <w:tab w:val="num" w:pos="7920"/>
        </w:tabs>
        <w:ind w:left="7920" w:hanging="360"/>
      </w:pPr>
      <w:rPr>
        <w:rFonts w:ascii="Courier New" w:hAnsi="Courier New" w:hint="default"/>
      </w:rPr>
    </w:lvl>
    <w:lvl w:ilvl="8" w:tplc="DD8868A2"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83EDF82">
      <w:start w:val="1"/>
      <w:numFmt w:val="decimal"/>
      <w:lvlText w:val="(%1)"/>
      <w:lvlJc w:val="left"/>
      <w:pPr>
        <w:tabs>
          <w:tab w:val="num" w:pos="2520"/>
        </w:tabs>
        <w:ind w:left="2520" w:hanging="720"/>
      </w:pPr>
      <w:rPr>
        <w:rFonts w:cs="Times New Roman" w:hint="default"/>
      </w:rPr>
    </w:lvl>
    <w:lvl w:ilvl="1" w:tplc="1D4442E8">
      <w:start w:val="1"/>
      <w:numFmt w:val="lowerRoman"/>
      <w:lvlText w:val="(%2)"/>
      <w:lvlJc w:val="left"/>
      <w:pPr>
        <w:tabs>
          <w:tab w:val="num" w:pos="1800"/>
        </w:tabs>
        <w:ind w:left="1800" w:hanging="720"/>
      </w:pPr>
      <w:rPr>
        <w:rFonts w:cs="Times New Roman" w:hint="default"/>
        <w:b w:val="0"/>
      </w:rPr>
    </w:lvl>
    <w:lvl w:ilvl="2" w:tplc="3B50E3C0">
      <w:start w:val="1"/>
      <w:numFmt w:val="decimal"/>
      <w:lvlText w:val="(%3)"/>
      <w:lvlJc w:val="right"/>
      <w:pPr>
        <w:tabs>
          <w:tab w:val="num" w:pos="2160"/>
        </w:tabs>
        <w:ind w:left="2160" w:hanging="180"/>
      </w:pPr>
      <w:rPr>
        <w:rFonts w:ascii="Times New Roman" w:eastAsia="Times New Roman" w:hAnsi="Times New Roman" w:cs="Times New Roman"/>
        <w:b w:val="0"/>
      </w:rPr>
    </w:lvl>
    <w:lvl w:ilvl="3" w:tplc="F55462FA">
      <w:start w:val="1"/>
      <w:numFmt w:val="lowerRoman"/>
      <w:lvlText w:val="(%4)"/>
      <w:lvlJc w:val="left"/>
      <w:pPr>
        <w:tabs>
          <w:tab w:val="num" w:pos="2520"/>
        </w:tabs>
        <w:ind w:left="2880" w:hanging="360"/>
      </w:pPr>
      <w:rPr>
        <w:rFonts w:cs="Times New Roman" w:hint="default"/>
        <w:b w:val="0"/>
      </w:rPr>
    </w:lvl>
    <w:lvl w:ilvl="4" w:tplc="95FEA15C" w:tentative="1">
      <w:start w:val="1"/>
      <w:numFmt w:val="lowerLetter"/>
      <w:lvlText w:val="%5."/>
      <w:lvlJc w:val="left"/>
      <w:pPr>
        <w:tabs>
          <w:tab w:val="num" w:pos="3600"/>
        </w:tabs>
        <w:ind w:left="3600" w:hanging="360"/>
      </w:pPr>
      <w:rPr>
        <w:rFonts w:cs="Times New Roman"/>
      </w:rPr>
    </w:lvl>
    <w:lvl w:ilvl="5" w:tplc="F058F96C" w:tentative="1">
      <w:start w:val="1"/>
      <w:numFmt w:val="lowerRoman"/>
      <w:lvlText w:val="%6."/>
      <w:lvlJc w:val="right"/>
      <w:pPr>
        <w:tabs>
          <w:tab w:val="num" w:pos="4320"/>
        </w:tabs>
        <w:ind w:left="4320" w:hanging="180"/>
      </w:pPr>
      <w:rPr>
        <w:rFonts w:cs="Times New Roman"/>
      </w:rPr>
    </w:lvl>
    <w:lvl w:ilvl="6" w:tplc="3A06495A" w:tentative="1">
      <w:start w:val="1"/>
      <w:numFmt w:val="decimal"/>
      <w:lvlText w:val="%7."/>
      <w:lvlJc w:val="left"/>
      <w:pPr>
        <w:tabs>
          <w:tab w:val="num" w:pos="5040"/>
        </w:tabs>
        <w:ind w:left="5040" w:hanging="360"/>
      </w:pPr>
      <w:rPr>
        <w:rFonts w:cs="Times New Roman"/>
      </w:rPr>
    </w:lvl>
    <w:lvl w:ilvl="7" w:tplc="5F3042FC" w:tentative="1">
      <w:start w:val="1"/>
      <w:numFmt w:val="lowerLetter"/>
      <w:lvlText w:val="%8."/>
      <w:lvlJc w:val="left"/>
      <w:pPr>
        <w:tabs>
          <w:tab w:val="num" w:pos="5760"/>
        </w:tabs>
        <w:ind w:left="5760" w:hanging="360"/>
      </w:pPr>
      <w:rPr>
        <w:rFonts w:cs="Times New Roman"/>
      </w:rPr>
    </w:lvl>
    <w:lvl w:ilvl="8" w:tplc="2F789342"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2A7"/>
    <w:rsid w:val="00155C74"/>
    <w:rsid w:val="0089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character" w:styleId="FootnoteReference">
    <w:name w:val="footnote reference"/>
    <w:basedOn w:val="DefaultParagraphFont"/>
    <w:uiPriority w:val="99"/>
    <w:semiHidden/>
    <w:rPr>
      <w:rFonts w:cs="Times New Roman"/>
    </w:rPr>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Numberedsubhead">
    <w:name w:val="Numbered subhead"/>
    <w:basedOn w:val="alphaheading"/>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uiPriority w:val="99"/>
    <w:semiHidden/>
    <w:pPr>
      <w:jc w:val="both"/>
    </w:pPr>
    <w:rPr>
      <w:sz w:val="20"/>
    </w:rPr>
  </w:style>
  <w:style w:type="paragraph" w:styleId="Header">
    <w:name w:val="header"/>
    <w:basedOn w:val="Normal"/>
    <w:link w:val="HeaderChar"/>
    <w:uiPriority w:val="99"/>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pPr>
      <w:widowControl w:val="0"/>
      <w:autoSpaceDE w:val="0"/>
      <w:autoSpaceDN w:val="0"/>
      <w:adjustRightInd w:val="0"/>
    </w:pPr>
    <w:rPr>
      <w:color w:val="000000"/>
      <w:sz w:val="24"/>
      <w:szCs w:val="24"/>
    </w:rPr>
  </w:style>
  <w:style w:type="paragraph" w:customStyle="1" w:styleId="TOCHeading1">
    <w:name w:val="TOC Heading1"/>
    <w:basedOn w:val="Normal"/>
    <w:uiPriority w:val="99"/>
    <w:pPr>
      <w:spacing w:before="240" w:after="240"/>
    </w:pPr>
    <w:rPr>
      <w:b/>
    </w:rPr>
  </w:style>
  <w:style w:type="character" w:styleId="Hyperlink">
    <w:name w:val="Hyperlink"/>
    <w:basedOn w:val="DefaultParagraphFont"/>
    <w:uiPriority w:val="99"/>
    <w:rPr>
      <w:rFonts w:cs="Times New Roman"/>
      <w:color w:val="0000FF"/>
      <w:u w:val="single"/>
    </w:r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romannumeralpara">
    <w:name w:val="roman numeral para"/>
    <w:basedOn w:val="Normal"/>
    <w:uiPriority w:val="99"/>
    <w:pPr>
      <w:spacing w:line="480" w:lineRule="auto"/>
      <w:ind w:left="1440" w:hanging="720"/>
    </w:pPr>
  </w:style>
  <w:style w:type="paragraph" w:customStyle="1" w:styleId="Bodyparaindented">
    <w:name w:val="Body para indented"/>
    <w:basedOn w:val="Normal"/>
    <w:pPr>
      <w:spacing w:line="480" w:lineRule="auto"/>
      <w:ind w:left="720" w:firstLine="720"/>
    </w:pPr>
  </w:style>
  <w:style w:type="paragraph" w:customStyle="1" w:styleId="Bullettext">
    <w:name w:val="Bullet text"/>
    <w:basedOn w:val="Normal"/>
    <w:pPr>
      <w:numPr>
        <w:numId w:val="5"/>
      </w:numPr>
      <w:tabs>
        <w:tab w:val="clear" w:pos="1440"/>
      </w:tabs>
      <w:spacing w:before="120" w:after="120"/>
      <w:ind w:hanging="720"/>
    </w:pPr>
  </w:style>
  <w:style w:type="paragraph" w:customStyle="1" w:styleId="Level1">
    <w:name w:val="Level 1"/>
    <w:basedOn w:val="Normal"/>
    <w:uiPriority w:val="99"/>
    <w:pPr>
      <w:ind w:left="1890" w:hanging="720"/>
    </w:pPr>
  </w:style>
  <w:style w:type="paragraph" w:styleId="BodyText">
    <w:name w:val="Body Text"/>
    <w:aliases w:val="b"/>
    <w:basedOn w:val="Normal"/>
    <w:rPr>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styleId="Date">
    <w:name w:val="Date"/>
    <w:basedOn w:val="Normal"/>
    <w:next w:val="Normal"/>
    <w:link w:val="DateChar"/>
    <w:uiPriority w:val="99"/>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Bulletpara">
    <w:name w:val="Bullet para"/>
    <w:basedOn w:val="Normal"/>
    <w:uiPriority w:val="99"/>
    <w:pPr>
      <w:numPr>
        <w:numId w:val="16"/>
      </w:numPr>
      <w:tabs>
        <w:tab w:val="left" w:pos="900"/>
      </w:tabs>
      <w:spacing w:before="120" w:after="120"/>
    </w:pPr>
  </w:style>
  <w:style w:type="paragraph" w:customStyle="1" w:styleId="Tarifftitle">
    <w:name w:val="Tariff title"/>
    <w:basedOn w:val="Normal"/>
    <w:uiPriority w:val="99"/>
    <w:rPr>
      <w:b/>
      <w:sz w:val="28"/>
      <w:szCs w:val="28"/>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6</vt:lpstr>
    </vt:vector>
  </TitlesOfParts>
  <Company>New York Independent System Operator</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creator>DaveE</dc:creator>
  <cp:lastModifiedBy>TMS IIS</cp:lastModifiedBy>
  <cp:revision>2</cp:revision>
  <cp:lastPrinted>2010-05-28T16:17:00Z</cp:lastPrinted>
  <dcterms:created xsi:type="dcterms:W3CDTF">2024-07-09T15:01:00Z</dcterms:created>
  <dcterms:modified xsi:type="dcterms:W3CDTF">2024-07-09T15:01:00Z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gFAA2RjfPKrF47jolCCOvT1kjmyOs9cgdb/I7sxBOrVGU08g0X0zp9FSlC9BrqcJd00xAwjkZcFOA57F
lz0mWxXTvXih5fl46mAcTLmRftV+6iii+ZBZDD3QmUSCf8faW3W7vIfF40mL/7BIZU3wHY9BWNkD
2KPO0evXQsAuzQsAlxBh06kGwXPGIk9oYX7cRMYgDy6yKPSNlHBEeMxqCiWPVd+/q4FTjUwq8if1
PS77Kx6eBcHeA36P3</vt:lpwstr>
  </property>
  <property fmtid="{D5CDD505-2E9C-101B-9397-08002B2CF9AE}" pid="4" name="MAIL_MSG_ID2">
    <vt:lpwstr>R6PTxu+QFRX9hlsXeS0xCnsA1j+FdCS7aEPa7ymhRPMFJh1/oYmbL6LKRfC
nDswVgnU2qvbkptNF64kXLLVSmm5E/QCXiOHAQ==</vt:lpwstr>
  </property>
  <property fmtid="{D5CDD505-2E9C-101B-9397-08002B2CF9AE}" pid="5" name="MSIP_Label_5bf193d9-c1cf-45e0-8fa7-a9bc86b7f5dd_ActionId">
    <vt:lpwstr>7b6307ad-7727-4dff-af0f-ace0f5f1121c</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2023-10-10T17:50:46Z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_AdHocReviewCycleID">
    <vt:i4>-1856859819</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Comprehensive Scarcity Pricing - Draft Filing Letter</vt:lpwstr>
  </property>
  <property fmtid="{D5CDD505-2E9C-101B-9397-08002B2CF9AE}" pid="17" name="_NewReviewCycle">
    <vt:lpwstr/>
  </property>
  <property fmtid="{D5CDD505-2E9C-101B-9397-08002B2CF9AE}" pid="18" name="_PreviousAdHocReviewCycleID">
    <vt:i4>1760463778</vt:i4>
  </property>
  <property fmtid="{D5CDD505-2E9C-101B-9397-08002B2CF9AE}" pid="19" name="_ReviewingToolsShownOnce">
    <vt:lpwstr/>
  </property>
</Properties>
</file>