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88" w:rsidRDefault="00E7293B">
      <w:pPr>
        <w:pStyle w:val="Heading2"/>
      </w:pPr>
      <w:bookmarkStart w:id="0" w:name="_Toc261252178"/>
      <w:bookmarkStart w:id="1" w:name="_GoBack"/>
      <w:bookmarkEnd w:id="1"/>
      <w:r>
        <w:t>23.5</w:t>
      </w:r>
      <w:r>
        <w:tab/>
        <w:t>Other Mitigation Measures</w:t>
      </w:r>
      <w:bookmarkEnd w:id="0"/>
    </w:p>
    <w:p w:rsidR="006E7A88" w:rsidRDefault="00E7293B">
      <w:pPr>
        <w:pStyle w:val="Heading3"/>
      </w:pPr>
      <w:bookmarkStart w:id="2" w:name="_Toc261252179"/>
      <w:r>
        <w:t>23.5.1</w:t>
      </w:r>
      <w:r>
        <w:tab/>
        <w:t>Facilitation of Real-Time Mitigation in Constrained Areas</w:t>
      </w:r>
      <w:bookmarkEnd w:id="2"/>
    </w:p>
    <w:p w:rsidR="006E7A88" w:rsidRDefault="00E7293B">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6E7A88" w:rsidRDefault="00E7293B">
      <w:pPr>
        <w:pStyle w:val="Heading3"/>
      </w:pPr>
      <w:bookmarkStart w:id="3" w:name="_Toc261252180"/>
      <w:r>
        <w:t>23.5.2</w:t>
      </w:r>
      <w:r>
        <w:tab/>
        <w:t>Market Power Mitigation Measu</w:t>
      </w:r>
      <w:r>
        <w:t>res Applicable to In-City Unit Commitments for Local Reliability</w:t>
      </w:r>
      <w:bookmarkEnd w:id="3"/>
    </w:p>
    <w:p w:rsidR="006E7A88" w:rsidRDefault="00E7293B">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6E7A88" w:rsidRDefault="00E7293B">
      <w:pPr>
        <w:pStyle w:val="Heading3"/>
      </w:pPr>
      <w:bookmarkStart w:id="4" w:name="_Toc261252181"/>
      <w:r>
        <w:t>23.5.3</w:t>
      </w:r>
      <w:r>
        <w:tab/>
        <w:t>Market Power Mitigation Measures Applicable to Sales of Spinning Reserves</w:t>
      </w:r>
      <w:bookmarkEnd w:id="4"/>
    </w:p>
    <w:p w:rsidR="006E7A88" w:rsidRDefault="00E7293B">
      <w:pPr>
        <w:pStyle w:val="alphapara"/>
      </w:pPr>
      <w:r>
        <w:t>23.5.3.1</w:t>
      </w:r>
      <w:r>
        <w:tab/>
        <w:t xml:space="preserve">Local reliability rules require that specified amounts of Spinning Reserves be provided by In-City Generators or Aggregations.  The Spinning Reserve-capable portion of each Generator or Aggregation located in </w:t>
      </w:r>
      <w:smartTag w:uri="urn:schemas-microsoft-com:office:smarttags" w:element="place">
        <w:smartTag w:uri="urn:schemas-microsoft-com:office:smarttags" w:element="City">
          <w:r>
            <w:t>New York City</w:t>
          </w:r>
        </w:smartTag>
      </w:smartTag>
      <w:r>
        <w:t xml:space="preserve"> must be made available to the IS</w:t>
      </w:r>
      <w:r>
        <w:t>O for purposes of meeting the New York City Spinning Reserve requirement.</w:t>
      </w:r>
    </w:p>
    <w:p w:rsidR="006E7A88" w:rsidRDefault="00E7293B">
      <w:pPr>
        <w:pStyle w:val="alphapara"/>
      </w:pPr>
      <w:r>
        <w:lastRenderedPageBreak/>
        <w:t>23.5.3.2</w:t>
      </w:r>
      <w:r>
        <w:tab/>
        <w:t>The market power mitigation measures applicable to Spinning Reserves will be implemented when the ISO’s least-cost dispatch requires that one or more of the Generators or Ag</w:t>
      </w:r>
      <w:r>
        <w:t xml:space="preserve">gregations located in </w:t>
      </w:r>
      <w:smartTag w:uri="urn:schemas-microsoft-com:office:smarttags" w:element="place">
        <w:smartTag w:uri="urn:schemas-microsoft-com:office:smarttags" w:element="City">
          <w:r>
            <w:t>New York City</w:t>
          </w:r>
        </w:smartTag>
      </w:smartTag>
      <w:r>
        <w:t xml:space="preserve"> be committed to meet the In-City Spinning Reserve requirement.  For any day that an In-City Generator or Aggregation is committed to meet the In-City Spinning Reserve requirement under circumstances where the Generator o</w:t>
      </w:r>
      <w:r>
        <w:t>r Aggregation would not otherwise have been committed under the ISO’s least-cost dispatch, the market power mitigation measures applicable to unit commitments, as described in Section 23.5.2, would apply.</w:t>
      </w:r>
    </w:p>
    <w:p w:rsidR="006E7A88" w:rsidRDefault="00E7293B">
      <w:pPr>
        <w:pStyle w:val="Heading3"/>
      </w:pPr>
      <w:bookmarkStart w:id="5" w:name="_Toc261252182"/>
      <w:r>
        <w:t>23.5.4</w:t>
      </w:r>
      <w:r>
        <w:tab/>
        <w:t>FERC-Ordered Measures</w:t>
      </w:r>
      <w:bookmarkEnd w:id="5"/>
    </w:p>
    <w:p w:rsidR="006E7A88" w:rsidRDefault="00E7293B">
      <w:pPr>
        <w:pStyle w:val="Bodypara"/>
      </w:pPr>
      <w:r>
        <w:t>In addition to any mit</w:t>
      </w:r>
      <w:r>
        <w:t>igation measures specified above, the ISO shall administer, and apply when appropriate in accordance with their terms, such other mitigation measures as it may be directed to implement by order of the FERC.</w:t>
      </w:r>
    </w:p>
    <w:p w:rsidR="006E7A88" w:rsidRDefault="00E7293B">
      <w:pPr>
        <w:pStyle w:val="Bodypara"/>
      </w:pPr>
      <w:bookmarkStart w:id="6" w:name="_Toc261252183"/>
      <w:bookmarkEnd w:id="6"/>
    </w:p>
    <w:sectPr w:rsidR="006E7A8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93B">
      <w:r>
        <w:separator/>
      </w:r>
    </w:p>
  </w:endnote>
  <w:endnote w:type="continuationSeparator" w:id="0">
    <w:p w:rsidR="00000000" w:rsidRDefault="00E7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93B">
      <w:r>
        <w:separator/>
      </w:r>
    </w:p>
  </w:footnote>
  <w:footnote w:type="continuationSeparator" w:id="0">
    <w:p w:rsidR="00000000" w:rsidRDefault="00E7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23.5 MST Att H Other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92" w:rsidRDefault="00E7293B">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048B3BA">
      <w:start w:val="1"/>
      <w:numFmt w:val="bullet"/>
      <w:pStyle w:val="Bulletpara"/>
      <w:lvlText w:val=""/>
      <w:lvlJc w:val="left"/>
      <w:pPr>
        <w:tabs>
          <w:tab w:val="num" w:pos="720"/>
        </w:tabs>
        <w:ind w:left="720" w:hanging="360"/>
      </w:pPr>
      <w:rPr>
        <w:rFonts w:ascii="Symbol" w:hAnsi="Symbol" w:hint="default"/>
      </w:rPr>
    </w:lvl>
    <w:lvl w:ilvl="1" w:tplc="91865D08" w:tentative="1">
      <w:start w:val="1"/>
      <w:numFmt w:val="bullet"/>
      <w:lvlText w:val="o"/>
      <w:lvlJc w:val="left"/>
      <w:pPr>
        <w:tabs>
          <w:tab w:val="num" w:pos="1440"/>
        </w:tabs>
        <w:ind w:left="1440" w:hanging="360"/>
      </w:pPr>
      <w:rPr>
        <w:rFonts w:ascii="Courier New" w:hAnsi="Courier New" w:hint="default"/>
      </w:rPr>
    </w:lvl>
    <w:lvl w:ilvl="2" w:tplc="8A92AA00" w:tentative="1">
      <w:start w:val="1"/>
      <w:numFmt w:val="bullet"/>
      <w:lvlText w:val=""/>
      <w:lvlJc w:val="left"/>
      <w:pPr>
        <w:tabs>
          <w:tab w:val="num" w:pos="2160"/>
        </w:tabs>
        <w:ind w:left="2160" w:hanging="360"/>
      </w:pPr>
      <w:rPr>
        <w:rFonts w:ascii="Wingdings" w:hAnsi="Wingdings" w:hint="default"/>
      </w:rPr>
    </w:lvl>
    <w:lvl w:ilvl="3" w:tplc="703E64EE" w:tentative="1">
      <w:start w:val="1"/>
      <w:numFmt w:val="bullet"/>
      <w:lvlText w:val=""/>
      <w:lvlJc w:val="left"/>
      <w:pPr>
        <w:tabs>
          <w:tab w:val="num" w:pos="2880"/>
        </w:tabs>
        <w:ind w:left="2880" w:hanging="360"/>
      </w:pPr>
      <w:rPr>
        <w:rFonts w:ascii="Symbol" w:hAnsi="Symbol" w:hint="default"/>
      </w:rPr>
    </w:lvl>
    <w:lvl w:ilvl="4" w:tplc="9104DC04" w:tentative="1">
      <w:start w:val="1"/>
      <w:numFmt w:val="bullet"/>
      <w:lvlText w:val="o"/>
      <w:lvlJc w:val="left"/>
      <w:pPr>
        <w:tabs>
          <w:tab w:val="num" w:pos="3600"/>
        </w:tabs>
        <w:ind w:left="3600" w:hanging="360"/>
      </w:pPr>
      <w:rPr>
        <w:rFonts w:ascii="Courier New" w:hAnsi="Courier New" w:hint="default"/>
      </w:rPr>
    </w:lvl>
    <w:lvl w:ilvl="5" w:tplc="01821630" w:tentative="1">
      <w:start w:val="1"/>
      <w:numFmt w:val="bullet"/>
      <w:lvlText w:val=""/>
      <w:lvlJc w:val="left"/>
      <w:pPr>
        <w:tabs>
          <w:tab w:val="num" w:pos="4320"/>
        </w:tabs>
        <w:ind w:left="4320" w:hanging="360"/>
      </w:pPr>
      <w:rPr>
        <w:rFonts w:ascii="Wingdings" w:hAnsi="Wingdings" w:hint="default"/>
      </w:rPr>
    </w:lvl>
    <w:lvl w:ilvl="6" w:tplc="8BDCF206" w:tentative="1">
      <w:start w:val="1"/>
      <w:numFmt w:val="bullet"/>
      <w:lvlText w:val=""/>
      <w:lvlJc w:val="left"/>
      <w:pPr>
        <w:tabs>
          <w:tab w:val="num" w:pos="5040"/>
        </w:tabs>
        <w:ind w:left="5040" w:hanging="360"/>
      </w:pPr>
      <w:rPr>
        <w:rFonts w:ascii="Symbol" w:hAnsi="Symbol" w:hint="default"/>
      </w:rPr>
    </w:lvl>
    <w:lvl w:ilvl="7" w:tplc="64244186" w:tentative="1">
      <w:start w:val="1"/>
      <w:numFmt w:val="bullet"/>
      <w:lvlText w:val="o"/>
      <w:lvlJc w:val="left"/>
      <w:pPr>
        <w:tabs>
          <w:tab w:val="num" w:pos="5760"/>
        </w:tabs>
        <w:ind w:left="5760" w:hanging="360"/>
      </w:pPr>
      <w:rPr>
        <w:rFonts w:ascii="Courier New" w:hAnsi="Courier New" w:hint="default"/>
      </w:rPr>
    </w:lvl>
    <w:lvl w:ilvl="8" w:tplc="36A0E8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EBAEF96">
      <w:start w:val="1"/>
      <w:numFmt w:val="lowerRoman"/>
      <w:lvlText w:val="(%1)"/>
      <w:lvlJc w:val="left"/>
      <w:pPr>
        <w:tabs>
          <w:tab w:val="num" w:pos="2448"/>
        </w:tabs>
        <w:ind w:left="2448" w:hanging="648"/>
      </w:pPr>
      <w:rPr>
        <w:rFonts w:cs="Times New Roman" w:hint="default"/>
        <w:b w:val="0"/>
        <w:i w:val="0"/>
        <w:u w:val="none"/>
      </w:rPr>
    </w:lvl>
    <w:lvl w:ilvl="1" w:tplc="16307BC2" w:tentative="1">
      <w:start w:val="1"/>
      <w:numFmt w:val="lowerLetter"/>
      <w:lvlText w:val="%2."/>
      <w:lvlJc w:val="left"/>
      <w:pPr>
        <w:tabs>
          <w:tab w:val="num" w:pos="1440"/>
        </w:tabs>
        <w:ind w:left="1440" w:hanging="360"/>
      </w:pPr>
      <w:rPr>
        <w:rFonts w:cs="Times New Roman"/>
      </w:rPr>
    </w:lvl>
    <w:lvl w:ilvl="2" w:tplc="4724B9FA" w:tentative="1">
      <w:start w:val="1"/>
      <w:numFmt w:val="lowerRoman"/>
      <w:lvlText w:val="%3."/>
      <w:lvlJc w:val="right"/>
      <w:pPr>
        <w:tabs>
          <w:tab w:val="num" w:pos="2160"/>
        </w:tabs>
        <w:ind w:left="2160" w:hanging="180"/>
      </w:pPr>
      <w:rPr>
        <w:rFonts w:cs="Times New Roman"/>
      </w:rPr>
    </w:lvl>
    <w:lvl w:ilvl="3" w:tplc="208E64E2" w:tentative="1">
      <w:start w:val="1"/>
      <w:numFmt w:val="decimal"/>
      <w:lvlText w:val="%4."/>
      <w:lvlJc w:val="left"/>
      <w:pPr>
        <w:tabs>
          <w:tab w:val="num" w:pos="2880"/>
        </w:tabs>
        <w:ind w:left="2880" w:hanging="360"/>
      </w:pPr>
      <w:rPr>
        <w:rFonts w:cs="Times New Roman"/>
      </w:rPr>
    </w:lvl>
    <w:lvl w:ilvl="4" w:tplc="BB30B67C" w:tentative="1">
      <w:start w:val="1"/>
      <w:numFmt w:val="lowerLetter"/>
      <w:lvlText w:val="%5."/>
      <w:lvlJc w:val="left"/>
      <w:pPr>
        <w:tabs>
          <w:tab w:val="num" w:pos="3600"/>
        </w:tabs>
        <w:ind w:left="3600" w:hanging="360"/>
      </w:pPr>
      <w:rPr>
        <w:rFonts w:cs="Times New Roman"/>
      </w:rPr>
    </w:lvl>
    <w:lvl w:ilvl="5" w:tplc="3A4032F6" w:tentative="1">
      <w:start w:val="1"/>
      <w:numFmt w:val="lowerRoman"/>
      <w:lvlText w:val="%6."/>
      <w:lvlJc w:val="right"/>
      <w:pPr>
        <w:tabs>
          <w:tab w:val="num" w:pos="4320"/>
        </w:tabs>
        <w:ind w:left="4320" w:hanging="180"/>
      </w:pPr>
      <w:rPr>
        <w:rFonts w:cs="Times New Roman"/>
      </w:rPr>
    </w:lvl>
    <w:lvl w:ilvl="6" w:tplc="8DFC8EAE" w:tentative="1">
      <w:start w:val="1"/>
      <w:numFmt w:val="decimal"/>
      <w:lvlText w:val="%7."/>
      <w:lvlJc w:val="left"/>
      <w:pPr>
        <w:tabs>
          <w:tab w:val="num" w:pos="5040"/>
        </w:tabs>
        <w:ind w:left="5040" w:hanging="360"/>
      </w:pPr>
      <w:rPr>
        <w:rFonts w:cs="Times New Roman"/>
      </w:rPr>
    </w:lvl>
    <w:lvl w:ilvl="7" w:tplc="309E6B34" w:tentative="1">
      <w:start w:val="1"/>
      <w:numFmt w:val="lowerLetter"/>
      <w:lvlText w:val="%8."/>
      <w:lvlJc w:val="left"/>
      <w:pPr>
        <w:tabs>
          <w:tab w:val="num" w:pos="5760"/>
        </w:tabs>
        <w:ind w:left="5760" w:hanging="360"/>
      </w:pPr>
      <w:rPr>
        <w:rFonts w:cs="Times New Roman"/>
      </w:rPr>
    </w:lvl>
    <w:lvl w:ilvl="8" w:tplc="2E58504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EEA4B1C">
      <w:start w:val="1"/>
      <w:numFmt w:val="decimal"/>
      <w:lvlText w:val="%1."/>
      <w:lvlJc w:val="left"/>
      <w:pPr>
        <w:tabs>
          <w:tab w:val="num" w:pos="720"/>
        </w:tabs>
        <w:ind w:left="720" w:hanging="360"/>
      </w:pPr>
      <w:rPr>
        <w:rFonts w:cs="Times New Roman"/>
      </w:rPr>
    </w:lvl>
    <w:lvl w:ilvl="1" w:tplc="FEDCF694" w:tentative="1">
      <w:start w:val="1"/>
      <w:numFmt w:val="lowerLetter"/>
      <w:lvlText w:val="%2."/>
      <w:lvlJc w:val="left"/>
      <w:pPr>
        <w:tabs>
          <w:tab w:val="num" w:pos="1440"/>
        </w:tabs>
        <w:ind w:left="1440" w:hanging="360"/>
      </w:pPr>
      <w:rPr>
        <w:rFonts w:cs="Times New Roman"/>
      </w:rPr>
    </w:lvl>
    <w:lvl w:ilvl="2" w:tplc="4B5EEDF8" w:tentative="1">
      <w:start w:val="1"/>
      <w:numFmt w:val="lowerRoman"/>
      <w:lvlText w:val="%3."/>
      <w:lvlJc w:val="right"/>
      <w:pPr>
        <w:tabs>
          <w:tab w:val="num" w:pos="2160"/>
        </w:tabs>
        <w:ind w:left="2160" w:hanging="180"/>
      </w:pPr>
      <w:rPr>
        <w:rFonts w:cs="Times New Roman"/>
      </w:rPr>
    </w:lvl>
    <w:lvl w:ilvl="3" w:tplc="090670AA" w:tentative="1">
      <w:start w:val="1"/>
      <w:numFmt w:val="decimal"/>
      <w:lvlText w:val="%4."/>
      <w:lvlJc w:val="left"/>
      <w:pPr>
        <w:tabs>
          <w:tab w:val="num" w:pos="2880"/>
        </w:tabs>
        <w:ind w:left="2880" w:hanging="360"/>
      </w:pPr>
      <w:rPr>
        <w:rFonts w:cs="Times New Roman"/>
      </w:rPr>
    </w:lvl>
    <w:lvl w:ilvl="4" w:tplc="9EA80004" w:tentative="1">
      <w:start w:val="1"/>
      <w:numFmt w:val="lowerLetter"/>
      <w:lvlText w:val="%5."/>
      <w:lvlJc w:val="left"/>
      <w:pPr>
        <w:tabs>
          <w:tab w:val="num" w:pos="3600"/>
        </w:tabs>
        <w:ind w:left="3600" w:hanging="360"/>
      </w:pPr>
      <w:rPr>
        <w:rFonts w:cs="Times New Roman"/>
      </w:rPr>
    </w:lvl>
    <w:lvl w:ilvl="5" w:tplc="F24AA752" w:tentative="1">
      <w:start w:val="1"/>
      <w:numFmt w:val="lowerRoman"/>
      <w:lvlText w:val="%6."/>
      <w:lvlJc w:val="right"/>
      <w:pPr>
        <w:tabs>
          <w:tab w:val="num" w:pos="4320"/>
        </w:tabs>
        <w:ind w:left="4320" w:hanging="180"/>
      </w:pPr>
      <w:rPr>
        <w:rFonts w:cs="Times New Roman"/>
      </w:rPr>
    </w:lvl>
    <w:lvl w:ilvl="6" w:tplc="5F7C92FA" w:tentative="1">
      <w:start w:val="1"/>
      <w:numFmt w:val="decimal"/>
      <w:lvlText w:val="%7."/>
      <w:lvlJc w:val="left"/>
      <w:pPr>
        <w:tabs>
          <w:tab w:val="num" w:pos="5040"/>
        </w:tabs>
        <w:ind w:left="5040" w:hanging="360"/>
      </w:pPr>
      <w:rPr>
        <w:rFonts w:cs="Times New Roman"/>
      </w:rPr>
    </w:lvl>
    <w:lvl w:ilvl="7" w:tplc="E9DC255A" w:tentative="1">
      <w:start w:val="1"/>
      <w:numFmt w:val="lowerLetter"/>
      <w:lvlText w:val="%8."/>
      <w:lvlJc w:val="left"/>
      <w:pPr>
        <w:tabs>
          <w:tab w:val="num" w:pos="5760"/>
        </w:tabs>
        <w:ind w:left="5760" w:hanging="360"/>
      </w:pPr>
      <w:rPr>
        <w:rFonts w:cs="Times New Roman"/>
      </w:rPr>
    </w:lvl>
    <w:lvl w:ilvl="8" w:tplc="7226869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D5E122E">
      <w:start w:val="1"/>
      <w:numFmt w:val="bullet"/>
      <w:lvlText w:val=""/>
      <w:lvlJc w:val="left"/>
      <w:pPr>
        <w:tabs>
          <w:tab w:val="num" w:pos="5760"/>
        </w:tabs>
        <w:ind w:left="5760" w:hanging="360"/>
      </w:pPr>
      <w:rPr>
        <w:rFonts w:ascii="Symbol" w:hAnsi="Symbol" w:hint="default"/>
        <w:color w:val="auto"/>
        <w:u w:val="none"/>
      </w:rPr>
    </w:lvl>
    <w:lvl w:ilvl="1" w:tplc="DD2C72F8" w:tentative="1">
      <w:start w:val="1"/>
      <w:numFmt w:val="bullet"/>
      <w:lvlText w:val="o"/>
      <w:lvlJc w:val="left"/>
      <w:pPr>
        <w:tabs>
          <w:tab w:val="num" w:pos="3600"/>
        </w:tabs>
        <w:ind w:left="3600" w:hanging="360"/>
      </w:pPr>
      <w:rPr>
        <w:rFonts w:ascii="Courier New" w:hAnsi="Courier New" w:hint="default"/>
      </w:rPr>
    </w:lvl>
    <w:lvl w:ilvl="2" w:tplc="011A7E18" w:tentative="1">
      <w:start w:val="1"/>
      <w:numFmt w:val="bullet"/>
      <w:lvlText w:val=""/>
      <w:lvlJc w:val="left"/>
      <w:pPr>
        <w:tabs>
          <w:tab w:val="num" w:pos="4320"/>
        </w:tabs>
        <w:ind w:left="4320" w:hanging="360"/>
      </w:pPr>
      <w:rPr>
        <w:rFonts w:ascii="Wingdings" w:hAnsi="Wingdings" w:hint="default"/>
      </w:rPr>
    </w:lvl>
    <w:lvl w:ilvl="3" w:tplc="F05480C4">
      <w:start w:val="1"/>
      <w:numFmt w:val="bullet"/>
      <w:lvlText w:val=""/>
      <w:lvlJc w:val="left"/>
      <w:pPr>
        <w:tabs>
          <w:tab w:val="num" w:pos="5040"/>
        </w:tabs>
        <w:ind w:left="5040" w:hanging="360"/>
      </w:pPr>
      <w:rPr>
        <w:rFonts w:ascii="Symbol" w:hAnsi="Symbol" w:hint="default"/>
      </w:rPr>
    </w:lvl>
    <w:lvl w:ilvl="4" w:tplc="56A46266" w:tentative="1">
      <w:start w:val="1"/>
      <w:numFmt w:val="bullet"/>
      <w:lvlText w:val="o"/>
      <w:lvlJc w:val="left"/>
      <w:pPr>
        <w:tabs>
          <w:tab w:val="num" w:pos="5760"/>
        </w:tabs>
        <w:ind w:left="5760" w:hanging="360"/>
      </w:pPr>
      <w:rPr>
        <w:rFonts w:ascii="Courier New" w:hAnsi="Courier New" w:hint="default"/>
      </w:rPr>
    </w:lvl>
    <w:lvl w:ilvl="5" w:tplc="584E42E8" w:tentative="1">
      <w:start w:val="1"/>
      <w:numFmt w:val="bullet"/>
      <w:lvlText w:val=""/>
      <w:lvlJc w:val="left"/>
      <w:pPr>
        <w:tabs>
          <w:tab w:val="num" w:pos="6480"/>
        </w:tabs>
        <w:ind w:left="6480" w:hanging="360"/>
      </w:pPr>
      <w:rPr>
        <w:rFonts w:ascii="Wingdings" w:hAnsi="Wingdings" w:hint="default"/>
      </w:rPr>
    </w:lvl>
    <w:lvl w:ilvl="6" w:tplc="24EA75AC" w:tentative="1">
      <w:start w:val="1"/>
      <w:numFmt w:val="bullet"/>
      <w:lvlText w:val=""/>
      <w:lvlJc w:val="left"/>
      <w:pPr>
        <w:tabs>
          <w:tab w:val="num" w:pos="7200"/>
        </w:tabs>
        <w:ind w:left="7200" w:hanging="360"/>
      </w:pPr>
      <w:rPr>
        <w:rFonts w:ascii="Symbol" w:hAnsi="Symbol" w:hint="default"/>
      </w:rPr>
    </w:lvl>
    <w:lvl w:ilvl="7" w:tplc="E7A09F0C" w:tentative="1">
      <w:start w:val="1"/>
      <w:numFmt w:val="bullet"/>
      <w:lvlText w:val="o"/>
      <w:lvlJc w:val="left"/>
      <w:pPr>
        <w:tabs>
          <w:tab w:val="num" w:pos="7920"/>
        </w:tabs>
        <w:ind w:left="7920" w:hanging="360"/>
      </w:pPr>
      <w:rPr>
        <w:rFonts w:ascii="Courier New" w:hAnsi="Courier New" w:hint="default"/>
      </w:rPr>
    </w:lvl>
    <w:lvl w:ilvl="8" w:tplc="FC28238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DBC7E12">
      <w:start w:val="1"/>
      <w:numFmt w:val="decimal"/>
      <w:lvlText w:val="(%1)"/>
      <w:lvlJc w:val="left"/>
      <w:pPr>
        <w:tabs>
          <w:tab w:val="num" w:pos="2520"/>
        </w:tabs>
        <w:ind w:left="2520" w:hanging="720"/>
      </w:pPr>
      <w:rPr>
        <w:rFonts w:cs="Times New Roman" w:hint="default"/>
      </w:rPr>
    </w:lvl>
    <w:lvl w:ilvl="1" w:tplc="E19A74EA">
      <w:start w:val="1"/>
      <w:numFmt w:val="lowerRoman"/>
      <w:lvlText w:val="(%2)"/>
      <w:lvlJc w:val="left"/>
      <w:pPr>
        <w:tabs>
          <w:tab w:val="num" w:pos="1800"/>
        </w:tabs>
        <w:ind w:left="1800" w:hanging="720"/>
      </w:pPr>
      <w:rPr>
        <w:rFonts w:cs="Times New Roman" w:hint="default"/>
        <w:b w:val="0"/>
      </w:rPr>
    </w:lvl>
    <w:lvl w:ilvl="2" w:tplc="A2A2CF22">
      <w:start w:val="1"/>
      <w:numFmt w:val="decimal"/>
      <w:lvlText w:val="(%3)"/>
      <w:lvlJc w:val="right"/>
      <w:pPr>
        <w:tabs>
          <w:tab w:val="num" w:pos="2160"/>
        </w:tabs>
        <w:ind w:left="2160" w:hanging="180"/>
      </w:pPr>
      <w:rPr>
        <w:rFonts w:ascii="Times New Roman" w:eastAsia="Times New Roman" w:hAnsi="Times New Roman" w:cs="Times New Roman"/>
        <w:b w:val="0"/>
      </w:rPr>
    </w:lvl>
    <w:lvl w:ilvl="3" w:tplc="E228A136">
      <w:start w:val="1"/>
      <w:numFmt w:val="lowerRoman"/>
      <w:lvlText w:val="(%4)"/>
      <w:lvlJc w:val="left"/>
      <w:pPr>
        <w:tabs>
          <w:tab w:val="num" w:pos="2520"/>
        </w:tabs>
        <w:ind w:left="2880" w:hanging="360"/>
      </w:pPr>
      <w:rPr>
        <w:rFonts w:cs="Times New Roman" w:hint="default"/>
        <w:b w:val="0"/>
      </w:rPr>
    </w:lvl>
    <w:lvl w:ilvl="4" w:tplc="21CE25C0" w:tentative="1">
      <w:start w:val="1"/>
      <w:numFmt w:val="lowerLetter"/>
      <w:lvlText w:val="%5."/>
      <w:lvlJc w:val="left"/>
      <w:pPr>
        <w:tabs>
          <w:tab w:val="num" w:pos="3600"/>
        </w:tabs>
        <w:ind w:left="3600" w:hanging="360"/>
      </w:pPr>
      <w:rPr>
        <w:rFonts w:cs="Times New Roman"/>
      </w:rPr>
    </w:lvl>
    <w:lvl w:ilvl="5" w:tplc="B95C7900" w:tentative="1">
      <w:start w:val="1"/>
      <w:numFmt w:val="lowerRoman"/>
      <w:lvlText w:val="%6."/>
      <w:lvlJc w:val="right"/>
      <w:pPr>
        <w:tabs>
          <w:tab w:val="num" w:pos="4320"/>
        </w:tabs>
        <w:ind w:left="4320" w:hanging="180"/>
      </w:pPr>
      <w:rPr>
        <w:rFonts w:cs="Times New Roman"/>
      </w:rPr>
    </w:lvl>
    <w:lvl w:ilvl="6" w:tplc="5CFCB3A4" w:tentative="1">
      <w:start w:val="1"/>
      <w:numFmt w:val="decimal"/>
      <w:lvlText w:val="%7."/>
      <w:lvlJc w:val="left"/>
      <w:pPr>
        <w:tabs>
          <w:tab w:val="num" w:pos="5040"/>
        </w:tabs>
        <w:ind w:left="5040" w:hanging="360"/>
      </w:pPr>
      <w:rPr>
        <w:rFonts w:cs="Times New Roman"/>
      </w:rPr>
    </w:lvl>
    <w:lvl w:ilvl="7" w:tplc="3A6A3DA4" w:tentative="1">
      <w:start w:val="1"/>
      <w:numFmt w:val="lowerLetter"/>
      <w:lvlText w:val="%8."/>
      <w:lvlJc w:val="left"/>
      <w:pPr>
        <w:tabs>
          <w:tab w:val="num" w:pos="5760"/>
        </w:tabs>
        <w:ind w:left="5760" w:hanging="360"/>
      </w:pPr>
      <w:rPr>
        <w:rFonts w:cs="Times New Roman"/>
      </w:rPr>
    </w:lvl>
    <w:lvl w:ilvl="8" w:tplc="0AC6CAB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826592"/>
    <w:rsid w:val="00826592"/>
    <w:rsid w:val="00E729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uiPriority w:val="99"/>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semiHidden/>
    <w:rPr>
      <w:spacing w:val="0"/>
      <w:sz w:val="16"/>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link w:val="Bodypara"/>
    <w:uiPriority w:val="99"/>
    <w:rPr>
      <w:sz w:val="24"/>
      <w:szCs w:val="24"/>
    </w:rPr>
  </w:style>
  <w:style w:type="character" w:customStyle="1" w:styleId="alphaparaChar">
    <w:name w:val="alpha para Char"/>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link w:val="romannumeralpara"/>
    <w:uiPriority w:val="99"/>
    <w:rPr>
      <w:sz w:val="24"/>
      <w:szCs w:val="24"/>
    </w:rPr>
  </w:style>
  <w:style w:type="character" w:customStyle="1" w:styleId="romannumeraldefinitionChar">
    <w:name w:val="roman numeral definition Char"/>
    <w:link w:val="romannumeraldefinition"/>
    <w:rPr>
      <w:bCs/>
      <w:sz w:val="24"/>
      <w:szCs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uiPriority w:val="99"/>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semiHidden/>
    <w:rPr>
      <w:spacing w:val="0"/>
      <w:sz w:val="16"/>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link w:val="Bodypara"/>
    <w:uiPriority w:val="99"/>
    <w:rPr>
      <w:sz w:val="24"/>
      <w:szCs w:val="24"/>
    </w:rPr>
  </w:style>
  <w:style w:type="character" w:customStyle="1" w:styleId="alphaparaChar">
    <w:name w:val="alpha para Char"/>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link w:val="romannumeralpara"/>
    <w:uiPriority w:val="99"/>
    <w:rPr>
      <w:sz w:val="24"/>
      <w:szCs w:val="24"/>
    </w:rPr>
  </w:style>
  <w:style w:type="character" w:customStyle="1" w:styleId="romannumeraldefinitionChar">
    <w:name w:val="roman numeral definition Char"/>
    <w:link w:val="romannumeraldefinition"/>
    <w:rPr>
      <w:bCs/>
      <w:sz w:val="24"/>
      <w:szCs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0D05-811F-4EBA-8C6B-B2EEE12F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f6770ad4-c0cb-422b-8229-5f9f3cffd789</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2023-10-10T19:45:29Z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1123769762</vt:i4>
  </property>
  <property fmtid="{D5CDD505-2E9C-101B-9397-08002B2CF9AE}" pid="13" name="_NewReviewCycle">
    <vt:lpwstr/>
  </property>
  <property fmtid="{D5CDD505-2E9C-101B-9397-08002B2CF9AE}" pid="14" name="_PreviousAdHocReviewCycleID">
    <vt:i4>572952301</vt:i4>
  </property>
  <property fmtid="{D5CDD505-2E9C-101B-9397-08002B2CF9AE}" pid="15" name="_ReviewingToolsShownOnce">
    <vt:lpwstr/>
  </property>
</Properties>
</file>