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B25B46">
      <w:pPr>
        <w:pStyle w:val="Heading2"/>
        <w:pageBreakBefore w:val="0"/>
      </w:pPr>
      <w:bookmarkStart w:id="0" w:name="_Toc261445997"/>
      <w:bookmarkStart w:id="1" w:name="_GoBack"/>
      <w:bookmarkEnd w:id="1"/>
      <w:r>
        <w:t>2.5</w:t>
      </w:r>
      <w:r>
        <w:tab/>
        <w:t>Definitions - E</w:t>
      </w:r>
      <w:bookmarkEnd w:id="0"/>
    </w:p>
    <w:p w:rsidR="00BD4BAF" w:rsidRDefault="00B25B46">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B25B46">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B25B46">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B25B46">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B25B46">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B25B46">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B25B46">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B25B46">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B25B46">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B25B46">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B25B46"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B25B46">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B25B46">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B25B46">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w:t>
      </w:r>
      <w:r w:rsidRPr="008F46AB">
        <w:t>et as an Energy Limited Resource, are not subject to the rules applicable to Energy Storage Resources</w:t>
      </w:r>
      <w:r>
        <w:t>.</w:t>
      </w:r>
    </w:p>
    <w:p w:rsidR="00686AA1" w:rsidRDefault="00B25B46">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  Energy Storage Resources are Withdrawal-Eligible Generators.</w:t>
      </w:r>
    </w:p>
    <w:p w:rsidR="00BD4BAF" w:rsidRDefault="00B25B46">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w:t>
      </w:r>
      <w:r>
        <w:t>lable due to forced outages.</w:t>
      </w:r>
    </w:p>
    <w:p w:rsidR="00BD4BAF" w:rsidRDefault="00B25B46">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w:t>
      </w:r>
      <w:r>
        <w:lastRenderedPageBreak/>
        <w:t>ISO’s determination of an amount of Unsec</w:t>
      </w:r>
      <w:r>
        <w:t>ured Credit to be granted to the Customer, if any, as provided in Table K-1 of Attachment K to this Services Tariff.</w:t>
      </w:r>
    </w:p>
    <w:p w:rsidR="00BD4BAF" w:rsidRDefault="00B25B46">
      <w:pPr>
        <w:pStyle w:val="Definition"/>
        <w:rPr>
          <w:bCs/>
        </w:rPr>
      </w:pPr>
      <w:r>
        <w:rPr>
          <w:b/>
          <w:bCs/>
        </w:rPr>
        <w:t xml:space="preserve">ETA Agent: </w:t>
      </w:r>
      <w:r>
        <w:rPr>
          <w:snapToGrid w:val="0"/>
        </w:rPr>
        <w:t>As defined in the ISO OATT</w:t>
      </w:r>
      <w:r>
        <w:rPr>
          <w:bCs/>
        </w:rPr>
        <w:t>.</w:t>
      </w:r>
    </w:p>
    <w:p w:rsidR="00BD4BAF" w:rsidRDefault="00B25B46">
      <w:pPr>
        <w:pStyle w:val="Definition"/>
      </w:pPr>
      <w:r>
        <w:rPr>
          <w:b/>
          <w:bCs/>
        </w:rPr>
        <w:t>ETCNL TCC:</w:t>
      </w:r>
      <w:r>
        <w:t xml:space="preserve"> </w:t>
      </w:r>
      <w:r>
        <w:rPr>
          <w:snapToGrid w:val="0"/>
        </w:rPr>
        <w:t>As defined in the ISO OATT</w:t>
      </w:r>
      <w:r>
        <w:t>.</w:t>
      </w:r>
    </w:p>
    <w:p w:rsidR="00BD4BAF" w:rsidRDefault="00B25B46">
      <w:pPr>
        <w:pStyle w:val="Definition"/>
        <w:rPr>
          <w:iCs/>
        </w:rPr>
      </w:pPr>
      <w:r>
        <w:rPr>
          <w:b/>
          <w:bCs/>
          <w:iCs/>
        </w:rPr>
        <w:t xml:space="preserve">Excess Amount: </w:t>
      </w:r>
      <w:r>
        <w:rPr>
          <w:iCs/>
        </w:rPr>
        <w:t>The difference, if any, between the dollar amo</w:t>
      </w:r>
      <w:r>
        <w:rPr>
          <w:iCs/>
        </w:rPr>
        <w:t>unts charged to purchasers of Unforced Capacity in an ISO–administered Unforced Capacity auction and the dollar amounts paid to sellers of Unforced Capacity in that ISO–administered Installed Capacity auction.</w:t>
      </w:r>
    </w:p>
    <w:p w:rsidR="00BD4BAF" w:rsidRDefault="00B25B46">
      <w:pPr>
        <w:pStyle w:val="Definition"/>
      </w:pPr>
      <w:r>
        <w:rPr>
          <w:b/>
          <w:bCs/>
        </w:rPr>
        <w:t xml:space="preserve">Excess Congestion Rents: </w:t>
      </w:r>
      <w:r>
        <w:rPr>
          <w:snapToGrid w:val="0"/>
        </w:rPr>
        <w:t>As defined in the ISO</w:t>
      </w:r>
      <w:r>
        <w:rPr>
          <w:snapToGrid w:val="0"/>
        </w:rPr>
        <w:t xml:space="preserve"> OATT</w:t>
      </w:r>
      <w:r>
        <w:t>.</w:t>
      </w:r>
    </w:p>
    <w:p w:rsidR="00BD4BAF" w:rsidRDefault="00B25B46">
      <w:pPr>
        <w:pStyle w:val="Definition"/>
      </w:pPr>
      <w:r>
        <w:rPr>
          <w:b/>
        </w:rPr>
        <w:t xml:space="preserve">Existing Transmission Capacity for Native Load ("ETCNL"): </w:t>
      </w:r>
      <w:r>
        <w:rPr>
          <w:snapToGrid w:val="0"/>
        </w:rPr>
        <w:t>As defined in the ISO OATT</w:t>
      </w:r>
      <w:r>
        <w:t>.</w:t>
      </w:r>
    </w:p>
    <w:p w:rsidR="00DE48FD" w:rsidRDefault="00B25B46">
      <w:pPr>
        <w:pStyle w:val="Definition"/>
      </w:pPr>
      <w:r>
        <w:rPr>
          <w:b/>
          <w:bCs/>
        </w:rPr>
        <w:t>Existing Transmission Agreement (“ETA”)</w:t>
      </w:r>
      <w:r>
        <w:t xml:space="preserve">: </w:t>
      </w:r>
      <w:r>
        <w:rPr>
          <w:snapToGrid w:val="0"/>
        </w:rPr>
        <w:t>As defined in the ISO OATT</w:t>
      </w:r>
      <w:r>
        <w:t>.</w:t>
      </w:r>
    </w:p>
    <w:p w:rsidR="001754CE" w:rsidRDefault="00B25B46">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w:t>
      </w:r>
      <w:r w:rsidRPr="00B95B91">
        <w:t>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w:t>
      </w:r>
      <w:r w:rsidRPr="00B95B91">
        <w:t>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w:t>
      </w:r>
      <w:r w:rsidRPr="00B95B91">
        <w:t xml:space="preserve">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w:t>
      </w:r>
      <w:r w:rsidRPr="00B95B91">
        <w:t>d voluntary</w:t>
      </w:r>
      <w:r>
        <w:t>.</w:t>
      </w:r>
      <w:r>
        <w:t xml:space="preserve"> </w:t>
      </w:r>
    </w:p>
    <w:p w:rsidR="00BD4BAF" w:rsidRDefault="00B25B46">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B25B46">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B25B46">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B25B46"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B25B46">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B25B46"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B25B46" w:rsidP="00BD4BAF">
      <w:pPr>
        <w:pStyle w:val="Definition"/>
      </w:pPr>
      <w:r>
        <w:rPr>
          <w:b/>
        </w:rPr>
        <w:t>External Transaction Component</w:t>
      </w:r>
      <w:r>
        <w:t>:  A component of the Operating Requirement, calculated in accordance with Section 26.4.2 of Attachment K to this Services Tariff.</w:t>
      </w:r>
    </w:p>
    <w:p w:rsidR="00BD4BAF" w:rsidRDefault="00B25B46">
      <w:pPr>
        <w:pStyle w:val="Definition"/>
      </w:pPr>
      <w:r>
        <w:rPr>
          <w:b/>
          <w:bCs/>
        </w:rPr>
        <w:t>External Transactions</w:t>
      </w:r>
      <w:r>
        <w:t xml:space="preserve">: Purchases, sales or exchanges of Energy, Capacity or </w:t>
      </w:r>
      <w:r>
        <w:t xml:space="preserve">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rsidRDefault="00B25B46">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B46">
      <w:r>
        <w:separator/>
      </w:r>
    </w:p>
  </w:endnote>
  <w:endnote w:type="continuationSeparator" w:id="0">
    <w:p w:rsidR="00000000" w:rsidRDefault="00B2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59" w:rsidRDefault="00B25B46">
    <w:pPr>
      <w:jc w:val="right"/>
    </w:pPr>
    <w:r>
      <w:rPr>
        <w:rFonts w:ascii="Arial" w:eastAsia="Arial" w:hAnsi="Arial" w:cs="Arial"/>
        <w:color w:val="000000"/>
        <w:sz w:val="16"/>
      </w:rPr>
      <w:t>Effe</w:t>
    </w:r>
    <w:r>
      <w:rPr>
        <w:rFonts w:ascii="Arial" w:eastAsia="Arial" w:hAnsi="Arial" w:cs="Arial"/>
        <w:color w:val="000000"/>
        <w:sz w:val="16"/>
      </w:rPr>
      <w:t xml:space="preserv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59" w:rsidRDefault="00B25B4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59" w:rsidRDefault="00B25B4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B46">
      <w:r>
        <w:separator/>
      </w:r>
    </w:p>
  </w:footnote>
  <w:footnote w:type="continuationSeparator" w:id="0">
    <w:p w:rsidR="00000000" w:rsidRDefault="00B2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59" w:rsidRDefault="00B25B46">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59" w:rsidRDefault="00B25B46">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59" w:rsidRDefault="00B25B46">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938146E">
      <w:start w:val="1"/>
      <w:numFmt w:val="bullet"/>
      <w:pStyle w:val="Bulletpara"/>
      <w:lvlText w:val=""/>
      <w:lvlJc w:val="left"/>
      <w:pPr>
        <w:tabs>
          <w:tab w:val="num" w:pos="720"/>
        </w:tabs>
        <w:ind w:left="720" w:hanging="360"/>
      </w:pPr>
      <w:rPr>
        <w:rFonts w:ascii="Symbol" w:hAnsi="Symbol" w:hint="default"/>
      </w:rPr>
    </w:lvl>
    <w:lvl w:ilvl="1" w:tplc="3B84B980" w:tentative="1">
      <w:start w:val="1"/>
      <w:numFmt w:val="bullet"/>
      <w:lvlText w:val="o"/>
      <w:lvlJc w:val="left"/>
      <w:pPr>
        <w:tabs>
          <w:tab w:val="num" w:pos="1440"/>
        </w:tabs>
        <w:ind w:left="1440" w:hanging="360"/>
      </w:pPr>
      <w:rPr>
        <w:rFonts w:ascii="Courier New" w:hAnsi="Courier New" w:hint="default"/>
      </w:rPr>
    </w:lvl>
    <w:lvl w:ilvl="2" w:tplc="06867C7E" w:tentative="1">
      <w:start w:val="1"/>
      <w:numFmt w:val="bullet"/>
      <w:lvlText w:val=""/>
      <w:lvlJc w:val="left"/>
      <w:pPr>
        <w:tabs>
          <w:tab w:val="num" w:pos="2160"/>
        </w:tabs>
        <w:ind w:left="2160" w:hanging="360"/>
      </w:pPr>
      <w:rPr>
        <w:rFonts w:ascii="Wingdings" w:hAnsi="Wingdings" w:hint="default"/>
      </w:rPr>
    </w:lvl>
    <w:lvl w:ilvl="3" w:tplc="768A2E0E" w:tentative="1">
      <w:start w:val="1"/>
      <w:numFmt w:val="bullet"/>
      <w:lvlText w:val=""/>
      <w:lvlJc w:val="left"/>
      <w:pPr>
        <w:tabs>
          <w:tab w:val="num" w:pos="2880"/>
        </w:tabs>
        <w:ind w:left="2880" w:hanging="360"/>
      </w:pPr>
      <w:rPr>
        <w:rFonts w:ascii="Symbol" w:hAnsi="Symbol" w:hint="default"/>
      </w:rPr>
    </w:lvl>
    <w:lvl w:ilvl="4" w:tplc="36BAF9A2" w:tentative="1">
      <w:start w:val="1"/>
      <w:numFmt w:val="bullet"/>
      <w:lvlText w:val="o"/>
      <w:lvlJc w:val="left"/>
      <w:pPr>
        <w:tabs>
          <w:tab w:val="num" w:pos="3600"/>
        </w:tabs>
        <w:ind w:left="3600" w:hanging="360"/>
      </w:pPr>
      <w:rPr>
        <w:rFonts w:ascii="Courier New" w:hAnsi="Courier New" w:hint="default"/>
      </w:rPr>
    </w:lvl>
    <w:lvl w:ilvl="5" w:tplc="653A003E" w:tentative="1">
      <w:start w:val="1"/>
      <w:numFmt w:val="bullet"/>
      <w:lvlText w:val=""/>
      <w:lvlJc w:val="left"/>
      <w:pPr>
        <w:tabs>
          <w:tab w:val="num" w:pos="4320"/>
        </w:tabs>
        <w:ind w:left="4320" w:hanging="360"/>
      </w:pPr>
      <w:rPr>
        <w:rFonts w:ascii="Wingdings" w:hAnsi="Wingdings" w:hint="default"/>
      </w:rPr>
    </w:lvl>
    <w:lvl w:ilvl="6" w:tplc="CA5A7270" w:tentative="1">
      <w:start w:val="1"/>
      <w:numFmt w:val="bullet"/>
      <w:lvlText w:val=""/>
      <w:lvlJc w:val="left"/>
      <w:pPr>
        <w:tabs>
          <w:tab w:val="num" w:pos="5040"/>
        </w:tabs>
        <w:ind w:left="5040" w:hanging="360"/>
      </w:pPr>
      <w:rPr>
        <w:rFonts w:ascii="Symbol" w:hAnsi="Symbol" w:hint="default"/>
      </w:rPr>
    </w:lvl>
    <w:lvl w:ilvl="7" w:tplc="C20CC010" w:tentative="1">
      <w:start w:val="1"/>
      <w:numFmt w:val="bullet"/>
      <w:lvlText w:val="o"/>
      <w:lvlJc w:val="left"/>
      <w:pPr>
        <w:tabs>
          <w:tab w:val="num" w:pos="5760"/>
        </w:tabs>
        <w:ind w:left="5760" w:hanging="360"/>
      </w:pPr>
      <w:rPr>
        <w:rFonts w:ascii="Courier New" w:hAnsi="Courier New" w:hint="default"/>
      </w:rPr>
    </w:lvl>
    <w:lvl w:ilvl="8" w:tplc="B98CC37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59"/>
    <w:rsid w:val="007D7959"/>
    <w:rsid w:val="00B25B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8e16f801-84e5-4284-836d-d6b38e2f56e0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2023-10-06T17:17:18Z</vt:lpwstr>
  </property>
  <property fmtid="{D5CDD505-2E9C-101B-9397-08002B2CF9AE}" pid="8" name="MSIP_Label_a5049dce-8671-4c79-90d7-f6ec79470f4e_SiteId">
    <vt:lpwstr>7658602a-f7b9-4209-bc62-d2bfc30dea0d</vt:lpwstr>
  </property>
  <property fmtid="{D5CDD505-2E9C-101B-9397-08002B2CF9AE}" pid="9" name="_AdHocReviewCycleID">
    <vt:i4>1241863458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Effective Date Filing Docs</vt:lpwstr>
  </property>
  <property fmtid="{D5CDD505-2E9C-101B-9397-08002B2CF9AE}" pid="13" name="_NewReviewCycle">
    <vt:lpwstr/>
  </property>
  <property fmtid="{D5CDD505-2E9C-101B-9397-08002B2CF9AE}" pid="14" name="_PreviousAdHocReviewCycleID">
    <vt:i4>-1533141971</vt:i4>
  </property>
  <property fmtid="{D5CDD505-2E9C-101B-9397-08002B2CF9AE}" pid="15" name="_ReviewingToolsShownOnce">
    <vt:lpwstr/>
  </property>
</Properties>
</file>