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2E7" w:rsidRPr="00553946" w:rsidRDefault="000A7D2B">
      <w:pPr>
        <w:pStyle w:val="Heading2"/>
        <w:rPr>
          <w:szCs w:val="24"/>
        </w:rPr>
      </w:pPr>
      <w:bookmarkStart w:id="0" w:name="_Toc261445994"/>
      <w:bookmarkStart w:id="1" w:name="_GoBack"/>
      <w:bookmarkEnd w:id="1"/>
      <w:r w:rsidRPr="00553946">
        <w:rPr>
          <w:szCs w:val="24"/>
        </w:rPr>
        <w:t>2.2</w:t>
      </w:r>
      <w:r w:rsidRPr="00553946">
        <w:rPr>
          <w:szCs w:val="24"/>
        </w:rPr>
        <w:tab/>
        <w:t>Definitions - B</w:t>
      </w:r>
      <w:bookmarkEnd w:id="0"/>
    </w:p>
    <w:p w:rsidR="00D442E7" w:rsidRPr="00553946" w:rsidRDefault="000A7D2B">
      <w:pPr>
        <w:pStyle w:val="Definition"/>
        <w:rPr>
          <w:bCs/>
          <w:szCs w:val="24"/>
        </w:rPr>
      </w:pPr>
      <w:r w:rsidRPr="00553946">
        <w:rPr>
          <w:b/>
          <w:bCs/>
          <w:szCs w:val="24"/>
        </w:rPr>
        <w:t>Back</w:t>
      </w:r>
      <w:r w:rsidRPr="00553946">
        <w:rPr>
          <w:b/>
          <w:bCs/>
          <w:szCs w:val="24"/>
        </w:rPr>
        <w:noBreakHyphen/>
        <w:t xml:space="preserve">Up Operation: </w:t>
      </w:r>
      <w:r w:rsidRPr="00553946">
        <w:rPr>
          <w:bCs/>
          <w:szCs w:val="24"/>
        </w:rPr>
        <w:t xml:space="preserve">The </w:t>
      </w:r>
      <w:r w:rsidRPr="00553946">
        <w:rPr>
          <w:szCs w:val="24"/>
        </w:rPr>
        <w:t>procedures</w:t>
      </w:r>
      <w:r w:rsidRPr="00553946">
        <w:rPr>
          <w:bCs/>
          <w:szCs w:val="24"/>
        </w:rPr>
        <w:t xml:space="preserve"> for operating the NYCA in a safe and reliable manner when the ISO’s normal communication or </w:t>
      </w:r>
      <w:r w:rsidRPr="00553946">
        <w:rPr>
          <w:szCs w:val="24"/>
        </w:rPr>
        <w:t>computer</w:t>
      </w:r>
      <w:r w:rsidRPr="00553946">
        <w:rPr>
          <w:bCs/>
          <w:szCs w:val="24"/>
        </w:rPr>
        <w:t xml:space="preserve"> systems are not fully functional as set forth in Section 5.3 of this ISO Services Tariff and Article 2.12 of the ISO OATT.</w:t>
      </w:r>
    </w:p>
    <w:p w:rsidR="00E226AC" w:rsidRPr="00553946" w:rsidRDefault="000A7D2B">
      <w:pPr>
        <w:pStyle w:val="Definition"/>
        <w:rPr>
          <w:bCs/>
          <w:szCs w:val="24"/>
        </w:rPr>
      </w:pPr>
      <w:r w:rsidRPr="00553946">
        <w:rPr>
          <w:b/>
          <w:bCs/>
          <w:szCs w:val="24"/>
        </w:rPr>
        <w:t>Balance-of-Period Auction:</w:t>
      </w:r>
      <w:r w:rsidRPr="00553946">
        <w:rPr>
          <w:bCs/>
          <w:szCs w:val="24"/>
        </w:rPr>
        <w:t xml:space="preserve"> As defined in the ISO OATT.</w:t>
      </w:r>
    </w:p>
    <w:p w:rsidR="00D442E7" w:rsidRPr="00553946" w:rsidRDefault="000A7D2B">
      <w:pPr>
        <w:pStyle w:val="Definition"/>
        <w:rPr>
          <w:szCs w:val="24"/>
        </w:rPr>
      </w:pPr>
      <w:r w:rsidRPr="00553946">
        <w:rPr>
          <w:b/>
          <w:bCs/>
          <w:szCs w:val="24"/>
        </w:rPr>
        <w:t xml:space="preserve">Base Point Signals: </w:t>
      </w:r>
      <w:r w:rsidRPr="00553946">
        <w:rPr>
          <w:szCs w:val="24"/>
        </w:rPr>
        <w:t>Electronic signals sent from the ISO and ultimately recei</w:t>
      </w:r>
      <w:r w:rsidRPr="00553946">
        <w:rPr>
          <w:szCs w:val="24"/>
        </w:rPr>
        <w:t>ved by Generators or Demand Side Resources</w:t>
      </w:r>
      <w:r w:rsidRPr="00EC6CEE">
        <w:rPr>
          <w:szCs w:val="24"/>
        </w:rPr>
        <w:t>/Aggregations</w:t>
      </w:r>
      <w:r w:rsidRPr="00553946">
        <w:rPr>
          <w:szCs w:val="24"/>
        </w:rPr>
        <w:t xml:space="preserve"> specifying the scheduled MW </w:t>
      </w:r>
      <w:r w:rsidRPr="00553946">
        <w:rPr>
          <w:szCs w:val="24"/>
        </w:rPr>
        <w:t xml:space="preserve">setpoint </w:t>
      </w:r>
      <w:r w:rsidRPr="00553946">
        <w:rPr>
          <w:szCs w:val="24"/>
        </w:rPr>
        <w:t>for the Generator</w:t>
      </w:r>
      <w:r w:rsidRPr="00553946">
        <w:rPr>
          <w:szCs w:val="24"/>
        </w:rPr>
        <w:t xml:space="preserve"> or Aggregation</w:t>
      </w:r>
      <w:r w:rsidRPr="00553946">
        <w:rPr>
          <w:szCs w:val="24"/>
        </w:rPr>
        <w:t xml:space="preserve">.  </w:t>
      </w:r>
      <w:r w:rsidRPr="00553946">
        <w:rPr>
          <w:iCs/>
          <w:szCs w:val="24"/>
        </w:rPr>
        <w:t>Real-Time</w:t>
      </w:r>
      <w:r w:rsidRPr="00553946">
        <w:rPr>
          <w:i/>
          <w:iCs/>
          <w:szCs w:val="24"/>
        </w:rPr>
        <w:t xml:space="preserve"> </w:t>
      </w:r>
      <w:r w:rsidRPr="00553946">
        <w:rPr>
          <w:szCs w:val="24"/>
        </w:rPr>
        <w:t>Dispatch (“</w:t>
      </w:r>
      <w:r w:rsidRPr="00553946">
        <w:rPr>
          <w:iCs/>
          <w:szCs w:val="24"/>
        </w:rPr>
        <w:t>RTD</w:t>
      </w:r>
      <w:r w:rsidRPr="00553946">
        <w:rPr>
          <w:szCs w:val="24"/>
        </w:rPr>
        <w:t>”) Base Point Signals are typically sent to Generators or Demand Side Resources</w:t>
      </w:r>
      <w:r w:rsidRPr="00553946">
        <w:rPr>
          <w:szCs w:val="24"/>
        </w:rPr>
        <w:t>/Aggregations</w:t>
      </w:r>
      <w:r w:rsidRPr="00553946">
        <w:rPr>
          <w:szCs w:val="24"/>
        </w:rPr>
        <w:t xml:space="preserve"> on a nomina</w:t>
      </w:r>
      <w:r w:rsidRPr="00553946">
        <w:rPr>
          <w:szCs w:val="24"/>
        </w:rPr>
        <w:t>l five (5) minute basis.  AGC Base Point Signals are typically sent to Generators or Demand Side Resources</w:t>
      </w:r>
      <w:r w:rsidRPr="00553946">
        <w:rPr>
          <w:szCs w:val="24"/>
        </w:rPr>
        <w:t>/Aggregations</w:t>
      </w:r>
      <w:r w:rsidRPr="00553946">
        <w:rPr>
          <w:szCs w:val="24"/>
        </w:rPr>
        <w:t xml:space="preserve"> on a nominal six (6) second basis.</w:t>
      </w:r>
    </w:p>
    <w:p w:rsidR="00D442E7" w:rsidRPr="00553946" w:rsidRDefault="000A7D2B">
      <w:pPr>
        <w:pStyle w:val="Definition"/>
        <w:rPr>
          <w:szCs w:val="24"/>
        </w:rPr>
      </w:pPr>
      <w:r w:rsidRPr="00553946">
        <w:rPr>
          <w:b/>
          <w:bCs/>
          <w:szCs w:val="24"/>
        </w:rPr>
        <w:t xml:space="preserve">Basis Amount: </w:t>
      </w:r>
      <w:r w:rsidRPr="00553946">
        <w:rPr>
          <w:szCs w:val="24"/>
        </w:rPr>
        <w:t>The amount owed to the ISO for purchases of Energy and Ancillary Services</w:t>
      </w:r>
      <w:r w:rsidRPr="00553946">
        <w:rPr>
          <w:szCs w:val="24"/>
        </w:rPr>
        <w:t xml:space="preserve"> </w:t>
      </w:r>
      <w:r w:rsidRPr="00553946">
        <w:rPr>
          <w:szCs w:val="24"/>
        </w:rPr>
        <w:t>excluding Ext</w:t>
      </w:r>
      <w:r w:rsidRPr="00553946">
        <w:rPr>
          <w:szCs w:val="24"/>
        </w:rPr>
        <w:t>ernal Transactions in the Basis Month, after applying the Price Adjustment, as further adjusted by the ISO to reflect material changes in the extent of the Customer’s participation in the ISO-administered Energy and Ancillary Services markets.</w:t>
      </w:r>
    </w:p>
    <w:p w:rsidR="00D442E7" w:rsidRPr="00553946" w:rsidRDefault="000A7D2B">
      <w:pPr>
        <w:pStyle w:val="Definition"/>
        <w:rPr>
          <w:szCs w:val="24"/>
        </w:rPr>
      </w:pPr>
      <w:r w:rsidRPr="00553946">
        <w:rPr>
          <w:b/>
          <w:bCs/>
          <w:szCs w:val="24"/>
        </w:rPr>
        <w:t>Basis Month:</w:t>
      </w:r>
      <w:r w:rsidRPr="00553946">
        <w:rPr>
          <w:b/>
          <w:bCs/>
          <w:szCs w:val="24"/>
        </w:rPr>
        <w:t xml:space="preserve"> </w:t>
      </w:r>
      <w:r w:rsidRPr="00553946">
        <w:rPr>
          <w:szCs w:val="24"/>
        </w:rPr>
        <w:t>The month during the Prior Equivalent Capability Period in which the amount owed by the Customer for</w:t>
      </w:r>
      <w:r w:rsidRPr="00553946">
        <w:rPr>
          <w:szCs w:val="24"/>
        </w:rPr>
        <w:t xml:space="preserve"> purchases of</w:t>
      </w:r>
      <w:r w:rsidRPr="00553946">
        <w:rPr>
          <w:szCs w:val="24"/>
        </w:rPr>
        <w:t xml:space="preserve"> Energy and Ancillary Services</w:t>
      </w:r>
      <w:r w:rsidRPr="00553946">
        <w:rPr>
          <w:szCs w:val="24"/>
        </w:rPr>
        <w:t xml:space="preserve"> </w:t>
      </w:r>
      <w:r w:rsidRPr="00553946">
        <w:rPr>
          <w:szCs w:val="24"/>
        </w:rPr>
        <w:t>excluding External Transactions</w:t>
      </w:r>
      <w:r w:rsidRPr="00553946">
        <w:rPr>
          <w:szCs w:val="24"/>
        </w:rPr>
        <w:t>,</w:t>
      </w:r>
      <w:r w:rsidRPr="00553946">
        <w:rPr>
          <w:szCs w:val="24"/>
        </w:rPr>
        <w:t xml:space="preserve"> after applying the Price Adjustment, was greatest.</w:t>
      </w:r>
    </w:p>
    <w:p w:rsidR="002A362E" w:rsidRPr="00553946" w:rsidRDefault="000A7D2B">
      <w:pPr>
        <w:pStyle w:val="Definition"/>
        <w:rPr>
          <w:szCs w:val="24"/>
        </w:rPr>
      </w:pPr>
      <w:r w:rsidRPr="00553946">
        <w:rPr>
          <w:b/>
          <w:szCs w:val="24"/>
        </w:rPr>
        <w:t>Beginning Energy Level:</w:t>
      </w:r>
      <w:r w:rsidRPr="00553946">
        <w:rPr>
          <w:szCs w:val="24"/>
        </w:rPr>
        <w:t xml:space="preserve">  Fo</w:t>
      </w:r>
      <w:r w:rsidRPr="00553946">
        <w:rPr>
          <w:szCs w:val="24"/>
        </w:rPr>
        <w:t>r Energy Storage Resources</w:t>
      </w:r>
      <w:r w:rsidRPr="00553946">
        <w:rPr>
          <w:szCs w:val="24"/>
        </w:rPr>
        <w:t xml:space="preserve"> </w:t>
      </w:r>
      <w:r w:rsidRPr="00553946">
        <w:t>or Aggregations comprised entirely of Energy Storage Resources</w:t>
      </w:r>
      <w:r w:rsidRPr="00553946">
        <w:rPr>
          <w:szCs w:val="24"/>
        </w:rPr>
        <w:t xml:space="preserve">, the total amount of Energy stored by the Resource at the beginning of a market interval. </w:t>
      </w:r>
      <w:r w:rsidRPr="00553946">
        <w:rPr>
          <w:szCs w:val="24"/>
        </w:rPr>
        <w:t>The</w:t>
      </w:r>
      <w:r w:rsidRPr="00553946">
        <w:rPr>
          <w:szCs w:val="24"/>
        </w:rPr>
        <w:t xml:space="preserve"> Beginning Energy Level shall be estimated for the Day-Ahead Market.  An </w:t>
      </w:r>
      <w:r w:rsidRPr="00553946">
        <w:rPr>
          <w:szCs w:val="24"/>
        </w:rPr>
        <w:t xml:space="preserve">ISO-Managed Energy Storage Resource </w:t>
      </w:r>
      <w:r w:rsidRPr="00553946">
        <w:rPr>
          <w:szCs w:val="24"/>
        </w:rPr>
        <w:t xml:space="preserve">or ISO-Managed Aggregation comprised entirely of Energy Storage Resources </w:t>
      </w:r>
      <w:r w:rsidRPr="00553946">
        <w:rPr>
          <w:szCs w:val="24"/>
        </w:rPr>
        <w:t xml:space="preserve">shall submit an estimated Beginning Energy Level on each day that it submits a Day-Ahead Market Bid.  The Beginning Energy Level shall be determined by 6-second telemetry data in </w:t>
      </w:r>
      <w:r w:rsidRPr="00553946">
        <w:rPr>
          <w:szCs w:val="24"/>
        </w:rPr>
        <w:t>r</w:t>
      </w:r>
      <w:r w:rsidRPr="00553946">
        <w:rPr>
          <w:szCs w:val="24"/>
        </w:rPr>
        <w:t>eal-</w:t>
      </w:r>
      <w:r w:rsidRPr="00553946">
        <w:rPr>
          <w:szCs w:val="24"/>
        </w:rPr>
        <w:t>t</w:t>
      </w:r>
      <w:r w:rsidRPr="00553946">
        <w:rPr>
          <w:szCs w:val="24"/>
        </w:rPr>
        <w:t>ime.  If the ISO does not receive real-time telemetry from the Resource</w:t>
      </w:r>
      <w:r w:rsidRPr="00553946">
        <w:rPr>
          <w:szCs w:val="24"/>
        </w:rPr>
        <w:t xml:space="preserve"> due to equipment failure or other reason, the ISO will use the last valid Energy Level value as modified to reflect subsequent schedules.</w:t>
      </w:r>
    </w:p>
    <w:p w:rsidR="007954AA" w:rsidRPr="00553946" w:rsidRDefault="000A7D2B">
      <w:pPr>
        <w:pStyle w:val="Definition"/>
        <w:rPr>
          <w:szCs w:val="24"/>
        </w:rPr>
      </w:pPr>
      <w:r w:rsidRPr="00553946">
        <w:rPr>
          <w:b/>
          <w:bCs/>
          <w:szCs w:val="24"/>
        </w:rPr>
        <w:t xml:space="preserve">Behind-the-Meter Net Generation Resource (“BTM:NG Resource”): </w:t>
      </w:r>
      <w:r w:rsidRPr="00553946">
        <w:rPr>
          <w:iCs/>
          <w:szCs w:val="24"/>
        </w:rPr>
        <w:t>A facility within a defined electrical boundary compris</w:t>
      </w:r>
      <w:r w:rsidRPr="00553946">
        <w:rPr>
          <w:iCs/>
          <w:szCs w:val="24"/>
        </w:rPr>
        <w:t xml:space="preserve">ed of a Generator and a Host Load located at a single point identifier (PTID), where the Generator routinely serves, and is assigned to, the Host Load and has excess generation capability after serving that Host Load.  The Generator of the BTM:NG Resource </w:t>
      </w:r>
      <w:r w:rsidRPr="00553946">
        <w:rPr>
          <w:iCs/>
          <w:szCs w:val="24"/>
        </w:rPr>
        <w:t xml:space="preserve">must </w:t>
      </w:r>
      <w:r w:rsidRPr="00553946">
        <w:rPr>
          <w:szCs w:val="24"/>
        </w:rPr>
        <w:t>be</w:t>
      </w:r>
      <w:r w:rsidRPr="00553946">
        <w:rPr>
          <w:iCs/>
          <w:szCs w:val="24"/>
        </w:rPr>
        <w:t xml:space="preserve"> electrically located in the NYCA, have a minimum nameplate rating of 2 MW and a minimum net injection to the NYS Transmission System or distribution system of 1 MW.  The Host Load of the BTM:NG Resource must also have a minimum ACHL of 1 MW.  A fac</w:t>
      </w:r>
      <w:r w:rsidRPr="00553946">
        <w:rPr>
          <w:iCs/>
          <w:szCs w:val="24"/>
        </w:rPr>
        <w:t xml:space="preserve">ility that otherwise meets these eligibility requirements, but either (i) is an Intermittent Power </w:t>
      </w:r>
      <w:r w:rsidRPr="00553946">
        <w:rPr>
          <w:iCs/>
          <w:szCs w:val="24"/>
        </w:rPr>
        <w:t>R</w:t>
      </w:r>
      <w:r w:rsidRPr="00553946">
        <w:rPr>
          <w:iCs/>
          <w:szCs w:val="24"/>
        </w:rPr>
        <w:t>esource</w:t>
      </w:r>
      <w:r w:rsidRPr="00553946">
        <w:rPr>
          <w:iCs/>
          <w:szCs w:val="24"/>
        </w:rPr>
        <w:t xml:space="preserve"> or Energy Storage Resource</w:t>
      </w:r>
      <w:r w:rsidRPr="00553946">
        <w:rPr>
          <w:iCs/>
          <w:szCs w:val="24"/>
        </w:rPr>
        <w:t xml:space="preserve">, (ii) whose Host Load consists only of Station Power, or (iii) has made an election pursuant to </w:t>
      </w:r>
      <w:r w:rsidRPr="00553946">
        <w:rPr>
          <w:iCs/>
          <w:szCs w:val="24"/>
        </w:rPr>
        <w:t>S</w:t>
      </w:r>
      <w:r w:rsidRPr="00553946">
        <w:rPr>
          <w:iCs/>
          <w:szCs w:val="24"/>
        </w:rPr>
        <w:t>ection 5.12.1.12, does n</w:t>
      </w:r>
      <w:r w:rsidRPr="00553946">
        <w:rPr>
          <w:iCs/>
          <w:szCs w:val="24"/>
        </w:rPr>
        <w:t>ot qualify to be a BTM:NG Resource.  BTM:NG Resources cannot simultaneously participate as a BTM:NG Resource and in any ISO administered demand response programs.</w:t>
      </w:r>
    </w:p>
    <w:p w:rsidR="00D442E7" w:rsidRPr="00553946" w:rsidRDefault="000A7D2B">
      <w:pPr>
        <w:pStyle w:val="Definition"/>
        <w:rPr>
          <w:szCs w:val="24"/>
        </w:rPr>
      </w:pPr>
      <w:r w:rsidRPr="00553946">
        <w:rPr>
          <w:b/>
          <w:bCs/>
          <w:szCs w:val="24"/>
        </w:rPr>
        <w:lastRenderedPageBreak/>
        <w:t>Bid/</w:t>
      </w:r>
      <w:r w:rsidRPr="00553946">
        <w:rPr>
          <w:b/>
          <w:szCs w:val="24"/>
        </w:rPr>
        <w:t>Post</w:t>
      </w:r>
      <w:r w:rsidRPr="00553946">
        <w:rPr>
          <w:b/>
          <w:bCs/>
          <w:szCs w:val="24"/>
        </w:rPr>
        <w:t xml:space="preserve"> System: </w:t>
      </w:r>
      <w:r w:rsidRPr="00553946">
        <w:rPr>
          <w:szCs w:val="24"/>
        </w:rPr>
        <w:t>An electronic information system used to allow the posting of proposed trans</w:t>
      </w:r>
      <w:r w:rsidRPr="00553946">
        <w:rPr>
          <w:szCs w:val="24"/>
        </w:rPr>
        <w:t>mission schedules and Bids for Energy and Ancillary Services by Market Participants for use by the ISO and to allow the ISO to post LBMPs and schedules.</w:t>
      </w:r>
    </w:p>
    <w:p w:rsidR="00610583" w:rsidRPr="00553946" w:rsidRDefault="000A7D2B" w:rsidP="00610583">
      <w:pPr>
        <w:pStyle w:val="Definition"/>
        <w:rPr>
          <w:szCs w:val="24"/>
        </w:rPr>
      </w:pPr>
      <w:r w:rsidRPr="00553946">
        <w:rPr>
          <w:b/>
          <w:szCs w:val="24"/>
        </w:rPr>
        <w:t xml:space="preserve">Bid: </w:t>
      </w:r>
      <w:r w:rsidRPr="00553946">
        <w:rPr>
          <w:szCs w:val="24"/>
        </w:rPr>
        <w:t>Offer to sell or bid to purchase Energy, Demand Reductions or Transmission Congestion Contracts an</w:t>
      </w:r>
      <w:r w:rsidRPr="00553946">
        <w:rPr>
          <w:szCs w:val="24"/>
        </w:rPr>
        <w:t>d an offer to sell Ancillary Services at a specified price that is duly submitted to the ISO pursuant to ISO Procedures. Bid shall mean a mitigated Bid where appropriate.</w:t>
      </w:r>
    </w:p>
    <w:p w:rsidR="00D442E7" w:rsidRPr="00553946" w:rsidRDefault="000A7D2B">
      <w:pPr>
        <w:pStyle w:val="Definition"/>
        <w:rPr>
          <w:szCs w:val="24"/>
        </w:rPr>
      </w:pPr>
      <w:r w:rsidRPr="00553946">
        <w:rPr>
          <w:b/>
          <w:szCs w:val="24"/>
        </w:rPr>
        <w:t xml:space="preserve">Bid Price: </w:t>
      </w:r>
      <w:r w:rsidRPr="00553946">
        <w:rPr>
          <w:szCs w:val="24"/>
        </w:rPr>
        <w:t>The price at which the Customer offering the Bid is willing to provide the</w:t>
      </w:r>
      <w:r w:rsidRPr="00553946">
        <w:rPr>
          <w:szCs w:val="24"/>
        </w:rPr>
        <w:t xml:space="preserve"> product or service, or is willing to pay to receive such product or service, as applicable. In the case of a CTS Interface Bid, the Bid Price is a dollar value that indicates the bidder’s willingness to purchase Energy at a CTS Source </w:t>
      </w:r>
      <w:r w:rsidRPr="00553946">
        <w:rPr>
          <w:szCs w:val="24"/>
        </w:rPr>
        <w:t>and sell it at a CTS</w:t>
      </w:r>
      <w:r w:rsidRPr="00553946">
        <w:rPr>
          <w:szCs w:val="24"/>
        </w:rPr>
        <w:t xml:space="preserve"> Sink across a CTS Enabled Interface if, at the time of scheduling, the forecasted CTS Sink Price minus the forecasted CTS Source Price is greater than, or equal to, the dollar value specified in the Bid.    </w:t>
      </w:r>
    </w:p>
    <w:p w:rsidR="00D442E7" w:rsidRPr="00553946" w:rsidRDefault="000A7D2B">
      <w:pPr>
        <w:pStyle w:val="Definition"/>
        <w:rPr>
          <w:szCs w:val="24"/>
        </w:rPr>
      </w:pPr>
      <w:r w:rsidRPr="00553946">
        <w:rPr>
          <w:b/>
          <w:szCs w:val="24"/>
        </w:rPr>
        <w:t xml:space="preserve">Bid Production Cost: </w:t>
      </w:r>
      <w:r w:rsidRPr="00553946">
        <w:rPr>
          <w:szCs w:val="24"/>
        </w:rPr>
        <w:t>Total cost of the Generato</w:t>
      </w:r>
      <w:r w:rsidRPr="00553946">
        <w:rPr>
          <w:szCs w:val="24"/>
        </w:rPr>
        <w:t xml:space="preserve">rs </w:t>
      </w:r>
      <w:r w:rsidRPr="00553946">
        <w:rPr>
          <w:szCs w:val="24"/>
        </w:rPr>
        <w:t xml:space="preserve">and Aggregations </w:t>
      </w:r>
      <w:r w:rsidRPr="00553946">
        <w:rPr>
          <w:szCs w:val="24"/>
        </w:rPr>
        <w:t xml:space="preserve">required to meet Load and reliability Constraints based upon Bids corresponding to the usual measures of Generator </w:t>
      </w:r>
      <w:r w:rsidRPr="00553946">
        <w:rPr>
          <w:szCs w:val="24"/>
        </w:rPr>
        <w:t xml:space="preserve">or Aggregation </w:t>
      </w:r>
      <w:r w:rsidRPr="00553946">
        <w:rPr>
          <w:szCs w:val="24"/>
        </w:rPr>
        <w:t>production cost (e.g., running cost</w:t>
      </w:r>
      <w:r w:rsidRPr="00553946">
        <w:rPr>
          <w:iCs/>
          <w:szCs w:val="24"/>
        </w:rPr>
        <w:t>,</w:t>
      </w:r>
      <w:r w:rsidRPr="00553946">
        <w:rPr>
          <w:szCs w:val="24"/>
        </w:rPr>
        <w:t xml:space="preserve"> Minimum Generation </w:t>
      </w:r>
      <w:r w:rsidRPr="00553946">
        <w:rPr>
          <w:iCs/>
          <w:szCs w:val="24"/>
        </w:rPr>
        <w:t xml:space="preserve">Bid, </w:t>
      </w:r>
      <w:r w:rsidRPr="00553946">
        <w:rPr>
          <w:szCs w:val="24"/>
        </w:rPr>
        <w:t>and Start</w:t>
      </w:r>
      <w:r w:rsidRPr="00553946">
        <w:rPr>
          <w:szCs w:val="24"/>
        </w:rPr>
        <w:noBreakHyphen/>
        <w:t>Up Bid).</w:t>
      </w:r>
    </w:p>
    <w:p w:rsidR="00D442E7" w:rsidRPr="00553946" w:rsidRDefault="000A7D2B">
      <w:pPr>
        <w:pStyle w:val="Definition"/>
        <w:rPr>
          <w:szCs w:val="24"/>
          <w:u w:val="double"/>
        </w:rPr>
      </w:pPr>
      <w:r w:rsidRPr="00553946">
        <w:rPr>
          <w:b/>
          <w:szCs w:val="24"/>
        </w:rPr>
        <w:t xml:space="preserve">Bidder: </w:t>
      </w:r>
      <w:r w:rsidRPr="00553946">
        <w:rPr>
          <w:szCs w:val="24"/>
        </w:rPr>
        <w:t>An entity that bid</w:t>
      </w:r>
      <w:r w:rsidRPr="00553946">
        <w:rPr>
          <w:szCs w:val="24"/>
        </w:rPr>
        <w:t>s to purchase Unforced Capacity in an Installed Capacity auction.</w:t>
      </w:r>
    </w:p>
    <w:p w:rsidR="00D442E7" w:rsidRPr="00553946" w:rsidRDefault="000A7D2B">
      <w:pPr>
        <w:pStyle w:val="Definition"/>
        <w:rPr>
          <w:szCs w:val="24"/>
        </w:rPr>
      </w:pPr>
      <w:r w:rsidRPr="00553946">
        <w:rPr>
          <w:b/>
          <w:szCs w:val="24"/>
        </w:rPr>
        <w:t xml:space="preserve">Bidding Requirement: </w:t>
      </w:r>
      <w:r w:rsidRPr="00553946">
        <w:rPr>
          <w:szCs w:val="24"/>
        </w:rPr>
        <w:t>The credit requirement for bidding in certain ISO-administered auctions, calculated in accordance with Section 26.4.3 of Attachment K to this Services Tariff.</w:t>
      </w:r>
    </w:p>
    <w:p w:rsidR="00D442E7" w:rsidRPr="00553946" w:rsidRDefault="000A7D2B">
      <w:pPr>
        <w:pStyle w:val="Definition"/>
        <w:rPr>
          <w:szCs w:val="24"/>
        </w:rPr>
      </w:pPr>
      <w:r w:rsidRPr="00553946">
        <w:rPr>
          <w:b/>
          <w:szCs w:val="24"/>
        </w:rPr>
        <w:t xml:space="preserve">Bilateral </w:t>
      </w:r>
      <w:r w:rsidRPr="00553946">
        <w:rPr>
          <w:b/>
          <w:szCs w:val="24"/>
        </w:rPr>
        <w:t xml:space="preserve">Transaction: </w:t>
      </w:r>
      <w:r w:rsidRPr="00553946">
        <w:rPr>
          <w:szCs w:val="24"/>
        </w:rPr>
        <w:t>A Transaction between two or more parties for the purchase and/or sale of Capacity or Energy other than those in the ISO Administered Markets.  A request to schedule a Bilateral Transaction in the Energy Market shall be considered a request to</w:t>
      </w:r>
      <w:r w:rsidRPr="00553946">
        <w:rPr>
          <w:szCs w:val="24"/>
        </w:rPr>
        <w:t xml:space="preserve"> schedule Point-to-Point Transmission Service.</w:t>
      </w:r>
    </w:p>
    <w:p w:rsidR="00D442E7" w:rsidRPr="00452A76" w:rsidRDefault="000A7D2B" w:rsidP="00D442E7">
      <w:pPr>
        <w:rPr>
          <w:szCs w:val="24"/>
        </w:rPr>
      </w:pPr>
      <w:bookmarkStart w:id="2" w:name="_DV_M53"/>
      <w:bookmarkStart w:id="3" w:name="_DV_M54"/>
      <w:bookmarkEnd w:id="2"/>
      <w:bookmarkEnd w:id="3"/>
      <w:r w:rsidRPr="00553946">
        <w:rPr>
          <w:b/>
          <w:szCs w:val="24"/>
        </w:rPr>
        <w:t>Billing Period:</w:t>
      </w:r>
      <w:r w:rsidRPr="00553946">
        <w:rPr>
          <w:szCs w:val="24"/>
        </w:rPr>
        <w:t xml:space="preserve">  The period of time designated in Sections 7.2.2.1, 7.2.3.1, or 7.2.3.2 of this ISO Services Tariff over which the ISO will aggregate and settle a charge or a payment for services furnished und</w:t>
      </w:r>
      <w:r w:rsidRPr="00553946">
        <w:rPr>
          <w:szCs w:val="24"/>
        </w:rPr>
        <w:t>er this ISO Services Tariff or the ISO OATT.</w:t>
      </w:r>
    </w:p>
    <w:p w:rsidR="00D442E7" w:rsidRPr="00452A76" w:rsidRDefault="000A7D2B">
      <w:pPr>
        <w:tabs>
          <w:tab w:val="right" w:pos="9360"/>
        </w:tabs>
        <w:rPr>
          <w:szCs w:val="24"/>
        </w:rPr>
      </w:pPr>
    </w:p>
    <w:sectPr w:rsidR="00D442E7" w:rsidRPr="00452A76" w:rsidSect="00072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7D2B">
      <w:r>
        <w:separator/>
      </w:r>
    </w:p>
  </w:endnote>
  <w:endnote w:type="continuationSeparator" w:id="0">
    <w:p w:rsidR="00000000" w:rsidRDefault="000A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B06" w:rsidRDefault="000A7D2B">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B06" w:rsidRDefault="000A7D2B">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B06" w:rsidRDefault="000A7D2B">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7D2B">
      <w:r>
        <w:separator/>
      </w:r>
    </w:p>
  </w:footnote>
  <w:footnote w:type="continuationSeparator" w:id="0">
    <w:p w:rsidR="00000000" w:rsidRDefault="000A7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B06" w:rsidRDefault="000A7D2B">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B06" w:rsidRDefault="000A7D2B">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2.2 MST Definitions -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B06" w:rsidRDefault="000A7D2B">
    <w:r>
      <w:rPr>
        <w:rFonts w:ascii="Arial" w:eastAsia="Arial" w:hAnsi="Arial" w:cs="Arial"/>
        <w:color w:val="000000"/>
        <w:sz w:val="16"/>
      </w:rPr>
      <w:t>NYISO Tariffs --&gt; Market Administration and Control Area Services Tariff (MST) --&gt; 2 MST Definitions --&gt; 2.2 MST Definitions -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D5886F4">
      <w:start w:val="1"/>
      <w:numFmt w:val="bullet"/>
      <w:lvlText w:val=""/>
      <w:lvlJc w:val="left"/>
      <w:pPr>
        <w:tabs>
          <w:tab w:val="num" w:pos="720"/>
        </w:tabs>
        <w:ind w:left="720" w:hanging="360"/>
      </w:pPr>
      <w:rPr>
        <w:rFonts w:ascii="Symbol" w:hAnsi="Symbol" w:hint="default"/>
      </w:rPr>
    </w:lvl>
    <w:lvl w:ilvl="1" w:tplc="D1FE9D68" w:tentative="1">
      <w:start w:val="1"/>
      <w:numFmt w:val="bullet"/>
      <w:lvlText w:val="o"/>
      <w:lvlJc w:val="left"/>
      <w:pPr>
        <w:tabs>
          <w:tab w:val="num" w:pos="1440"/>
        </w:tabs>
        <w:ind w:left="1440" w:hanging="360"/>
      </w:pPr>
      <w:rPr>
        <w:rFonts w:ascii="Courier New" w:hAnsi="Courier New" w:cs="Courier New" w:hint="default"/>
      </w:rPr>
    </w:lvl>
    <w:lvl w:ilvl="2" w:tplc="2AFED294" w:tentative="1">
      <w:start w:val="1"/>
      <w:numFmt w:val="bullet"/>
      <w:lvlText w:val=""/>
      <w:lvlJc w:val="left"/>
      <w:pPr>
        <w:tabs>
          <w:tab w:val="num" w:pos="2160"/>
        </w:tabs>
        <w:ind w:left="2160" w:hanging="360"/>
      </w:pPr>
      <w:rPr>
        <w:rFonts w:ascii="Wingdings" w:hAnsi="Wingdings" w:hint="default"/>
      </w:rPr>
    </w:lvl>
    <w:lvl w:ilvl="3" w:tplc="05F4B4B8" w:tentative="1">
      <w:start w:val="1"/>
      <w:numFmt w:val="bullet"/>
      <w:lvlText w:val=""/>
      <w:lvlJc w:val="left"/>
      <w:pPr>
        <w:tabs>
          <w:tab w:val="num" w:pos="2880"/>
        </w:tabs>
        <w:ind w:left="2880" w:hanging="360"/>
      </w:pPr>
      <w:rPr>
        <w:rFonts w:ascii="Symbol" w:hAnsi="Symbol" w:hint="default"/>
      </w:rPr>
    </w:lvl>
    <w:lvl w:ilvl="4" w:tplc="8BFA661A" w:tentative="1">
      <w:start w:val="1"/>
      <w:numFmt w:val="bullet"/>
      <w:lvlText w:val="o"/>
      <w:lvlJc w:val="left"/>
      <w:pPr>
        <w:tabs>
          <w:tab w:val="num" w:pos="3600"/>
        </w:tabs>
        <w:ind w:left="3600" w:hanging="360"/>
      </w:pPr>
      <w:rPr>
        <w:rFonts w:ascii="Courier New" w:hAnsi="Courier New" w:cs="Courier New" w:hint="default"/>
      </w:rPr>
    </w:lvl>
    <w:lvl w:ilvl="5" w:tplc="772C42F8" w:tentative="1">
      <w:start w:val="1"/>
      <w:numFmt w:val="bullet"/>
      <w:lvlText w:val=""/>
      <w:lvlJc w:val="left"/>
      <w:pPr>
        <w:tabs>
          <w:tab w:val="num" w:pos="4320"/>
        </w:tabs>
        <w:ind w:left="4320" w:hanging="360"/>
      </w:pPr>
      <w:rPr>
        <w:rFonts w:ascii="Wingdings" w:hAnsi="Wingdings" w:hint="default"/>
      </w:rPr>
    </w:lvl>
    <w:lvl w:ilvl="6" w:tplc="72D6145C" w:tentative="1">
      <w:start w:val="1"/>
      <w:numFmt w:val="bullet"/>
      <w:lvlText w:val=""/>
      <w:lvlJc w:val="left"/>
      <w:pPr>
        <w:tabs>
          <w:tab w:val="num" w:pos="5040"/>
        </w:tabs>
        <w:ind w:left="5040" w:hanging="360"/>
      </w:pPr>
      <w:rPr>
        <w:rFonts w:ascii="Symbol" w:hAnsi="Symbol" w:hint="default"/>
      </w:rPr>
    </w:lvl>
    <w:lvl w:ilvl="7" w:tplc="854C4754" w:tentative="1">
      <w:start w:val="1"/>
      <w:numFmt w:val="bullet"/>
      <w:lvlText w:val="o"/>
      <w:lvlJc w:val="left"/>
      <w:pPr>
        <w:tabs>
          <w:tab w:val="num" w:pos="5760"/>
        </w:tabs>
        <w:ind w:left="5760" w:hanging="360"/>
      </w:pPr>
      <w:rPr>
        <w:rFonts w:ascii="Courier New" w:hAnsi="Courier New" w:cs="Courier New" w:hint="default"/>
      </w:rPr>
    </w:lvl>
    <w:lvl w:ilvl="8" w:tplc="B45EF69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608C3A4">
      <w:start w:val="1"/>
      <w:numFmt w:val="upperLetter"/>
      <w:lvlText w:val="%1."/>
      <w:lvlJc w:val="left"/>
      <w:pPr>
        <w:tabs>
          <w:tab w:val="num" w:pos="1440"/>
        </w:tabs>
        <w:ind w:left="1440" w:hanging="720"/>
      </w:pPr>
      <w:rPr>
        <w:rFonts w:hint="default"/>
      </w:rPr>
    </w:lvl>
    <w:lvl w:ilvl="1" w:tplc="1D26B9E8" w:tentative="1">
      <w:start w:val="1"/>
      <w:numFmt w:val="lowerLetter"/>
      <w:lvlText w:val="%2."/>
      <w:lvlJc w:val="left"/>
      <w:pPr>
        <w:tabs>
          <w:tab w:val="num" w:pos="1800"/>
        </w:tabs>
        <w:ind w:left="1800" w:hanging="360"/>
      </w:pPr>
    </w:lvl>
    <w:lvl w:ilvl="2" w:tplc="72C08DE8" w:tentative="1">
      <w:start w:val="1"/>
      <w:numFmt w:val="lowerRoman"/>
      <w:lvlText w:val="%3."/>
      <w:lvlJc w:val="right"/>
      <w:pPr>
        <w:tabs>
          <w:tab w:val="num" w:pos="2520"/>
        </w:tabs>
        <w:ind w:left="2520" w:hanging="180"/>
      </w:pPr>
    </w:lvl>
    <w:lvl w:ilvl="3" w:tplc="6966F822" w:tentative="1">
      <w:start w:val="1"/>
      <w:numFmt w:val="decimal"/>
      <w:lvlText w:val="%4."/>
      <w:lvlJc w:val="left"/>
      <w:pPr>
        <w:tabs>
          <w:tab w:val="num" w:pos="3240"/>
        </w:tabs>
        <w:ind w:left="3240" w:hanging="360"/>
      </w:pPr>
    </w:lvl>
    <w:lvl w:ilvl="4" w:tplc="C1E63A6E" w:tentative="1">
      <w:start w:val="1"/>
      <w:numFmt w:val="lowerLetter"/>
      <w:lvlText w:val="%5."/>
      <w:lvlJc w:val="left"/>
      <w:pPr>
        <w:tabs>
          <w:tab w:val="num" w:pos="3960"/>
        </w:tabs>
        <w:ind w:left="3960" w:hanging="360"/>
      </w:pPr>
    </w:lvl>
    <w:lvl w:ilvl="5" w:tplc="166C724E" w:tentative="1">
      <w:start w:val="1"/>
      <w:numFmt w:val="lowerRoman"/>
      <w:lvlText w:val="%6."/>
      <w:lvlJc w:val="right"/>
      <w:pPr>
        <w:tabs>
          <w:tab w:val="num" w:pos="4680"/>
        </w:tabs>
        <w:ind w:left="4680" w:hanging="180"/>
      </w:pPr>
    </w:lvl>
    <w:lvl w:ilvl="6" w:tplc="86C846E0" w:tentative="1">
      <w:start w:val="1"/>
      <w:numFmt w:val="decimal"/>
      <w:lvlText w:val="%7."/>
      <w:lvlJc w:val="left"/>
      <w:pPr>
        <w:tabs>
          <w:tab w:val="num" w:pos="5400"/>
        </w:tabs>
        <w:ind w:left="5400" w:hanging="360"/>
      </w:pPr>
    </w:lvl>
    <w:lvl w:ilvl="7" w:tplc="74F08A1E" w:tentative="1">
      <w:start w:val="1"/>
      <w:numFmt w:val="lowerLetter"/>
      <w:lvlText w:val="%8."/>
      <w:lvlJc w:val="left"/>
      <w:pPr>
        <w:tabs>
          <w:tab w:val="num" w:pos="6120"/>
        </w:tabs>
        <w:ind w:left="6120" w:hanging="360"/>
      </w:pPr>
    </w:lvl>
    <w:lvl w:ilvl="8" w:tplc="4632599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6584CC4">
      <w:start w:val="3"/>
      <w:numFmt w:val="upperLetter"/>
      <w:lvlText w:val="%1."/>
      <w:lvlJc w:val="left"/>
      <w:pPr>
        <w:tabs>
          <w:tab w:val="num" w:pos="1080"/>
        </w:tabs>
        <w:ind w:left="1080" w:hanging="360"/>
      </w:pPr>
      <w:rPr>
        <w:rFonts w:hint="default"/>
      </w:rPr>
    </w:lvl>
    <w:lvl w:ilvl="1" w:tplc="76B6A196" w:tentative="1">
      <w:start w:val="1"/>
      <w:numFmt w:val="lowerLetter"/>
      <w:lvlText w:val="%2."/>
      <w:lvlJc w:val="left"/>
      <w:pPr>
        <w:tabs>
          <w:tab w:val="num" w:pos="1800"/>
        </w:tabs>
        <w:ind w:left="1800" w:hanging="360"/>
      </w:pPr>
    </w:lvl>
    <w:lvl w:ilvl="2" w:tplc="5EB00BEA" w:tentative="1">
      <w:start w:val="1"/>
      <w:numFmt w:val="lowerRoman"/>
      <w:lvlText w:val="%3."/>
      <w:lvlJc w:val="right"/>
      <w:pPr>
        <w:tabs>
          <w:tab w:val="num" w:pos="2520"/>
        </w:tabs>
        <w:ind w:left="2520" w:hanging="180"/>
      </w:pPr>
    </w:lvl>
    <w:lvl w:ilvl="3" w:tplc="8270801A" w:tentative="1">
      <w:start w:val="1"/>
      <w:numFmt w:val="decimal"/>
      <w:lvlText w:val="%4."/>
      <w:lvlJc w:val="left"/>
      <w:pPr>
        <w:tabs>
          <w:tab w:val="num" w:pos="3240"/>
        </w:tabs>
        <w:ind w:left="3240" w:hanging="360"/>
      </w:pPr>
    </w:lvl>
    <w:lvl w:ilvl="4" w:tplc="D4E86CA4" w:tentative="1">
      <w:start w:val="1"/>
      <w:numFmt w:val="lowerLetter"/>
      <w:lvlText w:val="%5."/>
      <w:lvlJc w:val="left"/>
      <w:pPr>
        <w:tabs>
          <w:tab w:val="num" w:pos="3960"/>
        </w:tabs>
        <w:ind w:left="3960" w:hanging="360"/>
      </w:pPr>
    </w:lvl>
    <w:lvl w:ilvl="5" w:tplc="2C088D86" w:tentative="1">
      <w:start w:val="1"/>
      <w:numFmt w:val="lowerRoman"/>
      <w:lvlText w:val="%6."/>
      <w:lvlJc w:val="right"/>
      <w:pPr>
        <w:tabs>
          <w:tab w:val="num" w:pos="4680"/>
        </w:tabs>
        <w:ind w:left="4680" w:hanging="180"/>
      </w:pPr>
    </w:lvl>
    <w:lvl w:ilvl="6" w:tplc="DD2EB76E" w:tentative="1">
      <w:start w:val="1"/>
      <w:numFmt w:val="decimal"/>
      <w:lvlText w:val="%7."/>
      <w:lvlJc w:val="left"/>
      <w:pPr>
        <w:tabs>
          <w:tab w:val="num" w:pos="5400"/>
        </w:tabs>
        <w:ind w:left="5400" w:hanging="360"/>
      </w:pPr>
    </w:lvl>
    <w:lvl w:ilvl="7" w:tplc="9034B51A" w:tentative="1">
      <w:start w:val="1"/>
      <w:numFmt w:val="lowerLetter"/>
      <w:lvlText w:val="%8."/>
      <w:lvlJc w:val="left"/>
      <w:pPr>
        <w:tabs>
          <w:tab w:val="num" w:pos="6120"/>
        </w:tabs>
        <w:ind w:left="6120" w:hanging="360"/>
      </w:pPr>
    </w:lvl>
    <w:lvl w:ilvl="8" w:tplc="3AECEF8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812C86C">
      <w:start w:val="1"/>
      <w:numFmt w:val="bullet"/>
      <w:pStyle w:val="Bulletpara"/>
      <w:lvlText w:val=""/>
      <w:lvlJc w:val="left"/>
      <w:pPr>
        <w:tabs>
          <w:tab w:val="num" w:pos="720"/>
        </w:tabs>
        <w:ind w:left="720" w:hanging="360"/>
      </w:pPr>
      <w:rPr>
        <w:rFonts w:ascii="Symbol" w:hAnsi="Symbol" w:hint="default"/>
      </w:rPr>
    </w:lvl>
    <w:lvl w:ilvl="1" w:tplc="94EA6E70" w:tentative="1">
      <w:start w:val="1"/>
      <w:numFmt w:val="bullet"/>
      <w:lvlText w:val="o"/>
      <w:lvlJc w:val="left"/>
      <w:pPr>
        <w:tabs>
          <w:tab w:val="num" w:pos="1440"/>
        </w:tabs>
        <w:ind w:left="1440" w:hanging="360"/>
      </w:pPr>
      <w:rPr>
        <w:rFonts w:ascii="Courier New" w:hAnsi="Courier New" w:cs="Courier New" w:hint="default"/>
      </w:rPr>
    </w:lvl>
    <w:lvl w:ilvl="2" w:tplc="21564104" w:tentative="1">
      <w:start w:val="1"/>
      <w:numFmt w:val="bullet"/>
      <w:lvlText w:val=""/>
      <w:lvlJc w:val="left"/>
      <w:pPr>
        <w:tabs>
          <w:tab w:val="num" w:pos="2160"/>
        </w:tabs>
        <w:ind w:left="2160" w:hanging="360"/>
      </w:pPr>
      <w:rPr>
        <w:rFonts w:ascii="Wingdings" w:hAnsi="Wingdings" w:hint="default"/>
      </w:rPr>
    </w:lvl>
    <w:lvl w:ilvl="3" w:tplc="B1CA4884" w:tentative="1">
      <w:start w:val="1"/>
      <w:numFmt w:val="bullet"/>
      <w:lvlText w:val=""/>
      <w:lvlJc w:val="left"/>
      <w:pPr>
        <w:tabs>
          <w:tab w:val="num" w:pos="2880"/>
        </w:tabs>
        <w:ind w:left="2880" w:hanging="360"/>
      </w:pPr>
      <w:rPr>
        <w:rFonts w:ascii="Symbol" w:hAnsi="Symbol" w:hint="default"/>
      </w:rPr>
    </w:lvl>
    <w:lvl w:ilvl="4" w:tplc="531A7B2E" w:tentative="1">
      <w:start w:val="1"/>
      <w:numFmt w:val="bullet"/>
      <w:lvlText w:val="o"/>
      <w:lvlJc w:val="left"/>
      <w:pPr>
        <w:tabs>
          <w:tab w:val="num" w:pos="3600"/>
        </w:tabs>
        <w:ind w:left="3600" w:hanging="360"/>
      </w:pPr>
      <w:rPr>
        <w:rFonts w:ascii="Courier New" w:hAnsi="Courier New" w:cs="Courier New" w:hint="default"/>
      </w:rPr>
    </w:lvl>
    <w:lvl w:ilvl="5" w:tplc="F9BE876E" w:tentative="1">
      <w:start w:val="1"/>
      <w:numFmt w:val="bullet"/>
      <w:lvlText w:val=""/>
      <w:lvlJc w:val="left"/>
      <w:pPr>
        <w:tabs>
          <w:tab w:val="num" w:pos="4320"/>
        </w:tabs>
        <w:ind w:left="4320" w:hanging="360"/>
      </w:pPr>
      <w:rPr>
        <w:rFonts w:ascii="Wingdings" w:hAnsi="Wingdings" w:hint="default"/>
      </w:rPr>
    </w:lvl>
    <w:lvl w:ilvl="6" w:tplc="31DE9CD4" w:tentative="1">
      <w:start w:val="1"/>
      <w:numFmt w:val="bullet"/>
      <w:lvlText w:val=""/>
      <w:lvlJc w:val="left"/>
      <w:pPr>
        <w:tabs>
          <w:tab w:val="num" w:pos="5040"/>
        </w:tabs>
        <w:ind w:left="5040" w:hanging="360"/>
      </w:pPr>
      <w:rPr>
        <w:rFonts w:ascii="Symbol" w:hAnsi="Symbol" w:hint="default"/>
      </w:rPr>
    </w:lvl>
    <w:lvl w:ilvl="7" w:tplc="FAF63328" w:tentative="1">
      <w:start w:val="1"/>
      <w:numFmt w:val="bullet"/>
      <w:lvlText w:val="o"/>
      <w:lvlJc w:val="left"/>
      <w:pPr>
        <w:tabs>
          <w:tab w:val="num" w:pos="5760"/>
        </w:tabs>
        <w:ind w:left="5760" w:hanging="360"/>
      </w:pPr>
      <w:rPr>
        <w:rFonts w:ascii="Courier New" w:hAnsi="Courier New" w:cs="Courier New" w:hint="default"/>
      </w:rPr>
    </w:lvl>
    <w:lvl w:ilvl="8" w:tplc="0714F96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8E45C66">
      <w:start w:val="2"/>
      <w:numFmt w:val="decimal"/>
      <w:lvlText w:val="(%1)"/>
      <w:lvlJc w:val="left"/>
      <w:pPr>
        <w:tabs>
          <w:tab w:val="num" w:pos="1800"/>
        </w:tabs>
        <w:ind w:left="1800" w:hanging="360"/>
      </w:pPr>
      <w:rPr>
        <w:rFonts w:hint="default"/>
        <w:b w:val="0"/>
        <w:sz w:val="24"/>
      </w:rPr>
    </w:lvl>
    <w:lvl w:ilvl="1" w:tplc="3CF04BF4" w:tentative="1">
      <w:start w:val="1"/>
      <w:numFmt w:val="lowerLetter"/>
      <w:lvlText w:val="%2."/>
      <w:lvlJc w:val="left"/>
      <w:pPr>
        <w:tabs>
          <w:tab w:val="num" w:pos="2520"/>
        </w:tabs>
        <w:ind w:left="2520" w:hanging="360"/>
      </w:pPr>
    </w:lvl>
    <w:lvl w:ilvl="2" w:tplc="3852FBD6" w:tentative="1">
      <w:start w:val="1"/>
      <w:numFmt w:val="lowerRoman"/>
      <w:lvlText w:val="%3."/>
      <w:lvlJc w:val="right"/>
      <w:pPr>
        <w:tabs>
          <w:tab w:val="num" w:pos="3240"/>
        </w:tabs>
        <w:ind w:left="3240" w:hanging="180"/>
      </w:pPr>
    </w:lvl>
    <w:lvl w:ilvl="3" w:tplc="CA1E5EBC" w:tentative="1">
      <w:start w:val="1"/>
      <w:numFmt w:val="decimal"/>
      <w:lvlText w:val="%4."/>
      <w:lvlJc w:val="left"/>
      <w:pPr>
        <w:tabs>
          <w:tab w:val="num" w:pos="3960"/>
        </w:tabs>
        <w:ind w:left="3960" w:hanging="360"/>
      </w:pPr>
    </w:lvl>
    <w:lvl w:ilvl="4" w:tplc="C136CA48" w:tentative="1">
      <w:start w:val="1"/>
      <w:numFmt w:val="lowerLetter"/>
      <w:lvlText w:val="%5."/>
      <w:lvlJc w:val="left"/>
      <w:pPr>
        <w:tabs>
          <w:tab w:val="num" w:pos="4680"/>
        </w:tabs>
        <w:ind w:left="4680" w:hanging="360"/>
      </w:pPr>
    </w:lvl>
    <w:lvl w:ilvl="5" w:tplc="E0D84C10" w:tentative="1">
      <w:start w:val="1"/>
      <w:numFmt w:val="lowerRoman"/>
      <w:lvlText w:val="%6."/>
      <w:lvlJc w:val="right"/>
      <w:pPr>
        <w:tabs>
          <w:tab w:val="num" w:pos="5400"/>
        </w:tabs>
        <w:ind w:left="5400" w:hanging="180"/>
      </w:pPr>
    </w:lvl>
    <w:lvl w:ilvl="6" w:tplc="6EF62C3E" w:tentative="1">
      <w:start w:val="1"/>
      <w:numFmt w:val="decimal"/>
      <w:lvlText w:val="%7."/>
      <w:lvlJc w:val="left"/>
      <w:pPr>
        <w:tabs>
          <w:tab w:val="num" w:pos="6120"/>
        </w:tabs>
        <w:ind w:left="6120" w:hanging="360"/>
      </w:pPr>
    </w:lvl>
    <w:lvl w:ilvl="7" w:tplc="A07E8692" w:tentative="1">
      <w:start w:val="1"/>
      <w:numFmt w:val="lowerLetter"/>
      <w:lvlText w:val="%8."/>
      <w:lvlJc w:val="left"/>
      <w:pPr>
        <w:tabs>
          <w:tab w:val="num" w:pos="6840"/>
        </w:tabs>
        <w:ind w:left="6840" w:hanging="360"/>
      </w:pPr>
    </w:lvl>
    <w:lvl w:ilvl="8" w:tplc="EF2E418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126C4DC">
      <w:start w:val="1"/>
      <w:numFmt w:val="decimal"/>
      <w:lvlText w:val="(%1)"/>
      <w:lvlJc w:val="left"/>
      <w:pPr>
        <w:tabs>
          <w:tab w:val="num" w:pos="2160"/>
        </w:tabs>
        <w:ind w:left="2160" w:hanging="720"/>
      </w:pPr>
      <w:rPr>
        <w:rFonts w:hint="default"/>
      </w:rPr>
    </w:lvl>
    <w:lvl w:ilvl="1" w:tplc="C42A3522" w:tentative="1">
      <w:start w:val="1"/>
      <w:numFmt w:val="lowerLetter"/>
      <w:lvlText w:val="%2."/>
      <w:lvlJc w:val="left"/>
      <w:pPr>
        <w:tabs>
          <w:tab w:val="num" w:pos="2520"/>
        </w:tabs>
        <w:ind w:left="2520" w:hanging="360"/>
      </w:pPr>
    </w:lvl>
    <w:lvl w:ilvl="2" w:tplc="E8769CC0" w:tentative="1">
      <w:start w:val="1"/>
      <w:numFmt w:val="lowerRoman"/>
      <w:lvlText w:val="%3."/>
      <w:lvlJc w:val="right"/>
      <w:pPr>
        <w:tabs>
          <w:tab w:val="num" w:pos="3240"/>
        </w:tabs>
        <w:ind w:left="3240" w:hanging="180"/>
      </w:pPr>
    </w:lvl>
    <w:lvl w:ilvl="3" w:tplc="F162F2A8" w:tentative="1">
      <w:start w:val="1"/>
      <w:numFmt w:val="decimal"/>
      <w:lvlText w:val="%4."/>
      <w:lvlJc w:val="left"/>
      <w:pPr>
        <w:tabs>
          <w:tab w:val="num" w:pos="3960"/>
        </w:tabs>
        <w:ind w:left="3960" w:hanging="360"/>
      </w:pPr>
    </w:lvl>
    <w:lvl w:ilvl="4" w:tplc="B9CC58A8" w:tentative="1">
      <w:start w:val="1"/>
      <w:numFmt w:val="lowerLetter"/>
      <w:lvlText w:val="%5."/>
      <w:lvlJc w:val="left"/>
      <w:pPr>
        <w:tabs>
          <w:tab w:val="num" w:pos="4680"/>
        </w:tabs>
        <w:ind w:left="4680" w:hanging="360"/>
      </w:pPr>
    </w:lvl>
    <w:lvl w:ilvl="5" w:tplc="B6345B84" w:tentative="1">
      <w:start w:val="1"/>
      <w:numFmt w:val="lowerRoman"/>
      <w:lvlText w:val="%6."/>
      <w:lvlJc w:val="right"/>
      <w:pPr>
        <w:tabs>
          <w:tab w:val="num" w:pos="5400"/>
        </w:tabs>
        <w:ind w:left="5400" w:hanging="180"/>
      </w:pPr>
    </w:lvl>
    <w:lvl w:ilvl="6" w:tplc="55DAE402" w:tentative="1">
      <w:start w:val="1"/>
      <w:numFmt w:val="decimal"/>
      <w:lvlText w:val="%7."/>
      <w:lvlJc w:val="left"/>
      <w:pPr>
        <w:tabs>
          <w:tab w:val="num" w:pos="6120"/>
        </w:tabs>
        <w:ind w:left="6120" w:hanging="360"/>
      </w:pPr>
    </w:lvl>
    <w:lvl w:ilvl="7" w:tplc="C29EAB9C" w:tentative="1">
      <w:start w:val="1"/>
      <w:numFmt w:val="lowerLetter"/>
      <w:lvlText w:val="%8."/>
      <w:lvlJc w:val="left"/>
      <w:pPr>
        <w:tabs>
          <w:tab w:val="num" w:pos="6840"/>
        </w:tabs>
        <w:ind w:left="6840" w:hanging="360"/>
      </w:pPr>
    </w:lvl>
    <w:lvl w:ilvl="8" w:tplc="23026C0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F39C6B68">
      <w:start w:val="1"/>
      <w:numFmt w:val="bullet"/>
      <w:lvlText w:val="­"/>
      <w:lvlJc w:val="left"/>
      <w:pPr>
        <w:tabs>
          <w:tab w:val="num" w:pos="720"/>
        </w:tabs>
        <w:ind w:left="720" w:hanging="360"/>
      </w:pPr>
      <w:rPr>
        <w:rFonts w:ascii="Courier New" w:hAnsi="Courier New" w:hint="default"/>
      </w:rPr>
    </w:lvl>
    <w:lvl w:ilvl="1" w:tplc="D898DFFC" w:tentative="1">
      <w:start w:val="1"/>
      <w:numFmt w:val="bullet"/>
      <w:lvlText w:val="o"/>
      <w:lvlJc w:val="left"/>
      <w:pPr>
        <w:tabs>
          <w:tab w:val="num" w:pos="1440"/>
        </w:tabs>
        <w:ind w:left="1440" w:hanging="360"/>
      </w:pPr>
      <w:rPr>
        <w:rFonts w:ascii="Courier New" w:hAnsi="Courier New" w:cs="Courier New" w:hint="default"/>
      </w:rPr>
    </w:lvl>
    <w:lvl w:ilvl="2" w:tplc="42D2004A" w:tentative="1">
      <w:start w:val="1"/>
      <w:numFmt w:val="bullet"/>
      <w:lvlText w:val=""/>
      <w:lvlJc w:val="left"/>
      <w:pPr>
        <w:tabs>
          <w:tab w:val="num" w:pos="2160"/>
        </w:tabs>
        <w:ind w:left="2160" w:hanging="360"/>
      </w:pPr>
      <w:rPr>
        <w:rFonts w:ascii="Wingdings" w:hAnsi="Wingdings" w:hint="default"/>
      </w:rPr>
    </w:lvl>
    <w:lvl w:ilvl="3" w:tplc="8634E108" w:tentative="1">
      <w:start w:val="1"/>
      <w:numFmt w:val="bullet"/>
      <w:lvlText w:val=""/>
      <w:lvlJc w:val="left"/>
      <w:pPr>
        <w:tabs>
          <w:tab w:val="num" w:pos="2880"/>
        </w:tabs>
        <w:ind w:left="2880" w:hanging="360"/>
      </w:pPr>
      <w:rPr>
        <w:rFonts w:ascii="Symbol" w:hAnsi="Symbol" w:hint="default"/>
      </w:rPr>
    </w:lvl>
    <w:lvl w:ilvl="4" w:tplc="9320D910" w:tentative="1">
      <w:start w:val="1"/>
      <w:numFmt w:val="bullet"/>
      <w:lvlText w:val="o"/>
      <w:lvlJc w:val="left"/>
      <w:pPr>
        <w:tabs>
          <w:tab w:val="num" w:pos="3600"/>
        </w:tabs>
        <w:ind w:left="3600" w:hanging="360"/>
      </w:pPr>
      <w:rPr>
        <w:rFonts w:ascii="Courier New" w:hAnsi="Courier New" w:cs="Courier New" w:hint="default"/>
      </w:rPr>
    </w:lvl>
    <w:lvl w:ilvl="5" w:tplc="BC6AA41C" w:tentative="1">
      <w:start w:val="1"/>
      <w:numFmt w:val="bullet"/>
      <w:lvlText w:val=""/>
      <w:lvlJc w:val="left"/>
      <w:pPr>
        <w:tabs>
          <w:tab w:val="num" w:pos="4320"/>
        </w:tabs>
        <w:ind w:left="4320" w:hanging="360"/>
      </w:pPr>
      <w:rPr>
        <w:rFonts w:ascii="Wingdings" w:hAnsi="Wingdings" w:hint="default"/>
      </w:rPr>
    </w:lvl>
    <w:lvl w:ilvl="6" w:tplc="38F8F9FA" w:tentative="1">
      <w:start w:val="1"/>
      <w:numFmt w:val="bullet"/>
      <w:lvlText w:val=""/>
      <w:lvlJc w:val="left"/>
      <w:pPr>
        <w:tabs>
          <w:tab w:val="num" w:pos="5040"/>
        </w:tabs>
        <w:ind w:left="5040" w:hanging="360"/>
      </w:pPr>
      <w:rPr>
        <w:rFonts w:ascii="Symbol" w:hAnsi="Symbol" w:hint="default"/>
      </w:rPr>
    </w:lvl>
    <w:lvl w:ilvl="7" w:tplc="6EAA0634" w:tentative="1">
      <w:start w:val="1"/>
      <w:numFmt w:val="bullet"/>
      <w:lvlText w:val="o"/>
      <w:lvlJc w:val="left"/>
      <w:pPr>
        <w:tabs>
          <w:tab w:val="num" w:pos="5760"/>
        </w:tabs>
        <w:ind w:left="5760" w:hanging="360"/>
      </w:pPr>
      <w:rPr>
        <w:rFonts w:ascii="Courier New" w:hAnsi="Courier New" w:cs="Courier New" w:hint="default"/>
      </w:rPr>
    </w:lvl>
    <w:lvl w:ilvl="8" w:tplc="719E47F0"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39F84E94">
      <w:start w:val="1"/>
      <w:numFmt w:val="lowerRoman"/>
      <w:lvlText w:val="(%1)"/>
      <w:lvlJc w:val="left"/>
      <w:pPr>
        <w:tabs>
          <w:tab w:val="num" w:pos="1440"/>
        </w:tabs>
        <w:ind w:left="1440" w:hanging="720"/>
      </w:pPr>
      <w:rPr>
        <w:rFonts w:hint="default"/>
      </w:rPr>
    </w:lvl>
    <w:lvl w:ilvl="1" w:tplc="DBF291FE" w:tentative="1">
      <w:start w:val="1"/>
      <w:numFmt w:val="lowerLetter"/>
      <w:lvlText w:val="%2."/>
      <w:lvlJc w:val="left"/>
      <w:pPr>
        <w:tabs>
          <w:tab w:val="num" w:pos="1800"/>
        </w:tabs>
        <w:ind w:left="1800" w:hanging="360"/>
      </w:pPr>
    </w:lvl>
    <w:lvl w:ilvl="2" w:tplc="527E1954" w:tentative="1">
      <w:start w:val="1"/>
      <w:numFmt w:val="lowerRoman"/>
      <w:lvlText w:val="%3."/>
      <w:lvlJc w:val="right"/>
      <w:pPr>
        <w:tabs>
          <w:tab w:val="num" w:pos="2520"/>
        </w:tabs>
        <w:ind w:left="2520" w:hanging="180"/>
      </w:pPr>
    </w:lvl>
    <w:lvl w:ilvl="3" w:tplc="FE2ED262" w:tentative="1">
      <w:start w:val="1"/>
      <w:numFmt w:val="decimal"/>
      <w:lvlText w:val="%4."/>
      <w:lvlJc w:val="left"/>
      <w:pPr>
        <w:tabs>
          <w:tab w:val="num" w:pos="3240"/>
        </w:tabs>
        <w:ind w:left="3240" w:hanging="360"/>
      </w:pPr>
    </w:lvl>
    <w:lvl w:ilvl="4" w:tplc="A81262A6" w:tentative="1">
      <w:start w:val="1"/>
      <w:numFmt w:val="lowerLetter"/>
      <w:lvlText w:val="%5."/>
      <w:lvlJc w:val="left"/>
      <w:pPr>
        <w:tabs>
          <w:tab w:val="num" w:pos="3960"/>
        </w:tabs>
        <w:ind w:left="3960" w:hanging="360"/>
      </w:pPr>
    </w:lvl>
    <w:lvl w:ilvl="5" w:tplc="07BC063C" w:tentative="1">
      <w:start w:val="1"/>
      <w:numFmt w:val="lowerRoman"/>
      <w:lvlText w:val="%6."/>
      <w:lvlJc w:val="right"/>
      <w:pPr>
        <w:tabs>
          <w:tab w:val="num" w:pos="4680"/>
        </w:tabs>
        <w:ind w:left="4680" w:hanging="180"/>
      </w:pPr>
    </w:lvl>
    <w:lvl w:ilvl="6" w:tplc="6BC040A8" w:tentative="1">
      <w:start w:val="1"/>
      <w:numFmt w:val="decimal"/>
      <w:lvlText w:val="%7."/>
      <w:lvlJc w:val="left"/>
      <w:pPr>
        <w:tabs>
          <w:tab w:val="num" w:pos="5400"/>
        </w:tabs>
        <w:ind w:left="5400" w:hanging="360"/>
      </w:pPr>
    </w:lvl>
    <w:lvl w:ilvl="7" w:tplc="E3C479E8" w:tentative="1">
      <w:start w:val="1"/>
      <w:numFmt w:val="lowerLetter"/>
      <w:lvlText w:val="%8."/>
      <w:lvlJc w:val="left"/>
      <w:pPr>
        <w:tabs>
          <w:tab w:val="num" w:pos="6120"/>
        </w:tabs>
        <w:ind w:left="6120" w:hanging="360"/>
      </w:pPr>
    </w:lvl>
    <w:lvl w:ilvl="8" w:tplc="57F2504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848EADE8">
      <w:start w:val="1"/>
      <w:numFmt w:val="lowerRoman"/>
      <w:lvlText w:val="(%1)"/>
      <w:lvlJc w:val="left"/>
      <w:pPr>
        <w:tabs>
          <w:tab w:val="num" w:pos="2448"/>
        </w:tabs>
        <w:ind w:left="2448" w:hanging="648"/>
      </w:pPr>
      <w:rPr>
        <w:rFonts w:hint="default"/>
        <w:b w:val="0"/>
        <w:i w:val="0"/>
        <w:u w:val="none"/>
      </w:rPr>
    </w:lvl>
    <w:lvl w:ilvl="1" w:tplc="1CF40E6E" w:tentative="1">
      <w:start w:val="1"/>
      <w:numFmt w:val="lowerLetter"/>
      <w:lvlText w:val="%2."/>
      <w:lvlJc w:val="left"/>
      <w:pPr>
        <w:tabs>
          <w:tab w:val="num" w:pos="1440"/>
        </w:tabs>
        <w:ind w:left="1440" w:hanging="360"/>
      </w:pPr>
    </w:lvl>
    <w:lvl w:ilvl="2" w:tplc="04D49122" w:tentative="1">
      <w:start w:val="1"/>
      <w:numFmt w:val="lowerRoman"/>
      <w:lvlText w:val="%3."/>
      <w:lvlJc w:val="right"/>
      <w:pPr>
        <w:tabs>
          <w:tab w:val="num" w:pos="2160"/>
        </w:tabs>
        <w:ind w:left="2160" w:hanging="180"/>
      </w:pPr>
    </w:lvl>
    <w:lvl w:ilvl="3" w:tplc="5FA4AC9A" w:tentative="1">
      <w:start w:val="1"/>
      <w:numFmt w:val="decimal"/>
      <w:lvlText w:val="%4."/>
      <w:lvlJc w:val="left"/>
      <w:pPr>
        <w:tabs>
          <w:tab w:val="num" w:pos="2880"/>
        </w:tabs>
        <w:ind w:left="2880" w:hanging="360"/>
      </w:pPr>
    </w:lvl>
    <w:lvl w:ilvl="4" w:tplc="2FFC430E" w:tentative="1">
      <w:start w:val="1"/>
      <w:numFmt w:val="lowerLetter"/>
      <w:lvlText w:val="%5."/>
      <w:lvlJc w:val="left"/>
      <w:pPr>
        <w:tabs>
          <w:tab w:val="num" w:pos="3600"/>
        </w:tabs>
        <w:ind w:left="3600" w:hanging="360"/>
      </w:pPr>
    </w:lvl>
    <w:lvl w:ilvl="5" w:tplc="E10E7BF8" w:tentative="1">
      <w:start w:val="1"/>
      <w:numFmt w:val="lowerRoman"/>
      <w:lvlText w:val="%6."/>
      <w:lvlJc w:val="right"/>
      <w:pPr>
        <w:tabs>
          <w:tab w:val="num" w:pos="4320"/>
        </w:tabs>
        <w:ind w:left="4320" w:hanging="180"/>
      </w:pPr>
    </w:lvl>
    <w:lvl w:ilvl="6" w:tplc="76A61A60" w:tentative="1">
      <w:start w:val="1"/>
      <w:numFmt w:val="decimal"/>
      <w:lvlText w:val="%7."/>
      <w:lvlJc w:val="left"/>
      <w:pPr>
        <w:tabs>
          <w:tab w:val="num" w:pos="5040"/>
        </w:tabs>
        <w:ind w:left="5040" w:hanging="360"/>
      </w:pPr>
    </w:lvl>
    <w:lvl w:ilvl="7" w:tplc="28081722" w:tentative="1">
      <w:start w:val="1"/>
      <w:numFmt w:val="lowerLetter"/>
      <w:lvlText w:val="%8."/>
      <w:lvlJc w:val="left"/>
      <w:pPr>
        <w:tabs>
          <w:tab w:val="num" w:pos="5760"/>
        </w:tabs>
        <w:ind w:left="5760" w:hanging="360"/>
      </w:pPr>
    </w:lvl>
    <w:lvl w:ilvl="8" w:tplc="E52E9B5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0CB2531C">
      <w:start w:val="1"/>
      <w:numFmt w:val="lowerLetter"/>
      <w:lvlText w:val="%1."/>
      <w:lvlJc w:val="left"/>
      <w:pPr>
        <w:tabs>
          <w:tab w:val="num" w:pos="2160"/>
        </w:tabs>
        <w:ind w:left="2160" w:hanging="720"/>
      </w:pPr>
      <w:rPr>
        <w:rFonts w:hint="default"/>
      </w:rPr>
    </w:lvl>
    <w:lvl w:ilvl="1" w:tplc="E02A286C" w:tentative="1">
      <w:start w:val="1"/>
      <w:numFmt w:val="lowerLetter"/>
      <w:lvlText w:val="%2."/>
      <w:lvlJc w:val="left"/>
      <w:pPr>
        <w:tabs>
          <w:tab w:val="num" w:pos="2520"/>
        </w:tabs>
        <w:ind w:left="2520" w:hanging="360"/>
      </w:pPr>
    </w:lvl>
    <w:lvl w:ilvl="2" w:tplc="2B607FFE" w:tentative="1">
      <w:start w:val="1"/>
      <w:numFmt w:val="lowerRoman"/>
      <w:lvlText w:val="%3."/>
      <w:lvlJc w:val="right"/>
      <w:pPr>
        <w:tabs>
          <w:tab w:val="num" w:pos="3240"/>
        </w:tabs>
        <w:ind w:left="3240" w:hanging="180"/>
      </w:pPr>
    </w:lvl>
    <w:lvl w:ilvl="3" w:tplc="D20225C2" w:tentative="1">
      <w:start w:val="1"/>
      <w:numFmt w:val="decimal"/>
      <w:lvlText w:val="%4."/>
      <w:lvlJc w:val="left"/>
      <w:pPr>
        <w:tabs>
          <w:tab w:val="num" w:pos="3960"/>
        </w:tabs>
        <w:ind w:left="3960" w:hanging="360"/>
      </w:pPr>
    </w:lvl>
    <w:lvl w:ilvl="4" w:tplc="E8245150" w:tentative="1">
      <w:start w:val="1"/>
      <w:numFmt w:val="lowerLetter"/>
      <w:lvlText w:val="%5."/>
      <w:lvlJc w:val="left"/>
      <w:pPr>
        <w:tabs>
          <w:tab w:val="num" w:pos="4680"/>
        </w:tabs>
        <w:ind w:left="4680" w:hanging="360"/>
      </w:pPr>
    </w:lvl>
    <w:lvl w:ilvl="5" w:tplc="FC76FB86" w:tentative="1">
      <w:start w:val="1"/>
      <w:numFmt w:val="lowerRoman"/>
      <w:lvlText w:val="%6."/>
      <w:lvlJc w:val="right"/>
      <w:pPr>
        <w:tabs>
          <w:tab w:val="num" w:pos="5400"/>
        </w:tabs>
        <w:ind w:left="5400" w:hanging="180"/>
      </w:pPr>
    </w:lvl>
    <w:lvl w:ilvl="6" w:tplc="CD3046F8" w:tentative="1">
      <w:start w:val="1"/>
      <w:numFmt w:val="decimal"/>
      <w:lvlText w:val="%7."/>
      <w:lvlJc w:val="left"/>
      <w:pPr>
        <w:tabs>
          <w:tab w:val="num" w:pos="6120"/>
        </w:tabs>
        <w:ind w:left="6120" w:hanging="360"/>
      </w:pPr>
    </w:lvl>
    <w:lvl w:ilvl="7" w:tplc="FAE845C6" w:tentative="1">
      <w:start w:val="1"/>
      <w:numFmt w:val="lowerLetter"/>
      <w:lvlText w:val="%8."/>
      <w:lvlJc w:val="left"/>
      <w:pPr>
        <w:tabs>
          <w:tab w:val="num" w:pos="6840"/>
        </w:tabs>
        <w:ind w:left="6840" w:hanging="360"/>
      </w:pPr>
    </w:lvl>
    <w:lvl w:ilvl="8" w:tplc="4A2CCDD2"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EE0A8E6E">
      <w:start w:val="1"/>
      <w:numFmt w:val="bullet"/>
      <w:lvlText w:val=""/>
      <w:lvlJc w:val="left"/>
      <w:pPr>
        <w:tabs>
          <w:tab w:val="num" w:pos="5760"/>
        </w:tabs>
        <w:ind w:left="5760" w:hanging="360"/>
      </w:pPr>
      <w:rPr>
        <w:rFonts w:ascii="Symbol" w:hAnsi="Symbol" w:hint="default"/>
        <w:color w:val="auto"/>
        <w:u w:val="none"/>
      </w:rPr>
    </w:lvl>
    <w:lvl w:ilvl="1" w:tplc="793A0CC8" w:tentative="1">
      <w:start w:val="1"/>
      <w:numFmt w:val="bullet"/>
      <w:lvlText w:val="o"/>
      <w:lvlJc w:val="left"/>
      <w:pPr>
        <w:tabs>
          <w:tab w:val="num" w:pos="3600"/>
        </w:tabs>
        <w:ind w:left="3600" w:hanging="360"/>
      </w:pPr>
      <w:rPr>
        <w:rFonts w:ascii="Courier New" w:hAnsi="Courier New" w:hint="default"/>
      </w:rPr>
    </w:lvl>
    <w:lvl w:ilvl="2" w:tplc="A4223104" w:tentative="1">
      <w:start w:val="1"/>
      <w:numFmt w:val="bullet"/>
      <w:lvlText w:val=""/>
      <w:lvlJc w:val="left"/>
      <w:pPr>
        <w:tabs>
          <w:tab w:val="num" w:pos="4320"/>
        </w:tabs>
        <w:ind w:left="4320" w:hanging="360"/>
      </w:pPr>
      <w:rPr>
        <w:rFonts w:ascii="Wingdings" w:hAnsi="Wingdings" w:hint="default"/>
      </w:rPr>
    </w:lvl>
    <w:lvl w:ilvl="3" w:tplc="EE14FB88">
      <w:start w:val="1"/>
      <w:numFmt w:val="bullet"/>
      <w:lvlText w:val=""/>
      <w:lvlJc w:val="left"/>
      <w:pPr>
        <w:tabs>
          <w:tab w:val="num" w:pos="5040"/>
        </w:tabs>
        <w:ind w:left="5040" w:hanging="360"/>
      </w:pPr>
      <w:rPr>
        <w:rFonts w:ascii="Symbol" w:hAnsi="Symbol" w:hint="default"/>
      </w:rPr>
    </w:lvl>
    <w:lvl w:ilvl="4" w:tplc="16EE2A9C" w:tentative="1">
      <w:start w:val="1"/>
      <w:numFmt w:val="bullet"/>
      <w:lvlText w:val="o"/>
      <w:lvlJc w:val="left"/>
      <w:pPr>
        <w:tabs>
          <w:tab w:val="num" w:pos="5760"/>
        </w:tabs>
        <w:ind w:left="5760" w:hanging="360"/>
      </w:pPr>
      <w:rPr>
        <w:rFonts w:ascii="Courier New" w:hAnsi="Courier New" w:hint="default"/>
      </w:rPr>
    </w:lvl>
    <w:lvl w:ilvl="5" w:tplc="25FE06F4" w:tentative="1">
      <w:start w:val="1"/>
      <w:numFmt w:val="bullet"/>
      <w:lvlText w:val=""/>
      <w:lvlJc w:val="left"/>
      <w:pPr>
        <w:tabs>
          <w:tab w:val="num" w:pos="6480"/>
        </w:tabs>
        <w:ind w:left="6480" w:hanging="360"/>
      </w:pPr>
      <w:rPr>
        <w:rFonts w:ascii="Wingdings" w:hAnsi="Wingdings" w:hint="default"/>
      </w:rPr>
    </w:lvl>
    <w:lvl w:ilvl="6" w:tplc="2B34F82A" w:tentative="1">
      <w:start w:val="1"/>
      <w:numFmt w:val="bullet"/>
      <w:lvlText w:val=""/>
      <w:lvlJc w:val="left"/>
      <w:pPr>
        <w:tabs>
          <w:tab w:val="num" w:pos="7200"/>
        </w:tabs>
        <w:ind w:left="7200" w:hanging="360"/>
      </w:pPr>
      <w:rPr>
        <w:rFonts w:ascii="Symbol" w:hAnsi="Symbol" w:hint="default"/>
      </w:rPr>
    </w:lvl>
    <w:lvl w:ilvl="7" w:tplc="ED0C99D0" w:tentative="1">
      <w:start w:val="1"/>
      <w:numFmt w:val="bullet"/>
      <w:lvlText w:val="o"/>
      <w:lvlJc w:val="left"/>
      <w:pPr>
        <w:tabs>
          <w:tab w:val="num" w:pos="7920"/>
        </w:tabs>
        <w:ind w:left="7920" w:hanging="360"/>
      </w:pPr>
      <w:rPr>
        <w:rFonts w:ascii="Courier New" w:hAnsi="Courier New" w:hint="default"/>
      </w:rPr>
    </w:lvl>
    <w:lvl w:ilvl="8" w:tplc="4602084E"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4EE29630">
      <w:start w:val="1"/>
      <w:numFmt w:val="bullet"/>
      <w:lvlText w:val=""/>
      <w:lvlJc w:val="left"/>
      <w:pPr>
        <w:tabs>
          <w:tab w:val="num" w:pos="720"/>
        </w:tabs>
        <w:ind w:left="720" w:hanging="360"/>
      </w:pPr>
      <w:rPr>
        <w:rFonts w:ascii="Symbol" w:hAnsi="Symbol" w:hint="default"/>
      </w:rPr>
    </w:lvl>
    <w:lvl w:ilvl="1" w:tplc="5A3C29B8" w:tentative="1">
      <w:start w:val="1"/>
      <w:numFmt w:val="bullet"/>
      <w:lvlText w:val="o"/>
      <w:lvlJc w:val="left"/>
      <w:pPr>
        <w:tabs>
          <w:tab w:val="num" w:pos="1440"/>
        </w:tabs>
        <w:ind w:left="1440" w:hanging="360"/>
      </w:pPr>
      <w:rPr>
        <w:rFonts w:ascii="Courier New" w:hAnsi="Courier New" w:hint="default"/>
      </w:rPr>
    </w:lvl>
    <w:lvl w:ilvl="2" w:tplc="E90607BE" w:tentative="1">
      <w:start w:val="1"/>
      <w:numFmt w:val="bullet"/>
      <w:lvlText w:val=""/>
      <w:lvlJc w:val="left"/>
      <w:pPr>
        <w:tabs>
          <w:tab w:val="num" w:pos="2160"/>
        </w:tabs>
        <w:ind w:left="2160" w:hanging="360"/>
      </w:pPr>
      <w:rPr>
        <w:rFonts w:ascii="Wingdings" w:hAnsi="Wingdings" w:hint="default"/>
      </w:rPr>
    </w:lvl>
    <w:lvl w:ilvl="3" w:tplc="6E004E32" w:tentative="1">
      <w:start w:val="1"/>
      <w:numFmt w:val="bullet"/>
      <w:lvlText w:val=""/>
      <w:lvlJc w:val="left"/>
      <w:pPr>
        <w:tabs>
          <w:tab w:val="num" w:pos="2880"/>
        </w:tabs>
        <w:ind w:left="2880" w:hanging="360"/>
      </w:pPr>
      <w:rPr>
        <w:rFonts w:ascii="Symbol" w:hAnsi="Symbol" w:hint="default"/>
      </w:rPr>
    </w:lvl>
    <w:lvl w:ilvl="4" w:tplc="2FA06234" w:tentative="1">
      <w:start w:val="1"/>
      <w:numFmt w:val="bullet"/>
      <w:lvlText w:val="o"/>
      <w:lvlJc w:val="left"/>
      <w:pPr>
        <w:tabs>
          <w:tab w:val="num" w:pos="3600"/>
        </w:tabs>
        <w:ind w:left="3600" w:hanging="360"/>
      </w:pPr>
      <w:rPr>
        <w:rFonts w:ascii="Courier New" w:hAnsi="Courier New" w:hint="default"/>
      </w:rPr>
    </w:lvl>
    <w:lvl w:ilvl="5" w:tplc="F788CC12" w:tentative="1">
      <w:start w:val="1"/>
      <w:numFmt w:val="bullet"/>
      <w:lvlText w:val=""/>
      <w:lvlJc w:val="left"/>
      <w:pPr>
        <w:tabs>
          <w:tab w:val="num" w:pos="4320"/>
        </w:tabs>
        <w:ind w:left="4320" w:hanging="360"/>
      </w:pPr>
      <w:rPr>
        <w:rFonts w:ascii="Wingdings" w:hAnsi="Wingdings" w:hint="default"/>
      </w:rPr>
    </w:lvl>
    <w:lvl w:ilvl="6" w:tplc="61C05802" w:tentative="1">
      <w:start w:val="1"/>
      <w:numFmt w:val="bullet"/>
      <w:lvlText w:val=""/>
      <w:lvlJc w:val="left"/>
      <w:pPr>
        <w:tabs>
          <w:tab w:val="num" w:pos="5040"/>
        </w:tabs>
        <w:ind w:left="5040" w:hanging="360"/>
      </w:pPr>
      <w:rPr>
        <w:rFonts w:ascii="Symbol" w:hAnsi="Symbol" w:hint="default"/>
      </w:rPr>
    </w:lvl>
    <w:lvl w:ilvl="7" w:tplc="C784CECA" w:tentative="1">
      <w:start w:val="1"/>
      <w:numFmt w:val="bullet"/>
      <w:lvlText w:val="o"/>
      <w:lvlJc w:val="left"/>
      <w:pPr>
        <w:tabs>
          <w:tab w:val="num" w:pos="5760"/>
        </w:tabs>
        <w:ind w:left="5760" w:hanging="360"/>
      </w:pPr>
      <w:rPr>
        <w:rFonts w:ascii="Courier New" w:hAnsi="Courier New" w:hint="default"/>
      </w:rPr>
    </w:lvl>
    <w:lvl w:ilvl="8" w:tplc="C35AF07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0290CE2E">
      <w:start w:val="6"/>
      <w:numFmt w:val="lowerRoman"/>
      <w:lvlText w:val="(%1)"/>
      <w:lvlJc w:val="left"/>
      <w:pPr>
        <w:tabs>
          <w:tab w:val="num" w:pos="1440"/>
        </w:tabs>
        <w:ind w:left="1440" w:hanging="720"/>
      </w:pPr>
      <w:rPr>
        <w:rFonts w:hint="default"/>
        <w:u w:val="double"/>
      </w:rPr>
    </w:lvl>
    <w:lvl w:ilvl="1" w:tplc="5E4AA6F0" w:tentative="1">
      <w:start w:val="1"/>
      <w:numFmt w:val="lowerLetter"/>
      <w:lvlText w:val="%2."/>
      <w:lvlJc w:val="left"/>
      <w:pPr>
        <w:tabs>
          <w:tab w:val="num" w:pos="1800"/>
        </w:tabs>
        <w:ind w:left="1800" w:hanging="360"/>
      </w:pPr>
    </w:lvl>
    <w:lvl w:ilvl="2" w:tplc="F74A9DEC" w:tentative="1">
      <w:start w:val="1"/>
      <w:numFmt w:val="lowerRoman"/>
      <w:lvlText w:val="%3."/>
      <w:lvlJc w:val="right"/>
      <w:pPr>
        <w:tabs>
          <w:tab w:val="num" w:pos="2520"/>
        </w:tabs>
        <w:ind w:left="2520" w:hanging="180"/>
      </w:pPr>
    </w:lvl>
    <w:lvl w:ilvl="3" w:tplc="DF5C7A8A" w:tentative="1">
      <w:start w:val="1"/>
      <w:numFmt w:val="decimal"/>
      <w:lvlText w:val="%4."/>
      <w:lvlJc w:val="left"/>
      <w:pPr>
        <w:tabs>
          <w:tab w:val="num" w:pos="3240"/>
        </w:tabs>
        <w:ind w:left="3240" w:hanging="360"/>
      </w:pPr>
    </w:lvl>
    <w:lvl w:ilvl="4" w:tplc="9AF2DDB8" w:tentative="1">
      <w:start w:val="1"/>
      <w:numFmt w:val="lowerLetter"/>
      <w:lvlText w:val="%5."/>
      <w:lvlJc w:val="left"/>
      <w:pPr>
        <w:tabs>
          <w:tab w:val="num" w:pos="3960"/>
        </w:tabs>
        <w:ind w:left="3960" w:hanging="360"/>
      </w:pPr>
    </w:lvl>
    <w:lvl w:ilvl="5" w:tplc="71CAD10C" w:tentative="1">
      <w:start w:val="1"/>
      <w:numFmt w:val="lowerRoman"/>
      <w:lvlText w:val="%6."/>
      <w:lvlJc w:val="right"/>
      <w:pPr>
        <w:tabs>
          <w:tab w:val="num" w:pos="4680"/>
        </w:tabs>
        <w:ind w:left="4680" w:hanging="180"/>
      </w:pPr>
    </w:lvl>
    <w:lvl w:ilvl="6" w:tplc="4D12184E" w:tentative="1">
      <w:start w:val="1"/>
      <w:numFmt w:val="decimal"/>
      <w:lvlText w:val="%7."/>
      <w:lvlJc w:val="left"/>
      <w:pPr>
        <w:tabs>
          <w:tab w:val="num" w:pos="5400"/>
        </w:tabs>
        <w:ind w:left="5400" w:hanging="360"/>
      </w:pPr>
    </w:lvl>
    <w:lvl w:ilvl="7" w:tplc="BBC290E0" w:tentative="1">
      <w:start w:val="1"/>
      <w:numFmt w:val="lowerLetter"/>
      <w:lvlText w:val="%8."/>
      <w:lvlJc w:val="left"/>
      <w:pPr>
        <w:tabs>
          <w:tab w:val="num" w:pos="6120"/>
        </w:tabs>
        <w:ind w:left="6120" w:hanging="360"/>
      </w:pPr>
    </w:lvl>
    <w:lvl w:ilvl="8" w:tplc="4318861C"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06"/>
    <w:rsid w:val="000A7D2B"/>
    <w:rsid w:val="006E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B16"/>
    <w:pPr>
      <w:widowControl w:val="0"/>
    </w:pPr>
    <w:rPr>
      <w:snapToGrid w:val="0"/>
      <w:sz w:val="24"/>
    </w:rPr>
  </w:style>
  <w:style w:type="paragraph" w:styleId="Heading1">
    <w:name w:val="heading 1"/>
    <w:basedOn w:val="Normal"/>
    <w:next w:val="Normal"/>
    <w:link w:val="Heading1Char"/>
    <w:qFormat/>
    <w:rsid w:val="00661B16"/>
    <w:pPr>
      <w:keepNext/>
      <w:spacing w:before="240" w:after="240"/>
      <w:ind w:left="720" w:hanging="720"/>
      <w:outlineLvl w:val="0"/>
    </w:pPr>
    <w:rPr>
      <w:b/>
    </w:rPr>
  </w:style>
  <w:style w:type="paragraph" w:styleId="Heading2">
    <w:name w:val="heading 2"/>
    <w:basedOn w:val="Normal"/>
    <w:next w:val="Normal"/>
    <w:qFormat/>
    <w:rsid w:val="00661B1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61B1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61B16"/>
    <w:pPr>
      <w:keepNext/>
      <w:tabs>
        <w:tab w:val="left" w:pos="1800"/>
      </w:tabs>
      <w:spacing w:before="240" w:after="240"/>
      <w:ind w:left="1800" w:hanging="1080"/>
      <w:outlineLvl w:val="3"/>
    </w:pPr>
    <w:rPr>
      <w:b/>
    </w:rPr>
  </w:style>
  <w:style w:type="paragraph" w:styleId="Heading5">
    <w:name w:val="heading 5"/>
    <w:basedOn w:val="Normal"/>
    <w:next w:val="Normal"/>
    <w:qFormat/>
    <w:rsid w:val="00661B16"/>
    <w:pPr>
      <w:keepNext/>
      <w:spacing w:line="480" w:lineRule="auto"/>
      <w:ind w:left="1440" w:right="-90" w:hanging="720"/>
      <w:outlineLvl w:val="4"/>
    </w:pPr>
    <w:rPr>
      <w:b/>
    </w:rPr>
  </w:style>
  <w:style w:type="paragraph" w:styleId="Heading6">
    <w:name w:val="heading 6"/>
    <w:basedOn w:val="Normal"/>
    <w:next w:val="Normal"/>
    <w:qFormat/>
    <w:rsid w:val="00661B16"/>
    <w:pPr>
      <w:keepNext/>
      <w:spacing w:line="480" w:lineRule="auto"/>
      <w:ind w:left="1080" w:right="-90" w:hanging="360"/>
      <w:outlineLvl w:val="5"/>
    </w:pPr>
    <w:rPr>
      <w:b/>
    </w:rPr>
  </w:style>
  <w:style w:type="paragraph" w:styleId="Heading7">
    <w:name w:val="heading 7"/>
    <w:basedOn w:val="Normal"/>
    <w:next w:val="Normal"/>
    <w:qFormat/>
    <w:rsid w:val="00661B16"/>
    <w:pPr>
      <w:keepNext/>
      <w:spacing w:line="480" w:lineRule="auto"/>
      <w:ind w:left="720" w:right="630"/>
      <w:outlineLvl w:val="6"/>
    </w:pPr>
    <w:rPr>
      <w:b/>
    </w:rPr>
  </w:style>
  <w:style w:type="paragraph" w:styleId="Heading8">
    <w:name w:val="heading 8"/>
    <w:basedOn w:val="Normal"/>
    <w:next w:val="Normal"/>
    <w:qFormat/>
    <w:rsid w:val="00661B16"/>
    <w:pPr>
      <w:keepNext/>
      <w:spacing w:line="480" w:lineRule="auto"/>
      <w:ind w:left="720" w:right="-90"/>
      <w:outlineLvl w:val="7"/>
    </w:pPr>
    <w:rPr>
      <w:b/>
    </w:rPr>
  </w:style>
  <w:style w:type="paragraph" w:styleId="Heading9">
    <w:name w:val="heading 9"/>
    <w:basedOn w:val="Normal"/>
    <w:next w:val="Normal"/>
    <w:qFormat/>
    <w:rsid w:val="00661B1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61B16"/>
    <w:rPr>
      <w:b/>
      <w:snapToGrid w:val="0"/>
      <w:sz w:val="24"/>
      <w:lang w:val="en-US" w:eastAsia="en-US" w:bidi="ar-SA"/>
    </w:rPr>
  </w:style>
  <w:style w:type="paragraph" w:styleId="Title">
    <w:name w:val="Title"/>
    <w:basedOn w:val="Normal"/>
    <w:qFormat/>
    <w:rsid w:val="00072DB9"/>
    <w:pPr>
      <w:jc w:val="center"/>
    </w:pPr>
    <w:rPr>
      <w:b/>
      <w:bCs/>
    </w:rPr>
  </w:style>
  <w:style w:type="character" w:styleId="CommentReference">
    <w:name w:val="annotation reference"/>
    <w:basedOn w:val="DefaultParagraphFont"/>
    <w:semiHidden/>
    <w:rsid w:val="00661B16"/>
    <w:rPr>
      <w:sz w:val="16"/>
      <w:szCs w:val="16"/>
    </w:rPr>
  </w:style>
  <w:style w:type="paragraph" w:styleId="CommentText">
    <w:name w:val="annotation text"/>
    <w:basedOn w:val="Normal"/>
    <w:link w:val="CommentTextChar"/>
    <w:semiHidden/>
    <w:rsid w:val="00661B16"/>
    <w:rPr>
      <w:sz w:val="20"/>
    </w:rPr>
  </w:style>
  <w:style w:type="paragraph" w:styleId="Header">
    <w:name w:val="header"/>
    <w:basedOn w:val="Normal"/>
    <w:rsid w:val="00661B16"/>
    <w:pPr>
      <w:widowControl/>
      <w:tabs>
        <w:tab w:val="center" w:pos="4680"/>
        <w:tab w:val="right" w:pos="9360"/>
      </w:tabs>
    </w:pPr>
    <w:rPr>
      <w:snapToGrid/>
      <w:szCs w:val="24"/>
    </w:rPr>
  </w:style>
  <w:style w:type="paragraph" w:styleId="Subtitle">
    <w:name w:val="Subtitle"/>
    <w:basedOn w:val="Normal"/>
    <w:qFormat/>
    <w:rsid w:val="00072DB9"/>
    <w:pPr>
      <w:tabs>
        <w:tab w:val="left" w:pos="720"/>
        <w:tab w:val="left" w:pos="1440"/>
        <w:tab w:val="right" w:pos="9360"/>
      </w:tabs>
      <w:ind w:left="1440" w:hanging="1440"/>
    </w:pPr>
    <w:rPr>
      <w:b/>
    </w:rPr>
  </w:style>
  <w:style w:type="character" w:styleId="PageNumber">
    <w:name w:val="page number"/>
    <w:basedOn w:val="DefaultParagraphFont"/>
    <w:rsid w:val="00661B16"/>
  </w:style>
  <w:style w:type="paragraph" w:styleId="BalloonText">
    <w:name w:val="Balloon Text"/>
    <w:basedOn w:val="Normal"/>
    <w:semiHidden/>
    <w:rsid w:val="00661B16"/>
    <w:rPr>
      <w:rFonts w:ascii="Tahoma" w:hAnsi="Tahoma" w:cs="Tahoma"/>
      <w:sz w:val="16"/>
      <w:szCs w:val="16"/>
    </w:rPr>
  </w:style>
  <w:style w:type="paragraph" w:customStyle="1" w:styleId="Default">
    <w:name w:val="Default"/>
    <w:rsid w:val="00072DB9"/>
    <w:pPr>
      <w:widowControl w:val="0"/>
      <w:autoSpaceDE w:val="0"/>
      <w:autoSpaceDN w:val="0"/>
      <w:adjustRightInd w:val="0"/>
    </w:pPr>
    <w:rPr>
      <w:color w:val="000000"/>
      <w:sz w:val="24"/>
      <w:szCs w:val="24"/>
    </w:rPr>
  </w:style>
  <w:style w:type="character" w:styleId="FootnoteReference">
    <w:name w:val="footnote reference"/>
    <w:semiHidden/>
    <w:rsid w:val="00661B16"/>
  </w:style>
  <w:style w:type="paragraph" w:customStyle="1" w:styleId="Definition">
    <w:name w:val="Definition"/>
    <w:basedOn w:val="Normal"/>
    <w:rsid w:val="00661B16"/>
    <w:pPr>
      <w:widowControl/>
      <w:spacing w:before="240" w:after="240"/>
    </w:pPr>
  </w:style>
  <w:style w:type="paragraph" w:customStyle="1" w:styleId="Definitionindent">
    <w:name w:val="Definition indent"/>
    <w:basedOn w:val="Definition"/>
    <w:rsid w:val="00661B16"/>
    <w:pPr>
      <w:spacing w:before="120" w:after="120"/>
      <w:ind w:left="720"/>
    </w:pPr>
  </w:style>
  <w:style w:type="paragraph" w:customStyle="1" w:styleId="Bodypara">
    <w:name w:val="Body para"/>
    <w:basedOn w:val="Normal"/>
    <w:link w:val="BodyparaChar"/>
    <w:rsid w:val="00661B16"/>
    <w:pPr>
      <w:spacing w:line="480" w:lineRule="auto"/>
      <w:ind w:firstLine="720"/>
    </w:pPr>
  </w:style>
  <w:style w:type="paragraph" w:customStyle="1" w:styleId="alphapara">
    <w:name w:val="alpha para"/>
    <w:basedOn w:val="Bodypara"/>
    <w:rsid w:val="00661B16"/>
    <w:pPr>
      <w:ind w:left="1440" w:hanging="720"/>
    </w:pPr>
  </w:style>
  <w:style w:type="paragraph" w:styleId="Date">
    <w:name w:val="Date"/>
    <w:basedOn w:val="Normal"/>
    <w:next w:val="Normal"/>
    <w:rsid w:val="00661B16"/>
    <w:pPr>
      <w:widowControl/>
    </w:pPr>
  </w:style>
  <w:style w:type="paragraph" w:customStyle="1" w:styleId="TOCHeading1">
    <w:name w:val="TOC Heading1"/>
    <w:basedOn w:val="Normal"/>
    <w:rsid w:val="00661B16"/>
    <w:pPr>
      <w:spacing w:before="240" w:after="240"/>
    </w:pPr>
    <w:rPr>
      <w:b/>
    </w:rPr>
  </w:style>
  <w:style w:type="paragraph" w:styleId="DocumentMap">
    <w:name w:val="Document Map"/>
    <w:basedOn w:val="Normal"/>
    <w:semiHidden/>
    <w:rsid w:val="00661B16"/>
    <w:pPr>
      <w:shd w:val="clear" w:color="auto" w:fill="000080"/>
    </w:pPr>
    <w:rPr>
      <w:rFonts w:ascii="Tahoma" w:hAnsi="Tahoma" w:cs="Tahoma"/>
      <w:sz w:val="20"/>
    </w:rPr>
  </w:style>
  <w:style w:type="paragraph" w:customStyle="1" w:styleId="Footers">
    <w:name w:val="Footers"/>
    <w:basedOn w:val="Heading1"/>
    <w:rsid w:val="00661B16"/>
    <w:pPr>
      <w:tabs>
        <w:tab w:val="left" w:pos="1440"/>
        <w:tab w:val="left" w:pos="7020"/>
        <w:tab w:val="right" w:pos="9360"/>
      </w:tabs>
    </w:pPr>
    <w:rPr>
      <w:b w:val="0"/>
      <w:sz w:val="20"/>
    </w:rPr>
  </w:style>
  <w:style w:type="paragraph" w:customStyle="1" w:styleId="subhead">
    <w:name w:val="subhead"/>
    <w:basedOn w:val="Heading4"/>
    <w:rsid w:val="00661B16"/>
    <w:pPr>
      <w:tabs>
        <w:tab w:val="clear" w:pos="1800"/>
      </w:tabs>
      <w:ind w:left="720" w:firstLine="0"/>
    </w:pPr>
  </w:style>
  <w:style w:type="paragraph" w:customStyle="1" w:styleId="alphaheading">
    <w:name w:val="alpha heading"/>
    <w:basedOn w:val="Normal"/>
    <w:rsid w:val="00661B16"/>
    <w:pPr>
      <w:keepNext/>
      <w:tabs>
        <w:tab w:val="left" w:pos="1440"/>
      </w:tabs>
      <w:spacing w:before="240" w:after="240"/>
      <w:ind w:left="1440" w:hanging="720"/>
    </w:pPr>
    <w:rPr>
      <w:b/>
      <w:szCs w:val="24"/>
    </w:rPr>
  </w:style>
  <w:style w:type="paragraph" w:customStyle="1" w:styleId="romannumeralpara">
    <w:name w:val="roman numeral para"/>
    <w:basedOn w:val="Normal"/>
    <w:rsid w:val="00661B16"/>
    <w:pPr>
      <w:spacing w:line="480" w:lineRule="auto"/>
      <w:ind w:left="1440" w:hanging="720"/>
    </w:pPr>
  </w:style>
  <w:style w:type="paragraph" w:customStyle="1" w:styleId="Bulletpara">
    <w:name w:val="Bullet para"/>
    <w:basedOn w:val="Normal"/>
    <w:rsid w:val="00661B16"/>
    <w:pPr>
      <w:widowControl/>
      <w:numPr>
        <w:numId w:val="18"/>
      </w:numPr>
      <w:tabs>
        <w:tab w:val="left" w:pos="900"/>
      </w:tabs>
      <w:spacing w:before="120" w:after="120"/>
    </w:pPr>
    <w:rPr>
      <w:szCs w:val="24"/>
    </w:rPr>
  </w:style>
  <w:style w:type="paragraph" w:styleId="TOC1">
    <w:name w:val="toc 1"/>
    <w:basedOn w:val="Normal"/>
    <w:next w:val="Normal"/>
    <w:semiHidden/>
    <w:rsid w:val="00661B16"/>
  </w:style>
  <w:style w:type="paragraph" w:customStyle="1" w:styleId="Tarifftitle">
    <w:name w:val="Tariff title"/>
    <w:basedOn w:val="Normal"/>
    <w:rsid w:val="00661B16"/>
    <w:rPr>
      <w:b/>
      <w:sz w:val="28"/>
      <w:szCs w:val="28"/>
    </w:rPr>
  </w:style>
  <w:style w:type="paragraph" w:styleId="TOC2">
    <w:name w:val="toc 2"/>
    <w:basedOn w:val="Normal"/>
    <w:next w:val="Normal"/>
    <w:semiHidden/>
    <w:rsid w:val="00661B16"/>
    <w:pPr>
      <w:ind w:left="240"/>
    </w:pPr>
  </w:style>
  <w:style w:type="character" w:styleId="Hyperlink">
    <w:name w:val="Hyperlink"/>
    <w:basedOn w:val="DefaultParagraphFont"/>
    <w:rsid w:val="00661B16"/>
    <w:rPr>
      <w:color w:val="0000FF"/>
      <w:u w:val="single"/>
    </w:rPr>
  </w:style>
  <w:style w:type="paragraph" w:styleId="TOC3">
    <w:name w:val="toc 3"/>
    <w:basedOn w:val="Normal"/>
    <w:next w:val="Normal"/>
    <w:semiHidden/>
    <w:rsid w:val="00661B16"/>
    <w:pPr>
      <w:ind w:left="480"/>
    </w:pPr>
  </w:style>
  <w:style w:type="paragraph" w:styleId="TOC4">
    <w:name w:val="toc 4"/>
    <w:basedOn w:val="Normal"/>
    <w:next w:val="Normal"/>
    <w:semiHidden/>
    <w:rsid w:val="00661B16"/>
    <w:pPr>
      <w:ind w:left="720"/>
    </w:pPr>
  </w:style>
  <w:style w:type="paragraph" w:customStyle="1" w:styleId="subalphapara">
    <w:name w:val="sub alpha para"/>
    <w:basedOn w:val="alphapara"/>
    <w:rsid w:val="00072DB9"/>
    <w:pPr>
      <w:ind w:firstLine="0"/>
    </w:pPr>
  </w:style>
  <w:style w:type="paragraph" w:customStyle="1" w:styleId="Level1">
    <w:name w:val="Level 1"/>
    <w:basedOn w:val="Normal"/>
    <w:rsid w:val="00072DB9"/>
    <w:pPr>
      <w:ind w:left="1890" w:hanging="720"/>
    </w:pPr>
  </w:style>
  <w:style w:type="paragraph" w:styleId="BodyTextIndent2">
    <w:name w:val="Body Text Indent 2"/>
    <w:basedOn w:val="Normal"/>
    <w:rsid w:val="00072DB9"/>
    <w:pPr>
      <w:spacing w:line="480" w:lineRule="auto"/>
      <w:ind w:left="720" w:firstLine="720"/>
    </w:pPr>
  </w:style>
  <w:style w:type="paragraph" w:styleId="EndnoteText">
    <w:name w:val="endnote text"/>
    <w:basedOn w:val="Normal"/>
    <w:semiHidden/>
    <w:rsid w:val="00072DB9"/>
    <w:rPr>
      <w:sz w:val="20"/>
    </w:rPr>
  </w:style>
  <w:style w:type="character" w:styleId="EndnoteReference">
    <w:name w:val="endnote reference"/>
    <w:basedOn w:val="DefaultParagraphFont"/>
    <w:semiHidden/>
    <w:rsid w:val="00072DB9"/>
    <w:rPr>
      <w:vertAlign w:val="superscript"/>
    </w:rPr>
  </w:style>
  <w:style w:type="paragraph" w:styleId="FootnoteText">
    <w:name w:val="footnote text"/>
    <w:basedOn w:val="Normal"/>
    <w:semiHidden/>
    <w:rsid w:val="00072DB9"/>
    <w:rPr>
      <w:sz w:val="20"/>
    </w:rPr>
  </w:style>
  <w:style w:type="character" w:customStyle="1" w:styleId="Heading1Char">
    <w:name w:val="Heading 1 Char"/>
    <w:basedOn w:val="DefaultParagraphFont"/>
    <w:link w:val="Heading1"/>
    <w:rsid w:val="00661B16"/>
    <w:rPr>
      <w:b/>
      <w:snapToGrid w:val="0"/>
      <w:sz w:val="24"/>
    </w:rPr>
  </w:style>
  <w:style w:type="paragraph" w:customStyle="1" w:styleId="Style2">
    <w:name w:val="Style2"/>
    <w:basedOn w:val="FootnoteText"/>
    <w:rsid w:val="00072DB9"/>
    <w:pPr>
      <w:spacing w:after="120"/>
    </w:pPr>
  </w:style>
  <w:style w:type="paragraph" w:styleId="BodyTextIndent3">
    <w:name w:val="Body Text Indent 3"/>
    <w:basedOn w:val="Normal"/>
    <w:rsid w:val="00072DB9"/>
    <w:pPr>
      <w:spacing w:after="120"/>
      <w:ind w:left="360"/>
    </w:pPr>
    <w:rPr>
      <w:sz w:val="16"/>
      <w:szCs w:val="16"/>
    </w:rPr>
  </w:style>
  <w:style w:type="character" w:customStyle="1" w:styleId="DeltaViewInsertion">
    <w:name w:val="DeltaView Insertion"/>
    <w:rsid w:val="00072DB9"/>
    <w:rPr>
      <w:spacing w:val="0"/>
      <w:u w:val="double"/>
    </w:rPr>
  </w:style>
  <w:style w:type="character" w:customStyle="1" w:styleId="Heading3Char1">
    <w:name w:val="Heading 3 Char1"/>
    <w:basedOn w:val="DefaultParagraphFont"/>
    <w:link w:val="Heading3"/>
    <w:rsid w:val="00661B16"/>
    <w:rPr>
      <w:b/>
      <w:snapToGrid w:val="0"/>
      <w:sz w:val="24"/>
    </w:rPr>
  </w:style>
  <w:style w:type="paragraph" w:styleId="TOC5">
    <w:name w:val="toc 5"/>
    <w:basedOn w:val="Normal"/>
    <w:next w:val="Normal"/>
    <w:rsid w:val="00661B16"/>
    <w:pPr>
      <w:widowControl/>
      <w:ind w:left="960"/>
    </w:pPr>
    <w:rPr>
      <w:snapToGrid/>
      <w:szCs w:val="24"/>
    </w:rPr>
  </w:style>
  <w:style w:type="paragraph" w:styleId="TOC6">
    <w:name w:val="toc 6"/>
    <w:basedOn w:val="Normal"/>
    <w:next w:val="Normal"/>
    <w:rsid w:val="00661B16"/>
    <w:pPr>
      <w:widowControl/>
      <w:ind w:left="1200"/>
    </w:pPr>
    <w:rPr>
      <w:snapToGrid/>
      <w:szCs w:val="24"/>
    </w:rPr>
  </w:style>
  <w:style w:type="paragraph" w:styleId="TOC7">
    <w:name w:val="toc 7"/>
    <w:basedOn w:val="Normal"/>
    <w:next w:val="Normal"/>
    <w:rsid w:val="00661B16"/>
    <w:pPr>
      <w:widowControl/>
      <w:ind w:left="1440"/>
    </w:pPr>
    <w:rPr>
      <w:snapToGrid/>
      <w:szCs w:val="24"/>
    </w:rPr>
  </w:style>
  <w:style w:type="paragraph" w:styleId="TOC8">
    <w:name w:val="toc 8"/>
    <w:basedOn w:val="Normal"/>
    <w:next w:val="Normal"/>
    <w:rsid w:val="00661B16"/>
    <w:pPr>
      <w:widowControl/>
      <w:ind w:left="1680"/>
    </w:pPr>
    <w:rPr>
      <w:snapToGrid/>
      <w:szCs w:val="24"/>
    </w:rPr>
  </w:style>
  <w:style w:type="paragraph" w:styleId="TOC9">
    <w:name w:val="toc 9"/>
    <w:basedOn w:val="Normal"/>
    <w:next w:val="Normal"/>
    <w:rsid w:val="00661B16"/>
    <w:pPr>
      <w:widowControl/>
      <w:ind w:left="1920"/>
    </w:pPr>
    <w:rPr>
      <w:snapToGrid/>
      <w:szCs w:val="24"/>
    </w:rPr>
  </w:style>
  <w:style w:type="paragraph" w:customStyle="1" w:styleId="a">
    <w:name w:val="_"/>
    <w:basedOn w:val="Normal"/>
    <w:rsid w:val="00661B16"/>
    <w:pPr>
      <w:ind w:left="1800" w:hanging="630"/>
    </w:pPr>
  </w:style>
  <w:style w:type="paragraph" w:styleId="CommentSubject">
    <w:name w:val="annotation subject"/>
    <w:basedOn w:val="CommentText"/>
    <w:next w:val="CommentText"/>
    <w:link w:val="CommentSubjectChar"/>
    <w:rsid w:val="00661B16"/>
    <w:rPr>
      <w:b/>
      <w:bCs/>
    </w:rPr>
  </w:style>
  <w:style w:type="character" w:customStyle="1" w:styleId="CommentTextChar">
    <w:name w:val="Comment Text Char"/>
    <w:basedOn w:val="DefaultParagraphFont"/>
    <w:link w:val="CommentText"/>
    <w:semiHidden/>
    <w:rsid w:val="00661B16"/>
    <w:rPr>
      <w:snapToGrid w:val="0"/>
    </w:rPr>
  </w:style>
  <w:style w:type="character" w:customStyle="1" w:styleId="CommentSubjectChar">
    <w:name w:val="Comment Subject Char"/>
    <w:basedOn w:val="CommentTextChar"/>
    <w:link w:val="CommentSubject"/>
    <w:rsid w:val="00661B16"/>
    <w:rPr>
      <w:snapToGrid w:val="0"/>
    </w:rPr>
  </w:style>
  <w:style w:type="paragraph" w:styleId="Footer">
    <w:name w:val="footer"/>
    <w:basedOn w:val="Normal"/>
    <w:link w:val="FooterChar"/>
    <w:rsid w:val="00661B16"/>
    <w:pPr>
      <w:tabs>
        <w:tab w:val="center" w:pos="4320"/>
        <w:tab w:val="right" w:pos="8640"/>
      </w:tabs>
    </w:pPr>
  </w:style>
  <w:style w:type="character" w:customStyle="1" w:styleId="FooterChar">
    <w:name w:val="Footer Char"/>
    <w:basedOn w:val="DefaultParagraphFont"/>
    <w:link w:val="Footer"/>
    <w:rsid w:val="00661B16"/>
    <w:rPr>
      <w:snapToGrid w:val="0"/>
      <w:sz w:val="24"/>
    </w:rPr>
  </w:style>
  <w:style w:type="paragraph" w:styleId="BodyTextIndent">
    <w:name w:val="Body Text Indent"/>
    <w:aliases w:val="bi"/>
    <w:basedOn w:val="Normal"/>
    <w:link w:val="BodyTextIndentChar"/>
    <w:rsid w:val="00661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1B16"/>
    <w:rPr>
      <w:snapToGrid w:val="0"/>
      <w:sz w:val="24"/>
    </w:rPr>
  </w:style>
  <w:style w:type="character" w:customStyle="1" w:styleId="BodyparaChar">
    <w:name w:val="Body para Char"/>
    <w:basedOn w:val="DefaultParagraphFont"/>
    <w:link w:val="Bodypara"/>
    <w:rsid w:val="00661B16"/>
    <w:rPr>
      <w:snapToGrid w:val="0"/>
      <w:sz w:val="24"/>
    </w:rPr>
  </w:style>
  <w:style w:type="table" w:styleId="TableGrid">
    <w:name w:val="Table Grid"/>
    <w:basedOn w:val="TableNormal"/>
    <w:rsid w:val="0066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_0"/>
    <w:basedOn w:val="Normal"/>
    <w:rsid w:val="00F948F1"/>
    <w:pPr>
      <w:widowControl/>
      <w:spacing w:before="240" w:after="240"/>
    </w:pPr>
  </w:style>
  <w:style w:type="paragraph" w:styleId="Revision">
    <w:name w:val="Revision"/>
    <w:hidden/>
    <w:uiPriority w:val="99"/>
    <w:semiHidden/>
    <w:rsid w:val="00FA160C"/>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B16"/>
    <w:pPr>
      <w:widowControl w:val="0"/>
    </w:pPr>
    <w:rPr>
      <w:snapToGrid w:val="0"/>
      <w:sz w:val="24"/>
    </w:rPr>
  </w:style>
  <w:style w:type="paragraph" w:styleId="Heading1">
    <w:name w:val="heading 1"/>
    <w:basedOn w:val="Normal"/>
    <w:next w:val="Normal"/>
    <w:link w:val="Heading1Char"/>
    <w:qFormat/>
    <w:rsid w:val="00661B16"/>
    <w:pPr>
      <w:keepNext/>
      <w:spacing w:before="240" w:after="240"/>
      <w:ind w:left="720" w:hanging="720"/>
      <w:outlineLvl w:val="0"/>
    </w:pPr>
    <w:rPr>
      <w:b/>
    </w:rPr>
  </w:style>
  <w:style w:type="paragraph" w:styleId="Heading2">
    <w:name w:val="heading 2"/>
    <w:basedOn w:val="Normal"/>
    <w:next w:val="Normal"/>
    <w:qFormat/>
    <w:rsid w:val="00661B1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61B1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61B16"/>
    <w:pPr>
      <w:keepNext/>
      <w:tabs>
        <w:tab w:val="left" w:pos="1800"/>
      </w:tabs>
      <w:spacing w:before="240" w:after="240"/>
      <w:ind w:left="1800" w:hanging="1080"/>
      <w:outlineLvl w:val="3"/>
    </w:pPr>
    <w:rPr>
      <w:b/>
    </w:rPr>
  </w:style>
  <w:style w:type="paragraph" w:styleId="Heading5">
    <w:name w:val="heading 5"/>
    <w:basedOn w:val="Normal"/>
    <w:next w:val="Normal"/>
    <w:qFormat/>
    <w:rsid w:val="00661B16"/>
    <w:pPr>
      <w:keepNext/>
      <w:spacing w:line="480" w:lineRule="auto"/>
      <w:ind w:left="1440" w:right="-90" w:hanging="720"/>
      <w:outlineLvl w:val="4"/>
    </w:pPr>
    <w:rPr>
      <w:b/>
    </w:rPr>
  </w:style>
  <w:style w:type="paragraph" w:styleId="Heading6">
    <w:name w:val="heading 6"/>
    <w:basedOn w:val="Normal"/>
    <w:next w:val="Normal"/>
    <w:qFormat/>
    <w:rsid w:val="00661B16"/>
    <w:pPr>
      <w:keepNext/>
      <w:spacing w:line="480" w:lineRule="auto"/>
      <w:ind w:left="1080" w:right="-90" w:hanging="360"/>
      <w:outlineLvl w:val="5"/>
    </w:pPr>
    <w:rPr>
      <w:b/>
    </w:rPr>
  </w:style>
  <w:style w:type="paragraph" w:styleId="Heading7">
    <w:name w:val="heading 7"/>
    <w:basedOn w:val="Normal"/>
    <w:next w:val="Normal"/>
    <w:qFormat/>
    <w:rsid w:val="00661B16"/>
    <w:pPr>
      <w:keepNext/>
      <w:spacing w:line="480" w:lineRule="auto"/>
      <w:ind w:left="720" w:right="630"/>
      <w:outlineLvl w:val="6"/>
    </w:pPr>
    <w:rPr>
      <w:b/>
    </w:rPr>
  </w:style>
  <w:style w:type="paragraph" w:styleId="Heading8">
    <w:name w:val="heading 8"/>
    <w:basedOn w:val="Normal"/>
    <w:next w:val="Normal"/>
    <w:qFormat/>
    <w:rsid w:val="00661B16"/>
    <w:pPr>
      <w:keepNext/>
      <w:spacing w:line="480" w:lineRule="auto"/>
      <w:ind w:left="720" w:right="-90"/>
      <w:outlineLvl w:val="7"/>
    </w:pPr>
    <w:rPr>
      <w:b/>
    </w:rPr>
  </w:style>
  <w:style w:type="paragraph" w:styleId="Heading9">
    <w:name w:val="heading 9"/>
    <w:basedOn w:val="Normal"/>
    <w:next w:val="Normal"/>
    <w:qFormat/>
    <w:rsid w:val="00661B1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61B16"/>
    <w:rPr>
      <w:b/>
      <w:snapToGrid w:val="0"/>
      <w:sz w:val="24"/>
      <w:lang w:val="en-US" w:eastAsia="en-US" w:bidi="ar-SA"/>
    </w:rPr>
  </w:style>
  <w:style w:type="paragraph" w:styleId="Title">
    <w:name w:val="Title"/>
    <w:basedOn w:val="Normal"/>
    <w:qFormat/>
    <w:rsid w:val="00072DB9"/>
    <w:pPr>
      <w:jc w:val="center"/>
    </w:pPr>
    <w:rPr>
      <w:b/>
      <w:bCs/>
    </w:rPr>
  </w:style>
  <w:style w:type="character" w:styleId="CommentReference">
    <w:name w:val="annotation reference"/>
    <w:basedOn w:val="DefaultParagraphFont"/>
    <w:semiHidden/>
    <w:rsid w:val="00661B16"/>
    <w:rPr>
      <w:sz w:val="16"/>
      <w:szCs w:val="16"/>
    </w:rPr>
  </w:style>
  <w:style w:type="paragraph" w:styleId="CommentText">
    <w:name w:val="annotation text"/>
    <w:basedOn w:val="Normal"/>
    <w:link w:val="CommentTextChar"/>
    <w:semiHidden/>
    <w:rsid w:val="00661B16"/>
    <w:rPr>
      <w:sz w:val="20"/>
    </w:rPr>
  </w:style>
  <w:style w:type="paragraph" w:styleId="Header">
    <w:name w:val="header"/>
    <w:basedOn w:val="Normal"/>
    <w:rsid w:val="00661B16"/>
    <w:pPr>
      <w:widowControl/>
      <w:tabs>
        <w:tab w:val="center" w:pos="4680"/>
        <w:tab w:val="right" w:pos="9360"/>
      </w:tabs>
    </w:pPr>
    <w:rPr>
      <w:snapToGrid/>
      <w:szCs w:val="24"/>
    </w:rPr>
  </w:style>
  <w:style w:type="paragraph" w:styleId="Subtitle">
    <w:name w:val="Subtitle"/>
    <w:basedOn w:val="Normal"/>
    <w:qFormat/>
    <w:rsid w:val="00072DB9"/>
    <w:pPr>
      <w:tabs>
        <w:tab w:val="left" w:pos="720"/>
        <w:tab w:val="left" w:pos="1440"/>
        <w:tab w:val="right" w:pos="9360"/>
      </w:tabs>
      <w:ind w:left="1440" w:hanging="1440"/>
    </w:pPr>
    <w:rPr>
      <w:b/>
    </w:rPr>
  </w:style>
  <w:style w:type="character" w:styleId="PageNumber">
    <w:name w:val="page number"/>
    <w:basedOn w:val="DefaultParagraphFont"/>
    <w:rsid w:val="00661B16"/>
  </w:style>
  <w:style w:type="paragraph" w:styleId="BalloonText">
    <w:name w:val="Balloon Text"/>
    <w:basedOn w:val="Normal"/>
    <w:semiHidden/>
    <w:rsid w:val="00661B16"/>
    <w:rPr>
      <w:rFonts w:ascii="Tahoma" w:hAnsi="Tahoma" w:cs="Tahoma"/>
      <w:sz w:val="16"/>
      <w:szCs w:val="16"/>
    </w:rPr>
  </w:style>
  <w:style w:type="paragraph" w:customStyle="1" w:styleId="Default">
    <w:name w:val="Default"/>
    <w:rsid w:val="00072DB9"/>
    <w:pPr>
      <w:widowControl w:val="0"/>
      <w:autoSpaceDE w:val="0"/>
      <w:autoSpaceDN w:val="0"/>
      <w:adjustRightInd w:val="0"/>
    </w:pPr>
    <w:rPr>
      <w:color w:val="000000"/>
      <w:sz w:val="24"/>
      <w:szCs w:val="24"/>
    </w:rPr>
  </w:style>
  <w:style w:type="character" w:styleId="FootnoteReference">
    <w:name w:val="footnote reference"/>
    <w:semiHidden/>
    <w:rsid w:val="00661B16"/>
  </w:style>
  <w:style w:type="paragraph" w:customStyle="1" w:styleId="Definition">
    <w:name w:val="Definition"/>
    <w:basedOn w:val="Normal"/>
    <w:rsid w:val="00661B16"/>
    <w:pPr>
      <w:widowControl/>
      <w:spacing w:before="240" w:after="240"/>
    </w:pPr>
  </w:style>
  <w:style w:type="paragraph" w:customStyle="1" w:styleId="Definitionindent">
    <w:name w:val="Definition indent"/>
    <w:basedOn w:val="Definition"/>
    <w:rsid w:val="00661B16"/>
    <w:pPr>
      <w:spacing w:before="120" w:after="120"/>
      <w:ind w:left="720"/>
    </w:pPr>
  </w:style>
  <w:style w:type="paragraph" w:customStyle="1" w:styleId="Bodypara">
    <w:name w:val="Body para"/>
    <w:basedOn w:val="Normal"/>
    <w:link w:val="BodyparaChar"/>
    <w:rsid w:val="00661B16"/>
    <w:pPr>
      <w:spacing w:line="480" w:lineRule="auto"/>
      <w:ind w:firstLine="720"/>
    </w:pPr>
  </w:style>
  <w:style w:type="paragraph" w:customStyle="1" w:styleId="alphapara">
    <w:name w:val="alpha para"/>
    <w:basedOn w:val="Bodypara"/>
    <w:rsid w:val="00661B16"/>
    <w:pPr>
      <w:ind w:left="1440" w:hanging="720"/>
    </w:pPr>
  </w:style>
  <w:style w:type="paragraph" w:styleId="Date">
    <w:name w:val="Date"/>
    <w:basedOn w:val="Normal"/>
    <w:next w:val="Normal"/>
    <w:rsid w:val="00661B16"/>
    <w:pPr>
      <w:widowControl/>
    </w:pPr>
  </w:style>
  <w:style w:type="paragraph" w:customStyle="1" w:styleId="TOCHeading1">
    <w:name w:val="TOC Heading1"/>
    <w:basedOn w:val="Normal"/>
    <w:rsid w:val="00661B16"/>
    <w:pPr>
      <w:spacing w:before="240" w:after="240"/>
    </w:pPr>
    <w:rPr>
      <w:b/>
    </w:rPr>
  </w:style>
  <w:style w:type="paragraph" w:styleId="DocumentMap">
    <w:name w:val="Document Map"/>
    <w:basedOn w:val="Normal"/>
    <w:semiHidden/>
    <w:rsid w:val="00661B16"/>
    <w:pPr>
      <w:shd w:val="clear" w:color="auto" w:fill="000080"/>
    </w:pPr>
    <w:rPr>
      <w:rFonts w:ascii="Tahoma" w:hAnsi="Tahoma" w:cs="Tahoma"/>
      <w:sz w:val="20"/>
    </w:rPr>
  </w:style>
  <w:style w:type="paragraph" w:customStyle="1" w:styleId="Footers">
    <w:name w:val="Footers"/>
    <w:basedOn w:val="Heading1"/>
    <w:rsid w:val="00661B16"/>
    <w:pPr>
      <w:tabs>
        <w:tab w:val="left" w:pos="1440"/>
        <w:tab w:val="left" w:pos="7020"/>
        <w:tab w:val="right" w:pos="9360"/>
      </w:tabs>
    </w:pPr>
    <w:rPr>
      <w:b w:val="0"/>
      <w:sz w:val="20"/>
    </w:rPr>
  </w:style>
  <w:style w:type="paragraph" w:customStyle="1" w:styleId="subhead">
    <w:name w:val="subhead"/>
    <w:basedOn w:val="Heading4"/>
    <w:rsid w:val="00661B16"/>
    <w:pPr>
      <w:tabs>
        <w:tab w:val="clear" w:pos="1800"/>
      </w:tabs>
      <w:ind w:left="720" w:firstLine="0"/>
    </w:pPr>
  </w:style>
  <w:style w:type="paragraph" w:customStyle="1" w:styleId="alphaheading">
    <w:name w:val="alpha heading"/>
    <w:basedOn w:val="Normal"/>
    <w:rsid w:val="00661B16"/>
    <w:pPr>
      <w:keepNext/>
      <w:tabs>
        <w:tab w:val="left" w:pos="1440"/>
      </w:tabs>
      <w:spacing w:before="240" w:after="240"/>
      <w:ind w:left="1440" w:hanging="720"/>
    </w:pPr>
    <w:rPr>
      <w:b/>
      <w:szCs w:val="24"/>
    </w:rPr>
  </w:style>
  <w:style w:type="paragraph" w:customStyle="1" w:styleId="romannumeralpara">
    <w:name w:val="roman numeral para"/>
    <w:basedOn w:val="Normal"/>
    <w:rsid w:val="00661B16"/>
    <w:pPr>
      <w:spacing w:line="480" w:lineRule="auto"/>
      <w:ind w:left="1440" w:hanging="720"/>
    </w:pPr>
  </w:style>
  <w:style w:type="paragraph" w:customStyle="1" w:styleId="Bulletpara">
    <w:name w:val="Bullet para"/>
    <w:basedOn w:val="Normal"/>
    <w:rsid w:val="00661B16"/>
    <w:pPr>
      <w:widowControl/>
      <w:numPr>
        <w:numId w:val="18"/>
      </w:numPr>
      <w:tabs>
        <w:tab w:val="left" w:pos="900"/>
      </w:tabs>
      <w:spacing w:before="120" w:after="120"/>
    </w:pPr>
    <w:rPr>
      <w:szCs w:val="24"/>
    </w:rPr>
  </w:style>
  <w:style w:type="paragraph" w:styleId="TOC1">
    <w:name w:val="toc 1"/>
    <w:basedOn w:val="Normal"/>
    <w:next w:val="Normal"/>
    <w:semiHidden/>
    <w:rsid w:val="00661B16"/>
  </w:style>
  <w:style w:type="paragraph" w:customStyle="1" w:styleId="Tarifftitle">
    <w:name w:val="Tariff title"/>
    <w:basedOn w:val="Normal"/>
    <w:rsid w:val="00661B16"/>
    <w:rPr>
      <w:b/>
      <w:sz w:val="28"/>
      <w:szCs w:val="28"/>
    </w:rPr>
  </w:style>
  <w:style w:type="paragraph" w:styleId="TOC2">
    <w:name w:val="toc 2"/>
    <w:basedOn w:val="Normal"/>
    <w:next w:val="Normal"/>
    <w:semiHidden/>
    <w:rsid w:val="00661B16"/>
    <w:pPr>
      <w:ind w:left="240"/>
    </w:pPr>
  </w:style>
  <w:style w:type="character" w:styleId="Hyperlink">
    <w:name w:val="Hyperlink"/>
    <w:basedOn w:val="DefaultParagraphFont"/>
    <w:rsid w:val="00661B16"/>
    <w:rPr>
      <w:color w:val="0000FF"/>
      <w:u w:val="single"/>
    </w:rPr>
  </w:style>
  <w:style w:type="paragraph" w:styleId="TOC3">
    <w:name w:val="toc 3"/>
    <w:basedOn w:val="Normal"/>
    <w:next w:val="Normal"/>
    <w:semiHidden/>
    <w:rsid w:val="00661B16"/>
    <w:pPr>
      <w:ind w:left="480"/>
    </w:pPr>
  </w:style>
  <w:style w:type="paragraph" w:styleId="TOC4">
    <w:name w:val="toc 4"/>
    <w:basedOn w:val="Normal"/>
    <w:next w:val="Normal"/>
    <w:semiHidden/>
    <w:rsid w:val="00661B16"/>
    <w:pPr>
      <w:ind w:left="720"/>
    </w:pPr>
  </w:style>
  <w:style w:type="paragraph" w:customStyle="1" w:styleId="subalphapara">
    <w:name w:val="sub alpha para"/>
    <w:basedOn w:val="alphapara"/>
    <w:rsid w:val="00072DB9"/>
    <w:pPr>
      <w:ind w:firstLine="0"/>
    </w:pPr>
  </w:style>
  <w:style w:type="paragraph" w:customStyle="1" w:styleId="Level1">
    <w:name w:val="Level 1"/>
    <w:basedOn w:val="Normal"/>
    <w:rsid w:val="00072DB9"/>
    <w:pPr>
      <w:ind w:left="1890" w:hanging="720"/>
    </w:pPr>
  </w:style>
  <w:style w:type="paragraph" w:styleId="BodyTextIndent2">
    <w:name w:val="Body Text Indent 2"/>
    <w:basedOn w:val="Normal"/>
    <w:rsid w:val="00072DB9"/>
    <w:pPr>
      <w:spacing w:line="480" w:lineRule="auto"/>
      <w:ind w:left="720" w:firstLine="720"/>
    </w:pPr>
  </w:style>
  <w:style w:type="paragraph" w:styleId="EndnoteText">
    <w:name w:val="endnote text"/>
    <w:basedOn w:val="Normal"/>
    <w:semiHidden/>
    <w:rsid w:val="00072DB9"/>
    <w:rPr>
      <w:sz w:val="20"/>
    </w:rPr>
  </w:style>
  <w:style w:type="character" w:styleId="EndnoteReference">
    <w:name w:val="endnote reference"/>
    <w:basedOn w:val="DefaultParagraphFont"/>
    <w:semiHidden/>
    <w:rsid w:val="00072DB9"/>
    <w:rPr>
      <w:vertAlign w:val="superscript"/>
    </w:rPr>
  </w:style>
  <w:style w:type="paragraph" w:styleId="FootnoteText">
    <w:name w:val="footnote text"/>
    <w:basedOn w:val="Normal"/>
    <w:semiHidden/>
    <w:rsid w:val="00072DB9"/>
    <w:rPr>
      <w:sz w:val="20"/>
    </w:rPr>
  </w:style>
  <w:style w:type="character" w:customStyle="1" w:styleId="Heading1Char">
    <w:name w:val="Heading 1 Char"/>
    <w:basedOn w:val="DefaultParagraphFont"/>
    <w:link w:val="Heading1"/>
    <w:rsid w:val="00661B16"/>
    <w:rPr>
      <w:b/>
      <w:snapToGrid w:val="0"/>
      <w:sz w:val="24"/>
    </w:rPr>
  </w:style>
  <w:style w:type="paragraph" w:customStyle="1" w:styleId="Style2">
    <w:name w:val="Style2"/>
    <w:basedOn w:val="FootnoteText"/>
    <w:rsid w:val="00072DB9"/>
    <w:pPr>
      <w:spacing w:after="120"/>
    </w:pPr>
  </w:style>
  <w:style w:type="paragraph" w:styleId="BodyTextIndent3">
    <w:name w:val="Body Text Indent 3"/>
    <w:basedOn w:val="Normal"/>
    <w:rsid w:val="00072DB9"/>
    <w:pPr>
      <w:spacing w:after="120"/>
      <w:ind w:left="360"/>
    </w:pPr>
    <w:rPr>
      <w:sz w:val="16"/>
      <w:szCs w:val="16"/>
    </w:rPr>
  </w:style>
  <w:style w:type="character" w:customStyle="1" w:styleId="DeltaViewInsertion">
    <w:name w:val="DeltaView Insertion"/>
    <w:rsid w:val="00072DB9"/>
    <w:rPr>
      <w:spacing w:val="0"/>
      <w:u w:val="double"/>
    </w:rPr>
  </w:style>
  <w:style w:type="character" w:customStyle="1" w:styleId="Heading3Char1">
    <w:name w:val="Heading 3 Char1"/>
    <w:basedOn w:val="DefaultParagraphFont"/>
    <w:link w:val="Heading3"/>
    <w:rsid w:val="00661B16"/>
    <w:rPr>
      <w:b/>
      <w:snapToGrid w:val="0"/>
      <w:sz w:val="24"/>
    </w:rPr>
  </w:style>
  <w:style w:type="paragraph" w:styleId="TOC5">
    <w:name w:val="toc 5"/>
    <w:basedOn w:val="Normal"/>
    <w:next w:val="Normal"/>
    <w:rsid w:val="00661B16"/>
    <w:pPr>
      <w:widowControl/>
      <w:ind w:left="960"/>
    </w:pPr>
    <w:rPr>
      <w:snapToGrid/>
      <w:szCs w:val="24"/>
    </w:rPr>
  </w:style>
  <w:style w:type="paragraph" w:styleId="TOC6">
    <w:name w:val="toc 6"/>
    <w:basedOn w:val="Normal"/>
    <w:next w:val="Normal"/>
    <w:rsid w:val="00661B16"/>
    <w:pPr>
      <w:widowControl/>
      <w:ind w:left="1200"/>
    </w:pPr>
    <w:rPr>
      <w:snapToGrid/>
      <w:szCs w:val="24"/>
    </w:rPr>
  </w:style>
  <w:style w:type="paragraph" w:styleId="TOC7">
    <w:name w:val="toc 7"/>
    <w:basedOn w:val="Normal"/>
    <w:next w:val="Normal"/>
    <w:rsid w:val="00661B16"/>
    <w:pPr>
      <w:widowControl/>
      <w:ind w:left="1440"/>
    </w:pPr>
    <w:rPr>
      <w:snapToGrid/>
      <w:szCs w:val="24"/>
    </w:rPr>
  </w:style>
  <w:style w:type="paragraph" w:styleId="TOC8">
    <w:name w:val="toc 8"/>
    <w:basedOn w:val="Normal"/>
    <w:next w:val="Normal"/>
    <w:rsid w:val="00661B16"/>
    <w:pPr>
      <w:widowControl/>
      <w:ind w:left="1680"/>
    </w:pPr>
    <w:rPr>
      <w:snapToGrid/>
      <w:szCs w:val="24"/>
    </w:rPr>
  </w:style>
  <w:style w:type="paragraph" w:styleId="TOC9">
    <w:name w:val="toc 9"/>
    <w:basedOn w:val="Normal"/>
    <w:next w:val="Normal"/>
    <w:rsid w:val="00661B16"/>
    <w:pPr>
      <w:widowControl/>
      <w:ind w:left="1920"/>
    </w:pPr>
    <w:rPr>
      <w:snapToGrid/>
      <w:szCs w:val="24"/>
    </w:rPr>
  </w:style>
  <w:style w:type="paragraph" w:customStyle="1" w:styleId="a">
    <w:name w:val="_"/>
    <w:basedOn w:val="Normal"/>
    <w:rsid w:val="00661B16"/>
    <w:pPr>
      <w:ind w:left="1800" w:hanging="630"/>
    </w:pPr>
  </w:style>
  <w:style w:type="paragraph" w:styleId="CommentSubject">
    <w:name w:val="annotation subject"/>
    <w:basedOn w:val="CommentText"/>
    <w:next w:val="CommentText"/>
    <w:link w:val="CommentSubjectChar"/>
    <w:rsid w:val="00661B16"/>
    <w:rPr>
      <w:b/>
      <w:bCs/>
    </w:rPr>
  </w:style>
  <w:style w:type="character" w:customStyle="1" w:styleId="CommentTextChar">
    <w:name w:val="Comment Text Char"/>
    <w:basedOn w:val="DefaultParagraphFont"/>
    <w:link w:val="CommentText"/>
    <w:semiHidden/>
    <w:rsid w:val="00661B16"/>
    <w:rPr>
      <w:snapToGrid w:val="0"/>
    </w:rPr>
  </w:style>
  <w:style w:type="character" w:customStyle="1" w:styleId="CommentSubjectChar">
    <w:name w:val="Comment Subject Char"/>
    <w:basedOn w:val="CommentTextChar"/>
    <w:link w:val="CommentSubject"/>
    <w:rsid w:val="00661B16"/>
    <w:rPr>
      <w:snapToGrid w:val="0"/>
    </w:rPr>
  </w:style>
  <w:style w:type="paragraph" w:styleId="Footer">
    <w:name w:val="footer"/>
    <w:basedOn w:val="Normal"/>
    <w:link w:val="FooterChar"/>
    <w:rsid w:val="00661B16"/>
    <w:pPr>
      <w:tabs>
        <w:tab w:val="center" w:pos="4320"/>
        <w:tab w:val="right" w:pos="8640"/>
      </w:tabs>
    </w:pPr>
  </w:style>
  <w:style w:type="character" w:customStyle="1" w:styleId="FooterChar">
    <w:name w:val="Footer Char"/>
    <w:basedOn w:val="DefaultParagraphFont"/>
    <w:link w:val="Footer"/>
    <w:rsid w:val="00661B16"/>
    <w:rPr>
      <w:snapToGrid w:val="0"/>
      <w:sz w:val="24"/>
    </w:rPr>
  </w:style>
  <w:style w:type="paragraph" w:styleId="BodyTextIndent">
    <w:name w:val="Body Text Indent"/>
    <w:aliases w:val="bi"/>
    <w:basedOn w:val="Normal"/>
    <w:link w:val="BodyTextIndentChar"/>
    <w:rsid w:val="00661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1B16"/>
    <w:rPr>
      <w:snapToGrid w:val="0"/>
      <w:sz w:val="24"/>
    </w:rPr>
  </w:style>
  <w:style w:type="character" w:customStyle="1" w:styleId="BodyparaChar">
    <w:name w:val="Body para Char"/>
    <w:basedOn w:val="DefaultParagraphFont"/>
    <w:link w:val="Bodypara"/>
    <w:rsid w:val="00661B16"/>
    <w:rPr>
      <w:snapToGrid w:val="0"/>
      <w:sz w:val="24"/>
    </w:rPr>
  </w:style>
  <w:style w:type="table" w:styleId="TableGrid">
    <w:name w:val="Table Grid"/>
    <w:basedOn w:val="TableNormal"/>
    <w:rsid w:val="0066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_0"/>
    <w:basedOn w:val="Normal"/>
    <w:rsid w:val="00F948F1"/>
    <w:pPr>
      <w:widowControl/>
      <w:spacing w:before="240" w:after="240"/>
    </w:pPr>
  </w:style>
  <w:style w:type="paragraph" w:styleId="Revision">
    <w:name w:val="Revision"/>
    <w:hidden/>
    <w:uiPriority w:val="99"/>
    <w:semiHidden/>
    <w:rsid w:val="00FA160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6294B-A058-4A6F-BB60-49C9BFF6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JHS</dc:creator>
  <cp:lastModifiedBy>TMS IIS</cp:lastModifiedBy>
  <cp:revision>2</cp:revision>
  <cp:lastPrinted>2013-12-05T19:58:00Z</cp:lastPrinted>
  <dcterms:created xsi:type="dcterms:W3CDTF">2024-07-09T15:02:00Z</dcterms:created>
  <dcterms:modified xsi:type="dcterms:W3CDTF">2024-07-09T15:02:00Z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gFAA2RjfPKrF47h+Qu/FllOH9qLJD+t8VuaD/11D9dhO8w9/x1DiLn/yQGLssF9Saiw6t19Ewgvj2Ru3
SGL0QQ84/Zh0alkb7Pf6vG/14WV3iUUalKwqt7+pYT0zU4ef8kip5Q4nxWxRyyu3SGL0QQ84/Zh0
alkb7Pf6vG/14WV3iUUalKwqt7+pYU2YPp30Hptkr5xHtNT54P5ohIRLDgRK+O/3/mc7fzdho06J
1urWCkSnAWK3hgz9g</vt:lpwstr>
  </property>
  <property fmtid="{D5CDD505-2E9C-101B-9397-08002B2CF9AE}" pid="4" name="MAIL_MSG_ID2">
    <vt:lpwstr>1Jj20v5zWuo+9r+d8hWldn5WxNXBvtQgrtN07Z701FNz2mVugIUrZoeJTZU
Ko6h4QnU2qvbkptNF64kXLLVSmm5E/QCXiOHAQ==</vt:lpwstr>
  </property>
  <property fmtid="{D5CDD505-2E9C-101B-9397-08002B2CF9AE}" pid="5" name="MSIP_Label_a5049dce-8671-4c79-90d7-f6ec79470f4e_ActionId">
    <vt:lpwstr>8a08cbf6-176e-4bd8-b953-be6cd549da0a</vt:lpwstr>
  </property>
  <property fmtid="{D5CDD505-2E9C-101B-9397-08002B2CF9AE}" pid="6" name="MSIP_Label_a5049dce-8671-4c79-90d7-f6ec79470f4e_ContentBits">
    <vt:lpwstr>0</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2023-10-04T19:38:16Z</vt:lpwstr>
  </property>
  <property fmtid="{D5CDD505-2E9C-101B-9397-08002B2CF9AE}" pid="11" name="MSIP_Label_a5049dce-8671-4c79-90d7-f6ec79470f4e_SiteId">
    <vt:lpwstr>7658602a-f7b9-4209-bc62-d2bfc30dea0d</vt:lpwstr>
  </property>
  <property fmtid="{D5CDD505-2E9C-101B-9397-08002B2CF9AE}" pid="12" name="RESPONSE_SENDER_NAME">
    <vt:lpwstr>sAAAE9kkUq3pEoK6bMOM3ykQlhrkT6+a9b9zRYM6DCqXu1M=</vt:lpwstr>
  </property>
  <property fmtid="{D5CDD505-2E9C-101B-9397-08002B2CF9AE}" pid="13" name="_AdHocReviewCycleID">
    <vt:i4>-88179121</vt:i4>
  </property>
  <property fmtid="{D5CDD505-2E9C-101B-9397-08002B2CF9AE}" pid="14" name="_AuthorEmail">
    <vt:lpwstr>GBissell@nyiso.com</vt:lpwstr>
  </property>
  <property fmtid="{D5CDD505-2E9C-101B-9397-08002B2CF9AE}" pid="15" name="_AuthorEmailDisplayName">
    <vt:lpwstr>Bissell, Garrett E</vt:lpwstr>
  </property>
  <property fmtid="{D5CDD505-2E9C-101B-9397-08002B2CF9AE}" pid="16" name="_EmailSubject">
    <vt:lpwstr>Balance of Period TCC - Initial Draft Filing for Review</vt:lpwstr>
  </property>
  <property fmtid="{D5CDD505-2E9C-101B-9397-08002B2CF9AE}" pid="17" name="_NewReviewCycle">
    <vt:lpwstr/>
  </property>
  <property fmtid="{D5CDD505-2E9C-101B-9397-08002B2CF9AE}" pid="18" name="_PreviousAdHocReviewCycleID">
    <vt:i4>2026633638</vt:i4>
  </property>
  <property fmtid="{D5CDD505-2E9C-101B-9397-08002B2CF9AE}" pid="19" name="_ReviewingToolsShownOnce">
    <vt:lpwstr/>
  </property>
</Properties>
</file>