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1A" w:rsidRPr="00E052C2" w:rsidRDefault="008465E7" w:rsidP="00E052C2">
      <w:pPr>
        <w:pStyle w:val="Heading1"/>
        <w:pageBreakBefore/>
        <w:widowControl/>
        <w:ind w:left="0" w:firstLine="0"/>
        <w:rPr>
          <w:snapToGrid/>
          <w:szCs w:val="24"/>
        </w:rPr>
      </w:pPr>
      <w:bookmarkStart w:id="0" w:name="_Toc260838896"/>
      <w:bookmarkStart w:id="1" w:name="_GoBack"/>
      <w:bookmarkEnd w:id="1"/>
      <w:r w:rsidRPr="00E052C2">
        <w:rPr>
          <w:snapToGrid/>
          <w:szCs w:val="24"/>
        </w:rPr>
        <w:t>28</w:t>
      </w:r>
      <w:r w:rsidRPr="00E052C2">
        <w:rPr>
          <w:snapToGrid/>
          <w:szCs w:val="24"/>
        </w:rPr>
        <w:tab/>
        <w:t>Attachment V – ISO Working Capital Fund</w:t>
      </w:r>
      <w:bookmarkEnd w:id="0"/>
    </w:p>
    <w:p w:rsidR="0002261A" w:rsidRDefault="008465E7">
      <w:pPr>
        <w:pStyle w:val="Bodypara"/>
      </w:pPr>
      <w:r>
        <w:t xml:space="preserve">The ISO’s Working Capital Fund shall be maintained according to the provisions of this Attachment V to the ISO OATT.  </w:t>
      </w:r>
    </w:p>
    <w:p w:rsidR="0002261A" w:rsidRDefault="008465E7">
      <w:pPr>
        <w:pStyle w:val="Heading2"/>
        <w:pageBreakBefore/>
      </w:pPr>
      <w:bookmarkStart w:id="2" w:name="_Toc260838897"/>
      <w:r>
        <w:lastRenderedPageBreak/>
        <w:t>28.1</w:t>
      </w:r>
      <w:r>
        <w:tab/>
        <w:t>Purpose of the ISO Working Capital Fund</w:t>
      </w:r>
      <w:bookmarkEnd w:id="2"/>
    </w:p>
    <w:p w:rsidR="0002261A" w:rsidRDefault="008465E7">
      <w:pPr>
        <w:pStyle w:val="Bodypara"/>
      </w:pPr>
      <w:r>
        <w:t xml:space="preserve">The ISO has accumulated and will maintain a </w:t>
      </w:r>
      <w:r>
        <w:t>Working Capital Fund through charges, as the ISO deems necessary, under Rate Schedule 1, Section 6.1.</w:t>
      </w:r>
      <w:del w:id="3" w:author="Amie Jamieson" w:date="2023-10-18T09:54:00Z">
        <w:r>
          <w:delText>4</w:delText>
        </w:r>
      </w:del>
      <w:ins w:id="4" w:author="Amie Jamieson" w:date="2023-10-18T09:54:00Z">
        <w:r>
          <w:t>5</w:t>
        </w:r>
      </w:ins>
      <w:r>
        <w:t xml:space="preserve"> of the ISO OATT.  The Working Capital Fund will be used, among other items, to offset temporary imbalances in ISO cash flow and to ensure the liquidity </w:t>
      </w:r>
      <w:r>
        <w:t>and stability of the markets administered by the ISO under the ISO Services Tariff.  Pursuant to its authority under the ISO Agreement, the ISO Board will determine the ISO’s working capital requirements.  The ISO shall repay any draws from the Working Cap</w:t>
      </w:r>
      <w:r>
        <w:t>ital Fund as soon as reasonably practicable.</w:t>
      </w:r>
    </w:p>
    <w:p w:rsidR="0002261A" w:rsidRDefault="008465E7">
      <w:pPr>
        <w:pStyle w:val="Heading2"/>
        <w:pageBreakBefore/>
      </w:pPr>
      <w:bookmarkStart w:id="5" w:name="_Toc260838898"/>
      <w:r>
        <w:lastRenderedPageBreak/>
        <w:t>28.2</w:t>
      </w:r>
      <w:r>
        <w:tab/>
        <w:t>Monitoring and Reporting of Working Capital Fund</w:t>
      </w:r>
      <w:bookmarkEnd w:id="5"/>
    </w:p>
    <w:p w:rsidR="0002261A" w:rsidRDefault="008465E7">
      <w:pPr>
        <w:pStyle w:val="Bodypara"/>
      </w:pPr>
      <w:r>
        <w:t>The ISO will monitor the activity of the Working Capital Fund, both in the aggregate and according to each Customer’s pro rata share of the Working Capital F</w:t>
      </w:r>
      <w:r>
        <w:t>und.  With respect to each Customer’s pro rata share of the Working Capital Fund, the ISO will make available to each Customer electronically, each month, a summary of the Customer’s (i) opening balance, (ii) current month contributions, (iii) current mont</w:t>
      </w:r>
      <w:r>
        <w:t xml:space="preserve">h accrued interest, (iv) any other adjustments, and (v) ending balance.  When practicable, the ISO will also provide a separate detailed working capital transaction history page for each Customer, in a format that can be downloaded for the Customer’s use. </w:t>
      </w:r>
      <w:r>
        <w:t xml:space="preserve"> The detailed working capital transaction history page will provide a complete history of all transactions relating to the Customer’s contributions to the Working Capital Fund.</w:t>
      </w:r>
    </w:p>
    <w:p w:rsidR="0002261A" w:rsidRDefault="008465E7">
      <w:pPr>
        <w:pStyle w:val="Heading2"/>
        <w:pageBreakBefore/>
      </w:pPr>
      <w:bookmarkStart w:id="6" w:name="_Toc260838899"/>
      <w:r>
        <w:t>28.3</w:t>
      </w:r>
      <w:r>
        <w:tab/>
        <w:t>Customer Contributions to Increases of the Working Capital Fund</w:t>
      </w:r>
      <w:bookmarkEnd w:id="6"/>
    </w:p>
    <w:p w:rsidR="0002261A" w:rsidRDefault="008465E7">
      <w:pPr>
        <w:pStyle w:val="Bodypara"/>
      </w:pPr>
      <w:r>
        <w:rPr>
          <w:rFonts w:ascii="Times" w:hAnsi="Times"/>
        </w:rPr>
        <w:t>The ISO sh</w:t>
      </w:r>
      <w:r>
        <w:rPr>
          <w:rFonts w:ascii="Times" w:hAnsi="Times"/>
        </w:rPr>
        <w:t xml:space="preserve">all </w:t>
      </w:r>
      <w:r>
        <w:t>determine</w:t>
      </w:r>
      <w:r>
        <w:rPr>
          <w:rFonts w:ascii="Times" w:hAnsi="Times"/>
        </w:rPr>
        <w:t xml:space="preserve"> each Customer’s pro rata share of any increase of the amount of the Working Capital Fund using the following formula:</w:t>
      </w:r>
    </w:p>
    <w:p w:rsidR="0002261A" w:rsidRDefault="008465E7">
      <w:pPr>
        <w:pStyle w:val="Heading8"/>
        <w:tabs>
          <w:tab w:val="right" w:pos="7200"/>
        </w:tabs>
        <w:spacing w:line="240" w:lineRule="auto"/>
      </w:pPr>
    </w:p>
    <w:p w:rsidR="0002261A" w:rsidRDefault="008465E7">
      <w:pPr>
        <w:pStyle w:val="Heading8"/>
        <w:tabs>
          <w:tab w:val="right" w:pos="7200"/>
        </w:tabs>
        <w:spacing w:line="240" w:lineRule="auto"/>
        <w:rPr>
          <w:u w:val="thick"/>
        </w:rPr>
      </w:pPr>
      <w:r>
        <w:t>Customer’s Percentage of Total Collection =</w:t>
      </w:r>
      <w:r>
        <w:tab/>
      </w:r>
      <w:r>
        <w:rPr>
          <w:u w:val="thick"/>
        </w:rPr>
        <w:t>CAR + CAP</w:t>
      </w:r>
    </w:p>
    <w:p w:rsidR="0002261A" w:rsidRDefault="008465E7">
      <w:pPr>
        <w:pStyle w:val="Heading8"/>
        <w:tabs>
          <w:tab w:val="right" w:pos="7200"/>
        </w:tabs>
        <w:spacing w:line="240" w:lineRule="auto"/>
      </w:pPr>
      <w:r>
        <w:tab/>
        <w:t>NYAR + NYAP</w:t>
      </w:r>
    </w:p>
    <w:p w:rsidR="0002261A" w:rsidRDefault="008465E7">
      <w:pPr>
        <w:pStyle w:val="Heading8"/>
      </w:pPr>
      <w:r>
        <w:t xml:space="preserve"> </w:t>
      </w:r>
    </w:p>
    <w:p w:rsidR="0002261A" w:rsidRDefault="008465E7">
      <w:pPr>
        <w:ind w:firstLine="720"/>
      </w:pPr>
      <w:r>
        <w:t xml:space="preserve">Where:  </w:t>
      </w:r>
    </w:p>
    <w:p w:rsidR="0002261A" w:rsidRDefault="008465E7"/>
    <w:p w:rsidR="0002261A" w:rsidRDefault="008465E7">
      <w:pPr>
        <w:tabs>
          <w:tab w:val="left" w:pos="1440"/>
        </w:tabs>
        <w:ind w:left="2160" w:hanging="1440"/>
      </w:pPr>
      <w:r>
        <w:t>CAR</w:t>
      </w:r>
      <w:r>
        <w:tab/>
        <w:t>=</w:t>
      </w:r>
      <w:r>
        <w:tab/>
        <w:t>Customer’s accounts receivable, includ</w:t>
      </w:r>
      <w:r>
        <w:t xml:space="preserve">ing WTSC, for the service month prior to the month in which the billing invoice is issued. </w:t>
      </w:r>
    </w:p>
    <w:p w:rsidR="0002261A" w:rsidRDefault="008465E7"/>
    <w:p w:rsidR="0002261A" w:rsidRDefault="008465E7">
      <w:pPr>
        <w:tabs>
          <w:tab w:val="left" w:pos="1440"/>
        </w:tabs>
        <w:ind w:left="2160" w:hanging="1440"/>
      </w:pPr>
      <w:r>
        <w:t>CAP</w:t>
      </w:r>
      <w:r>
        <w:tab/>
        <w:t>=</w:t>
      </w:r>
      <w:r>
        <w:tab/>
        <w:t>Absolute value of Customer’s accounts payable, including WTSC, for the service month prior to the month in which the billing invoice is issued.</w:t>
      </w:r>
    </w:p>
    <w:p w:rsidR="0002261A" w:rsidRDefault="008465E7">
      <w:pPr>
        <w:tabs>
          <w:tab w:val="left" w:pos="1440"/>
        </w:tabs>
        <w:ind w:left="2160" w:hanging="1440"/>
      </w:pPr>
    </w:p>
    <w:p w:rsidR="0002261A" w:rsidRDefault="008465E7">
      <w:pPr>
        <w:tabs>
          <w:tab w:val="left" w:pos="1440"/>
        </w:tabs>
        <w:ind w:left="2160" w:hanging="1440"/>
      </w:pPr>
      <w:r>
        <w:t>NYAR</w:t>
      </w:r>
      <w:r>
        <w:tab/>
        <w:t>=</w:t>
      </w:r>
      <w:r>
        <w:tab/>
        <w:t>ISO’s</w:t>
      </w:r>
      <w:r>
        <w:t xml:space="preserve"> gross accounts receivable plus the Transmission Owners’ accounts receivable from WTSC for the service month prior to the month in which the billing invoice is issued.</w:t>
      </w:r>
    </w:p>
    <w:p w:rsidR="0002261A" w:rsidRDefault="008465E7">
      <w:pPr>
        <w:tabs>
          <w:tab w:val="left" w:pos="1440"/>
        </w:tabs>
        <w:ind w:left="2160" w:hanging="1440"/>
      </w:pPr>
    </w:p>
    <w:p w:rsidR="0002261A" w:rsidRDefault="008465E7">
      <w:pPr>
        <w:tabs>
          <w:tab w:val="left" w:pos="1440"/>
        </w:tabs>
        <w:ind w:left="2160" w:hanging="1440"/>
      </w:pPr>
      <w:r>
        <w:t>NYAP =</w:t>
      </w:r>
      <w:r>
        <w:tab/>
        <w:t>Absolute value of ISO’s gross accounts payable plus the absolute value of the Tr</w:t>
      </w:r>
      <w:r>
        <w:t>ansmission Owners’ accounts payable from WTSC for the service month prior to the month in which the billing invoice is issued.</w:t>
      </w:r>
    </w:p>
    <w:p w:rsidR="0002261A" w:rsidRDefault="008465E7"/>
    <w:p w:rsidR="0002261A" w:rsidRPr="00BD2591" w:rsidRDefault="008465E7" w:rsidP="0092351B">
      <w:pPr>
        <w:pStyle w:val="Heading2"/>
        <w:pageBreakBefore/>
        <w:ind w:left="720" w:hanging="720"/>
      </w:pPr>
      <w:bookmarkStart w:id="7" w:name="_Toc260838900"/>
      <w:r>
        <w:t>28.4</w:t>
      </w:r>
      <w:r>
        <w:tab/>
      </w:r>
      <w:r w:rsidRPr="00BD2591">
        <w:t>Decrease in the Amount of the Working Capital Fund</w:t>
      </w:r>
    </w:p>
    <w:p w:rsidR="0002261A" w:rsidRPr="0018206E" w:rsidRDefault="008465E7" w:rsidP="0092351B">
      <w:pPr>
        <w:pStyle w:val="Bodypara"/>
      </w:pPr>
      <w:r>
        <w:t xml:space="preserve">At the sole discretion of the ISO Board, the ISO periodically may </w:t>
      </w:r>
      <w:r>
        <w:t>decrease the amount of the Working Capital Fund and distribute to each Customer, on a pro rata basis, a portion of its cumulative principal contribution to the Working Capital Fund.  Any such distribution will be made through adjustments to Customer billin</w:t>
      </w:r>
      <w:r>
        <w:t>g invoices.</w:t>
      </w:r>
    </w:p>
    <w:p w:rsidR="0002261A" w:rsidRDefault="008465E7">
      <w:pPr>
        <w:pStyle w:val="Heading2"/>
        <w:pageBreakBefore/>
      </w:pPr>
      <w:r>
        <w:t>28.5</w:t>
      </w:r>
      <w:r>
        <w:tab/>
        <w:t>Interest Accrued on Working Capital Fund</w:t>
      </w:r>
      <w:bookmarkEnd w:id="7"/>
    </w:p>
    <w:p w:rsidR="0002261A" w:rsidRDefault="008465E7">
      <w:pPr>
        <w:pStyle w:val="Bodypara"/>
      </w:pPr>
      <w:r>
        <w:t>Interest earned on the Working Capital Fund shall, on a monthly basis, be attributed to, and recorded for, each Customer based on the Customer’s percentage share of the balance in the Working Capita</w:t>
      </w:r>
      <w:r>
        <w:t>l Fund.</w:t>
      </w:r>
    </w:p>
    <w:p w:rsidR="0002261A" w:rsidRDefault="008465E7">
      <w:pPr>
        <w:pStyle w:val="Bodypara"/>
      </w:pPr>
      <w:r>
        <w:t xml:space="preserve">At the sole discretion of the ISO Board, the ISO periodically may distribute to Customers all or a portion of their pro rata shares of the accrued interest earned on the Working Capital Fund.  Any such distribution of interest will be made through </w:t>
      </w:r>
      <w:r>
        <w:t>adjustments to Customer billing invoices and, if required by applicable federal tax law, the ISO shall issue to those Customers the</w:t>
      </w:r>
      <w:r>
        <w:rPr>
          <w:u w:val="double"/>
        </w:rPr>
        <w:t xml:space="preserve"> </w:t>
      </w:r>
      <w:r>
        <w:t>appropriate federal tax form (e.g., an Internal Revenue Service Form 1099-INT) for the amount of interest distributed.</w:t>
      </w:r>
    </w:p>
    <w:p w:rsidR="0002261A" w:rsidRDefault="008465E7">
      <w:pPr>
        <w:pStyle w:val="Heading2"/>
        <w:pageBreakBefore/>
      </w:pPr>
      <w:bookmarkStart w:id="8" w:name="_Toc260838901"/>
      <w:r>
        <w:t>28.6</w:t>
      </w:r>
      <w:r>
        <w:tab/>
      </w:r>
      <w:r>
        <w:t>Other Adjustments to the Working Capital Fund</w:t>
      </w:r>
      <w:bookmarkEnd w:id="8"/>
    </w:p>
    <w:p w:rsidR="0002261A" w:rsidRDefault="008465E7">
      <w:pPr>
        <w:pStyle w:val="Bodypara"/>
      </w:pPr>
      <w:r>
        <w:t>Other adjustments to the Working Capital Fund include, but are not limited to, the adjustments described in this Section.</w:t>
      </w:r>
    </w:p>
    <w:p w:rsidR="0002261A" w:rsidRDefault="008465E7">
      <w:pPr>
        <w:pStyle w:val="Heading3"/>
      </w:pPr>
      <w:bookmarkStart w:id="9" w:name="_Toc260838902"/>
      <w:r>
        <w:t>28.6.1</w:t>
      </w:r>
      <w:r>
        <w:tab/>
        <w:t>Distributions to Customers Exiting the ISO Markets</w:t>
      </w:r>
      <w:bookmarkEnd w:id="9"/>
    </w:p>
    <w:p w:rsidR="0002261A" w:rsidRDefault="008465E7">
      <w:pPr>
        <w:pStyle w:val="Bodypara"/>
      </w:pPr>
      <w:r>
        <w:t>The ISO will refund to a Custo</w:t>
      </w:r>
      <w:r>
        <w:t xml:space="preserve">mer terminating its ISO Service Agreements and exiting the ISO markets its cumulative principal contribution to the Working Capital Fund, along with any earned interest that has been accrued but not previously distributed, through the </w:t>
      </w:r>
      <w:ins w:id="10" w:author="Amie Jamieson" w:date="2023-10-18T09:54:00Z">
        <w:r>
          <w:t>semi-</w:t>
        </w:r>
      </w:ins>
      <w:r>
        <w:t>annual contribut</w:t>
      </w:r>
      <w:r>
        <w:t>ion adjustment process in Section 28.</w:t>
      </w:r>
      <w:del w:id="11" w:author="Amie Jamieson" w:date="2023-10-18T09:54:00Z">
        <w:r>
          <w:delText>7</w:delText>
        </w:r>
      </w:del>
      <w:ins w:id="12" w:author="Amie Jamieson" w:date="2023-10-18T09:54:00Z">
        <w:r>
          <w:t>8</w:t>
        </w:r>
      </w:ins>
      <w:r>
        <w:t xml:space="preserve"> of this Attachment V; </w:t>
      </w:r>
      <w:r>
        <w:rPr>
          <w:i/>
        </w:rPr>
        <w:t>provided, however</w:t>
      </w:r>
      <w:r>
        <w:t>, that the ISO shall retain these amounts as security for any unsatisfied financial obligations to the ISO. Customers shall be responsible for providing the ISO with the wire tr</w:t>
      </w:r>
      <w:r>
        <w:t>ansfer information necessary for the ISO to complete any refund of the Customer’s Working Capital Fund contribution.</w:t>
      </w:r>
    </w:p>
    <w:p w:rsidR="0002261A" w:rsidRDefault="008465E7">
      <w:pPr>
        <w:pStyle w:val="Heading3"/>
      </w:pPr>
      <w:bookmarkStart w:id="13" w:name="_Toc260838903"/>
      <w:r>
        <w:t>28.6.2</w:t>
      </w:r>
      <w:r>
        <w:tab/>
        <w:t>Customer Nonpayment and Default</w:t>
      </w:r>
      <w:bookmarkEnd w:id="13"/>
    </w:p>
    <w:p w:rsidR="0002261A" w:rsidRDefault="008465E7">
      <w:pPr>
        <w:pStyle w:val="Bodypara"/>
      </w:pPr>
      <w:r>
        <w:t>In the event that part or all of a payment owed by a Customer remains unpaid after the</w:t>
      </w:r>
      <w:r>
        <w:rPr>
          <w:strike/>
        </w:rPr>
        <w:t xml:space="preserve"> </w:t>
      </w:r>
      <w:r>
        <w:t>payment is due, the ISO may use the Working Capital Fund as necessary to meet its cash flow requirements.  If the ISO draws from the Working Capital Fund to meet its cash flow requirements in the event of a Customer nonpayment and then later declares the n</w:t>
      </w:r>
      <w:r>
        <w:t xml:space="preserve">onpayment to be a bad debt loss, the ISO shall recover the bad debt loss through the provisions of Rate Schedule 1 in accordance with Attachment U to the ISO OATT and shall replenish the Working Capital Fund through Rate Schedule 1. </w:t>
      </w:r>
    </w:p>
    <w:p w:rsidR="0002261A" w:rsidRDefault="008465E7">
      <w:pPr>
        <w:pStyle w:val="Bodypara"/>
      </w:pPr>
      <w:r>
        <w:t>The ISO shall pursue a</w:t>
      </w:r>
      <w:r>
        <w:t xml:space="preserve">vailable remedies for Customer defaults under the ISO tariffs.  </w:t>
      </w:r>
      <w:r>
        <w:t>A</w:t>
      </w:r>
      <w:r>
        <w:t>fter applying a nonpaying Customer’s available collateral, if any, the ISO shall apply the Customer’s share of the Working Capital Fund to satisfy remaining amounts owed to the ISO, including</w:t>
      </w:r>
      <w:r>
        <w:t xml:space="preserve"> amounts owed as a result of settlement corrections.  Upon termination of service to the Customer and reconciliation by the ISO of final settlement corrections affecting the Customer, the ISO shall return the Customer’s remaining share of the Working Capit</w:t>
      </w:r>
      <w:r>
        <w:t>al Fund, if any, in accordance with the provisions of Section 28.</w:t>
      </w:r>
      <w:del w:id="14" w:author="Amie Jamieson" w:date="2023-10-18T09:54:00Z">
        <w:r>
          <w:delText>5</w:delText>
        </w:r>
      </w:del>
      <w:ins w:id="15" w:author="Amie Jamieson" w:date="2023-10-18T09:54:00Z">
        <w:r>
          <w:t>6</w:t>
        </w:r>
      </w:ins>
      <w:r>
        <w:t>.1 of this Attachment V.</w:t>
      </w:r>
    </w:p>
    <w:p w:rsidR="0002261A" w:rsidRDefault="008465E7">
      <w:pPr>
        <w:pStyle w:val="Heading3"/>
      </w:pPr>
      <w:bookmarkStart w:id="16" w:name="_Toc260838904"/>
      <w:r>
        <w:t>28.6.3</w:t>
      </w:r>
      <w:r>
        <w:tab/>
        <w:t>Differences between ISO Actual and Forecasted Loads</w:t>
      </w:r>
      <w:bookmarkEnd w:id="16"/>
    </w:p>
    <w:p w:rsidR="0002261A" w:rsidRDefault="008465E7">
      <w:pPr>
        <w:pStyle w:val="Bodypara"/>
      </w:pPr>
      <w:r>
        <w:t>The ISO funds its operating costs by charging Customers according to Section 6.1.</w:t>
      </w:r>
      <w:del w:id="17" w:author="Amie Jamieson" w:date="2023-10-18T09:54:00Z">
        <w:r>
          <w:delText>3.1</w:delText>
        </w:r>
      </w:del>
      <w:ins w:id="18" w:author="Amie Jamieson" w:date="2023-10-18T09:54:00Z">
        <w:r>
          <w:t>2</w:t>
        </w:r>
      </w:ins>
      <w:r>
        <w:t xml:space="preserve"> of Rate Schedule 1.</w:t>
      </w:r>
      <w:r>
        <w:t xml:space="preserve">  In the event that differences between actual and forecasted ISO loads result in an insufficient recovery of its operating costs, the ISO may offset any shortfall in operating costs by (i) temporarily drawing from the Working Capital Fund or (ii) increasi</w:t>
      </w:r>
      <w:r>
        <w:t>ng the Rate Schedule 1 charge.  Whenever practicable, the ISO shall provide notice to Market Participants of the potential need to offset a shortfall in operating costs in accordance with this Section 28.6.3.</w:t>
      </w:r>
    </w:p>
    <w:p w:rsidR="0002261A" w:rsidRDefault="008465E7">
      <w:pPr>
        <w:pStyle w:val="Heading2"/>
        <w:pageBreakBefore/>
      </w:pPr>
      <w:bookmarkStart w:id="19" w:name="_Toc260838905"/>
      <w:r>
        <w:t>28.7</w:t>
      </w:r>
      <w:r>
        <w:tab/>
        <w:t>Contributions to Working Capital Fund from</w:t>
      </w:r>
      <w:r>
        <w:t xml:space="preserve"> New Customers</w:t>
      </w:r>
      <w:bookmarkEnd w:id="19"/>
    </w:p>
    <w:p w:rsidR="0002261A" w:rsidRDefault="008465E7">
      <w:pPr>
        <w:pStyle w:val="Bodypara"/>
      </w:pPr>
      <w:r>
        <w:t>Customers that execute ISO Service Agreements and become approved ISO Customers after the effective date of this Attachment V will not be required to make an initial contribution to the Working Capital Fund, but will be required to (i) contr</w:t>
      </w:r>
      <w:r>
        <w:t>ibute, through a Rate Schedule 1 charge, their pro rata share of any subsequent increases of the Working Capital Fund as described in Section 28.3 of this Attachment V and (ii) make a contribution</w:t>
      </w:r>
      <w:r>
        <w:rPr>
          <w:strike/>
        </w:rPr>
        <w:t>s</w:t>
      </w:r>
      <w:r>
        <w:t xml:space="preserve"> to the Working Capital Fund in connection with the next </w:t>
      </w:r>
      <w:ins w:id="20" w:author="Amie Jamieson" w:date="2023-10-18T09:54:00Z">
        <w:r>
          <w:t>se</w:t>
        </w:r>
        <w:r>
          <w:t>mi-</w:t>
        </w:r>
      </w:ins>
      <w:r>
        <w:t>annual adjustment as described in Section 28.</w:t>
      </w:r>
      <w:del w:id="21" w:author="Amie Jamieson" w:date="2023-10-18T09:54:00Z">
        <w:r>
          <w:delText>7</w:delText>
        </w:r>
      </w:del>
      <w:ins w:id="22" w:author="Amie Jamieson" w:date="2023-10-18T09:54:00Z">
        <w:r>
          <w:t>8</w:t>
        </w:r>
      </w:ins>
      <w:r>
        <w:t xml:space="preserve"> of this Attachment V.</w:t>
      </w:r>
    </w:p>
    <w:p w:rsidR="0002261A" w:rsidRDefault="008465E7">
      <w:pPr>
        <w:pStyle w:val="Heading2"/>
        <w:pageBreakBefore/>
      </w:pPr>
      <w:bookmarkStart w:id="23" w:name="_Toc260838906"/>
      <w:r>
        <w:t>28.8</w:t>
      </w:r>
      <w:r>
        <w:tab/>
      </w:r>
      <w:ins w:id="24" w:author="Amie Jamieson" w:date="2023-10-18T09:54:00Z">
        <w:r>
          <w:t>Semi-</w:t>
        </w:r>
      </w:ins>
      <w:r>
        <w:t>Annual Adjustment of Working Capital Fund Contributions</w:t>
      </w:r>
      <w:bookmarkEnd w:id="23"/>
    </w:p>
    <w:p w:rsidR="0002261A" w:rsidRDefault="008465E7">
      <w:pPr>
        <w:pStyle w:val="Bodypara"/>
      </w:pPr>
      <w:r>
        <w:t xml:space="preserve">During the </w:t>
      </w:r>
      <w:del w:id="25" w:author="Amie Jamieson" w:date="2023-10-18T09:54:00Z">
        <w:r>
          <w:delText>month</w:delText>
        </w:r>
      </w:del>
      <w:ins w:id="26" w:author="Amie Jamieson" w:date="2023-10-18T09:54:00Z">
        <w:r>
          <w:t>month</w:t>
        </w:r>
        <w:r>
          <w:t>s</w:t>
        </w:r>
      </w:ins>
      <w:r>
        <w:t xml:space="preserve"> of January</w:t>
      </w:r>
      <w:ins w:id="27" w:author="Amie Jamieson" w:date="2023-10-18T09:54:00Z">
        <w:r>
          <w:t xml:space="preserve"> </w:t>
        </w:r>
        <w:r>
          <w:t>and July</w:t>
        </w:r>
      </w:ins>
      <w:r>
        <w:t xml:space="preserve"> </w:t>
      </w:r>
      <w:r>
        <w:t>of each calendar year, the ISO shall determine and adjust, if necessary, t</w:t>
      </w:r>
      <w:r>
        <w:t xml:space="preserve">he contributions to the Working Capital Fund required from each Customer during </w:t>
      </w:r>
      <w:del w:id="28" w:author="Amie Jamieson" w:date="2023-10-18T09:54:00Z">
        <w:r>
          <w:delText>that year</w:delText>
        </w:r>
      </w:del>
      <w:ins w:id="29" w:author="Amie Jamieson" w:date="2023-10-18T09:54:00Z">
        <w:r>
          <w:t>the immediately preceding six calendar months</w:t>
        </w:r>
      </w:ins>
      <w:r>
        <w:t xml:space="preserve"> using the following formula, except as provided in Section 28.</w:t>
      </w:r>
      <w:del w:id="30" w:author="Amie Jamieson" w:date="2023-10-18T09:54:00Z">
        <w:r>
          <w:delText>5</w:delText>
        </w:r>
      </w:del>
      <w:ins w:id="31" w:author="Amie Jamieson" w:date="2023-10-18T09:54:00Z">
        <w:r>
          <w:t>6</w:t>
        </w:r>
      </w:ins>
      <w:r>
        <w:t>.1 of this Attachment V.</w:t>
      </w:r>
    </w:p>
    <w:p w:rsidR="0002261A" w:rsidRDefault="008465E7">
      <w:pPr>
        <w:pStyle w:val="Heading8"/>
        <w:tabs>
          <w:tab w:val="center" w:pos="8280"/>
        </w:tabs>
        <w:spacing w:line="240" w:lineRule="auto"/>
      </w:pPr>
      <w:r>
        <w:t>Customer’s Annual Adjusted Perce</w:t>
      </w:r>
      <w:r>
        <w:t>ntage of Total Collection    =</w:t>
      </w:r>
      <w:r>
        <w:tab/>
      </w:r>
      <w:r w:rsidRPr="003329CE">
        <w:rPr>
          <w:u w:val="thick"/>
        </w:rPr>
        <w:t>CAR + CAP</w:t>
      </w:r>
    </w:p>
    <w:p w:rsidR="0002261A" w:rsidRDefault="008465E7">
      <w:pPr>
        <w:pStyle w:val="Heading8"/>
        <w:tabs>
          <w:tab w:val="center" w:pos="8280"/>
        </w:tabs>
        <w:spacing w:line="240" w:lineRule="auto"/>
      </w:pPr>
      <w:r>
        <w:tab/>
        <w:t>NYAR + NYAP</w:t>
      </w:r>
    </w:p>
    <w:p w:rsidR="0002261A" w:rsidRDefault="008465E7">
      <w:pPr>
        <w:pStyle w:val="Heading8"/>
        <w:spacing w:line="240" w:lineRule="auto"/>
      </w:pPr>
    </w:p>
    <w:p w:rsidR="0002261A" w:rsidRDefault="008465E7">
      <w:pPr>
        <w:ind w:firstLine="720"/>
      </w:pPr>
      <w:r>
        <w:t xml:space="preserve">Where:  </w:t>
      </w:r>
    </w:p>
    <w:p w:rsidR="0002261A" w:rsidRDefault="008465E7"/>
    <w:p w:rsidR="0002261A" w:rsidRDefault="008465E7">
      <w:pPr>
        <w:tabs>
          <w:tab w:val="left" w:pos="1440"/>
        </w:tabs>
        <w:ind w:left="2160" w:hanging="1440"/>
      </w:pPr>
      <w:r>
        <w:t>CAR</w:t>
      </w:r>
      <w:r>
        <w:tab/>
        <w:t>=</w:t>
      </w:r>
      <w:r>
        <w:tab/>
        <w:t xml:space="preserve">Customer’s accounts receivable, including WTSC, during the </w:t>
      </w:r>
      <w:del w:id="32" w:author="Amie Jamieson" w:date="2023-10-18T09:54:00Z">
        <w:r>
          <w:delText>prior</w:delText>
        </w:r>
      </w:del>
      <w:ins w:id="33" w:author="Amie Jamieson" w:date="2023-10-18T09:54:00Z">
        <w:r>
          <w:t>immediately preceding six</w:t>
        </w:r>
      </w:ins>
      <w:r>
        <w:t xml:space="preserve"> calendar </w:t>
      </w:r>
      <w:del w:id="34" w:author="Amie Jamieson" w:date="2023-10-18T09:54:00Z">
        <w:r>
          <w:delText>year.</w:delText>
        </w:r>
      </w:del>
      <w:ins w:id="35" w:author="Amie Jamieson" w:date="2023-10-18T09:54:00Z">
        <w:r>
          <w:t>months</w:t>
        </w:r>
      </w:ins>
    </w:p>
    <w:p w:rsidR="0002261A" w:rsidRDefault="008465E7"/>
    <w:p w:rsidR="0002261A" w:rsidRDefault="008465E7">
      <w:pPr>
        <w:tabs>
          <w:tab w:val="left" w:pos="1440"/>
        </w:tabs>
        <w:ind w:left="2160" w:hanging="1440"/>
      </w:pPr>
      <w:r>
        <w:t>CAP</w:t>
      </w:r>
      <w:r>
        <w:tab/>
        <w:t>=</w:t>
      </w:r>
      <w:r>
        <w:tab/>
      </w:r>
      <w:r>
        <w:t xml:space="preserve">Absolute value of Customer’s accounts payable, including WTSC, during the </w:t>
      </w:r>
      <w:del w:id="36" w:author="Amie Jamieson" w:date="2023-10-18T09:54:00Z">
        <w:r>
          <w:delText>prior</w:delText>
        </w:r>
      </w:del>
      <w:ins w:id="37" w:author="Amie Jamieson" w:date="2023-10-18T09:54:00Z">
        <w:r>
          <w:t>immediately preceding six</w:t>
        </w:r>
      </w:ins>
      <w:r>
        <w:t xml:space="preserve"> calendar </w:t>
      </w:r>
      <w:del w:id="38" w:author="Amie Jamieson" w:date="2023-10-18T09:54:00Z">
        <w:r>
          <w:delText>year</w:delText>
        </w:r>
      </w:del>
      <w:ins w:id="39" w:author="Amie Jamieson" w:date="2023-10-18T09:54:00Z">
        <w:r>
          <w:t>months</w:t>
        </w:r>
      </w:ins>
      <w:r>
        <w:t>.</w:t>
      </w:r>
    </w:p>
    <w:p w:rsidR="0002261A" w:rsidRDefault="008465E7">
      <w:pPr>
        <w:tabs>
          <w:tab w:val="left" w:pos="1440"/>
        </w:tabs>
        <w:ind w:left="2160" w:hanging="1440"/>
      </w:pPr>
    </w:p>
    <w:p w:rsidR="0002261A" w:rsidRDefault="008465E7">
      <w:pPr>
        <w:tabs>
          <w:tab w:val="left" w:pos="1440"/>
        </w:tabs>
        <w:ind w:left="2160" w:hanging="1440"/>
      </w:pPr>
      <w:r>
        <w:t>NYAR</w:t>
      </w:r>
      <w:r>
        <w:tab/>
        <w:t>=</w:t>
      </w:r>
      <w:r>
        <w:tab/>
        <w:t xml:space="preserve">ISO’s gross accounts receivable plus the Transmission Owners’ accounts receivable from WTSC during the </w:t>
      </w:r>
      <w:del w:id="40" w:author="Amie Jamieson" w:date="2023-10-18T09:54:00Z">
        <w:r>
          <w:delText>prior</w:delText>
        </w:r>
      </w:del>
      <w:ins w:id="41" w:author="Amie Jamieson" w:date="2023-10-18T09:54:00Z">
        <w:r>
          <w:t>immediately pr</w:t>
        </w:r>
        <w:r>
          <w:t>eceding six</w:t>
        </w:r>
      </w:ins>
      <w:r>
        <w:t xml:space="preserve"> calendar </w:t>
      </w:r>
      <w:del w:id="42" w:author="Amie Jamieson" w:date="2023-10-18T09:54:00Z">
        <w:r>
          <w:delText>year</w:delText>
        </w:r>
      </w:del>
      <w:ins w:id="43" w:author="Amie Jamieson" w:date="2023-10-18T09:54:00Z">
        <w:r>
          <w:t>months</w:t>
        </w:r>
      </w:ins>
      <w:r>
        <w:t>.</w:t>
      </w:r>
    </w:p>
    <w:p w:rsidR="0002261A" w:rsidRDefault="008465E7">
      <w:pPr>
        <w:tabs>
          <w:tab w:val="left" w:pos="1440"/>
        </w:tabs>
        <w:ind w:left="2160" w:hanging="1440"/>
      </w:pPr>
    </w:p>
    <w:p w:rsidR="0002261A" w:rsidRDefault="008465E7">
      <w:pPr>
        <w:ind w:left="2160" w:hanging="1440"/>
      </w:pPr>
      <w:r>
        <w:t>NYAP =</w:t>
      </w:r>
      <w:r>
        <w:tab/>
        <w:t xml:space="preserve">Absolute value of ISO’s gross accounts payable plus the absolute value of the Transmission Owners’ accounts payable from WTSC during the </w:t>
      </w:r>
      <w:del w:id="44" w:author="Amie Jamieson" w:date="2023-10-18T09:54:00Z">
        <w:r>
          <w:delText>prior</w:delText>
        </w:r>
      </w:del>
      <w:ins w:id="45" w:author="Amie Jamieson" w:date="2023-10-18T09:54:00Z">
        <w:r>
          <w:t>immediately preceding six</w:t>
        </w:r>
      </w:ins>
      <w:r>
        <w:t xml:space="preserve"> calendar </w:t>
      </w:r>
      <w:del w:id="46" w:author="Amie Jamieson" w:date="2023-10-18T09:54:00Z">
        <w:r>
          <w:delText>year</w:delText>
        </w:r>
      </w:del>
      <w:ins w:id="47" w:author="Amie Jamieson" w:date="2023-10-18T09:54:00Z">
        <w:r>
          <w:t>months</w:t>
        </w:r>
      </w:ins>
      <w:r>
        <w:t>.</w:t>
      </w:r>
    </w:p>
    <w:p w:rsidR="0002261A" w:rsidRDefault="008465E7"/>
    <w:p w:rsidR="0002261A" w:rsidRDefault="008465E7">
      <w:pPr>
        <w:pStyle w:val="Bodypara"/>
      </w:pPr>
      <w:r>
        <w:t>In February</w:t>
      </w:r>
      <w:ins w:id="48" w:author="Amie Jamieson" w:date="2023-10-18T09:54:00Z">
        <w:r>
          <w:t xml:space="preserve"> and August</w:t>
        </w:r>
      </w:ins>
      <w:r>
        <w:t xml:space="preserve"> of each calendar year, the ISO shall either refund or charge, as applicable, each Customer for the difference between the Customer’s principal share of the Working Capital Fund at the conclusion of the </w:t>
      </w:r>
      <w:del w:id="49" w:author="Amie Jamieson" w:date="2023-10-18T09:54:00Z">
        <w:r>
          <w:delText>prior</w:delText>
        </w:r>
      </w:del>
      <w:ins w:id="50" w:author="Amie Jamieson" w:date="2023-10-18T09:54:00Z">
        <w:r>
          <w:t>immediately preceding six</w:t>
        </w:r>
      </w:ins>
      <w:r>
        <w:t xml:space="preserve"> calendar </w:t>
      </w:r>
      <w:del w:id="51" w:author="Amie Jamieson" w:date="2023-10-18T09:54:00Z">
        <w:r>
          <w:delText>year</w:delText>
        </w:r>
      </w:del>
      <w:ins w:id="52" w:author="Amie Jamieson" w:date="2023-10-18T09:54:00Z">
        <w:r>
          <w:t>months</w:t>
        </w:r>
      </w:ins>
      <w:r>
        <w:t xml:space="preserve"> </w:t>
      </w:r>
      <w:r>
        <w:t>an</w:t>
      </w:r>
      <w:r>
        <w:t>d the Customer’s adjusted principal share of the Working Capital Fund as calculated in accordance with this Section 28.8.   The ISO shall have the discretion to amortize such refunds or charges over one or more months beyond February</w:t>
      </w:r>
      <w:ins w:id="53" w:author="Amie Jamieson" w:date="2023-10-18T09:54:00Z">
        <w:r>
          <w:t xml:space="preserve"> or August</w:t>
        </w:r>
      </w:ins>
      <w:r>
        <w:t xml:space="preserve">, based upon </w:t>
      </w:r>
      <w:r>
        <w:t xml:space="preserve">the magnitude of the </w:t>
      </w:r>
      <w:ins w:id="54" w:author="Amie Jamieson" w:date="2023-10-18T09:54:00Z">
        <w:r>
          <w:t>semi-</w:t>
        </w:r>
      </w:ins>
      <w:r>
        <w:t xml:space="preserve">annual adjustments. </w:t>
      </w:r>
    </w:p>
    <w:p w:rsidR="0002261A" w:rsidRDefault="008465E7">
      <w:pPr>
        <w:pStyle w:val="Heading2"/>
        <w:pageBreakBefore/>
      </w:pPr>
      <w:bookmarkStart w:id="55" w:name="_Toc260838907"/>
      <w:r>
        <w:t>28.9</w:t>
      </w:r>
      <w:r>
        <w:tab/>
        <w:t>Working Capital Fund Contributions Not Considered As Collateral</w:t>
      </w:r>
      <w:bookmarkEnd w:id="55"/>
    </w:p>
    <w:p w:rsidR="0002261A" w:rsidRDefault="008465E7">
      <w:pPr>
        <w:pStyle w:val="Bodypara"/>
        <w:rPr>
          <w:b/>
          <w:bCs/>
        </w:rPr>
      </w:pPr>
      <w:r>
        <w:t>A Customer’s contributions to, and its pro rata share of, the Working Capital Fund shall not be considered as, or counted towards, any colla</w:t>
      </w:r>
      <w:r>
        <w:t>teral that may be required from the Customer.</w:t>
      </w:r>
      <w:r>
        <w:rPr>
          <w:strike/>
        </w:rPr>
        <w:t xml:space="preserve"> </w:t>
      </w:r>
    </w:p>
    <w:sectPr w:rsidR="0002261A" w:rsidSect="00E712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65E7">
      <w:r>
        <w:separator/>
      </w:r>
    </w:p>
  </w:endnote>
  <w:endnote w:type="continuationSeparator" w:id="0">
    <w:p w:rsidR="00000000" w:rsidRDefault="0084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F2" w:rsidRDefault="008465E7">
    <w:pPr>
      <w:jc w:val="right"/>
    </w:pPr>
    <w:r>
      <w:rPr>
        <w:rFonts w:ascii="Arial" w:eastAsia="Arial" w:hAnsi="Arial" w:cs="Arial"/>
        <w:color w:val="000000"/>
        <w:sz w:val="16"/>
      </w:rPr>
      <w:t xml:space="preserve">Effective Date: 3/17/2024 - Docket #: ER24-885-000 -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F2" w:rsidRDefault="008465E7">
    <w:pPr>
      <w:jc w:val="right"/>
    </w:pPr>
    <w:r>
      <w:rPr>
        <w:rFonts w:ascii="Arial" w:eastAsia="Arial" w:hAnsi="Arial" w:cs="Arial"/>
        <w:color w:val="000000"/>
        <w:sz w:val="16"/>
      </w:rPr>
      <w:t xml:space="preserve">Effective Date: 3/17/2024 - Docket #: ER24-885-000 -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F2" w:rsidRDefault="008465E7">
    <w:pPr>
      <w:jc w:val="right"/>
    </w:pPr>
    <w:r>
      <w:rPr>
        <w:rFonts w:ascii="Arial" w:eastAsia="Arial" w:hAnsi="Arial" w:cs="Arial"/>
        <w:color w:val="000000"/>
        <w:sz w:val="16"/>
      </w:rPr>
      <w:t xml:space="preserve">Effective Date: 3/17/2024 - Docket #: ER24-885-000 -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65E7">
      <w:r>
        <w:separator/>
      </w:r>
    </w:p>
  </w:footnote>
  <w:footnote w:type="continuationSeparator" w:id="0">
    <w:p w:rsidR="00000000" w:rsidRDefault="0084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F2" w:rsidRDefault="008465E7">
    <w:r>
      <w:rPr>
        <w:rFonts w:ascii="Arial" w:eastAsia="Arial" w:hAnsi="Arial" w:cs="Arial"/>
        <w:color w:val="000000"/>
        <w:sz w:val="16"/>
      </w:rPr>
      <w:t>NYISO Tariffs --&gt; Open Access Transmission Tariff (OATT) --&gt; 28 OATT Att V ISO Working Capital Fund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F2" w:rsidRDefault="008465E7">
    <w:r>
      <w:rPr>
        <w:rFonts w:ascii="Arial" w:eastAsia="Arial" w:hAnsi="Arial" w:cs="Arial"/>
        <w:color w:val="000000"/>
        <w:sz w:val="16"/>
      </w:rPr>
      <w:t>NYISO Tariffs --&gt; Open Access Transmiss</w:t>
    </w:r>
    <w:r>
      <w:rPr>
        <w:rFonts w:ascii="Arial" w:eastAsia="Arial" w:hAnsi="Arial" w:cs="Arial"/>
        <w:color w:val="000000"/>
        <w:sz w:val="16"/>
      </w:rPr>
      <w:t>ion Tariff (OATT) --&gt; 28 OATT Att V ISO Working Capital Fund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F2" w:rsidRDefault="008465E7">
    <w:r>
      <w:rPr>
        <w:rFonts w:ascii="Arial" w:eastAsia="Arial" w:hAnsi="Arial" w:cs="Arial"/>
        <w:color w:val="000000"/>
        <w:sz w:val="16"/>
      </w:rPr>
      <w:t>NYISO Tariffs --&gt; Open Access Transmission Tariff (OATT) --&gt; 28 O</w:t>
    </w:r>
    <w:r>
      <w:rPr>
        <w:rFonts w:ascii="Arial" w:eastAsia="Arial" w:hAnsi="Arial" w:cs="Arial"/>
        <w:color w:val="000000"/>
        <w:sz w:val="16"/>
      </w:rPr>
      <w:t>ATT Att V ISO Working Capital Fund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A1E"/>
    <w:multiLevelType w:val="hybridMultilevel"/>
    <w:tmpl w:val="981290E8"/>
    <w:lvl w:ilvl="0" w:tplc="A1D6FAC6">
      <w:start w:val="1"/>
      <w:numFmt w:val="lowerRoman"/>
      <w:lvlText w:val="(%1)"/>
      <w:lvlJc w:val="left"/>
      <w:pPr>
        <w:tabs>
          <w:tab w:val="num" w:pos="2160"/>
        </w:tabs>
        <w:ind w:left="1728" w:hanging="288"/>
      </w:pPr>
      <w:rPr>
        <w:rFonts w:ascii="Times New Roman" w:hAnsi="Times New Roman" w:hint="default"/>
        <w:b w:val="0"/>
        <w:i w:val="0"/>
        <w:caps w:val="0"/>
        <w:sz w:val="24"/>
      </w:rPr>
    </w:lvl>
    <w:lvl w:ilvl="1" w:tplc="2EBE8FD4" w:tentative="1">
      <w:start w:val="1"/>
      <w:numFmt w:val="lowerLetter"/>
      <w:lvlText w:val="%2."/>
      <w:lvlJc w:val="left"/>
      <w:pPr>
        <w:tabs>
          <w:tab w:val="num" w:pos="1440"/>
        </w:tabs>
        <w:ind w:left="1440" w:hanging="360"/>
      </w:pPr>
    </w:lvl>
    <w:lvl w:ilvl="2" w:tplc="5348778E" w:tentative="1">
      <w:start w:val="1"/>
      <w:numFmt w:val="lowerRoman"/>
      <w:lvlText w:val="%3."/>
      <w:lvlJc w:val="right"/>
      <w:pPr>
        <w:tabs>
          <w:tab w:val="num" w:pos="2160"/>
        </w:tabs>
        <w:ind w:left="2160" w:hanging="180"/>
      </w:pPr>
    </w:lvl>
    <w:lvl w:ilvl="3" w:tplc="E06E93A0" w:tentative="1">
      <w:start w:val="1"/>
      <w:numFmt w:val="decimal"/>
      <w:lvlText w:val="%4."/>
      <w:lvlJc w:val="left"/>
      <w:pPr>
        <w:tabs>
          <w:tab w:val="num" w:pos="2880"/>
        </w:tabs>
        <w:ind w:left="2880" w:hanging="360"/>
      </w:pPr>
    </w:lvl>
    <w:lvl w:ilvl="4" w:tplc="DEF4E6F6" w:tentative="1">
      <w:start w:val="1"/>
      <w:numFmt w:val="lowerLetter"/>
      <w:lvlText w:val="%5."/>
      <w:lvlJc w:val="left"/>
      <w:pPr>
        <w:tabs>
          <w:tab w:val="num" w:pos="3600"/>
        </w:tabs>
        <w:ind w:left="3600" w:hanging="360"/>
      </w:pPr>
    </w:lvl>
    <w:lvl w:ilvl="5" w:tplc="1494B58A" w:tentative="1">
      <w:start w:val="1"/>
      <w:numFmt w:val="lowerRoman"/>
      <w:lvlText w:val="%6."/>
      <w:lvlJc w:val="right"/>
      <w:pPr>
        <w:tabs>
          <w:tab w:val="num" w:pos="4320"/>
        </w:tabs>
        <w:ind w:left="4320" w:hanging="180"/>
      </w:pPr>
    </w:lvl>
    <w:lvl w:ilvl="6" w:tplc="F13893BE" w:tentative="1">
      <w:start w:val="1"/>
      <w:numFmt w:val="decimal"/>
      <w:lvlText w:val="%7."/>
      <w:lvlJc w:val="left"/>
      <w:pPr>
        <w:tabs>
          <w:tab w:val="num" w:pos="5040"/>
        </w:tabs>
        <w:ind w:left="5040" w:hanging="360"/>
      </w:pPr>
    </w:lvl>
    <w:lvl w:ilvl="7" w:tplc="5148CFDA" w:tentative="1">
      <w:start w:val="1"/>
      <w:numFmt w:val="lowerLetter"/>
      <w:lvlText w:val="%8."/>
      <w:lvlJc w:val="left"/>
      <w:pPr>
        <w:tabs>
          <w:tab w:val="num" w:pos="5760"/>
        </w:tabs>
        <w:ind w:left="5760" w:hanging="360"/>
      </w:pPr>
    </w:lvl>
    <w:lvl w:ilvl="8" w:tplc="8056E5CA" w:tentative="1">
      <w:start w:val="1"/>
      <w:numFmt w:val="lowerRoman"/>
      <w:lvlText w:val="%9."/>
      <w:lvlJc w:val="right"/>
      <w:pPr>
        <w:tabs>
          <w:tab w:val="num" w:pos="6480"/>
        </w:tabs>
        <w:ind w:left="6480" w:hanging="180"/>
      </w:pPr>
    </w:lvl>
  </w:abstractNum>
  <w:abstractNum w:abstractNumId="1">
    <w:nsid w:val="0775374A"/>
    <w:multiLevelType w:val="hybridMultilevel"/>
    <w:tmpl w:val="F5EC19CC"/>
    <w:lvl w:ilvl="0" w:tplc="56B6192E">
      <w:start w:val="1"/>
      <w:numFmt w:val="bullet"/>
      <w:pStyle w:val="Bulletpara"/>
      <w:lvlText w:val=""/>
      <w:lvlJc w:val="left"/>
      <w:pPr>
        <w:tabs>
          <w:tab w:val="num" w:pos="720"/>
        </w:tabs>
        <w:ind w:left="720" w:hanging="360"/>
      </w:pPr>
      <w:rPr>
        <w:rFonts w:ascii="Symbol" w:hAnsi="Symbol" w:hint="default"/>
      </w:rPr>
    </w:lvl>
    <w:lvl w:ilvl="1" w:tplc="445AB2C2" w:tentative="1">
      <w:start w:val="1"/>
      <w:numFmt w:val="bullet"/>
      <w:lvlText w:val="o"/>
      <w:lvlJc w:val="left"/>
      <w:pPr>
        <w:tabs>
          <w:tab w:val="num" w:pos="1440"/>
        </w:tabs>
        <w:ind w:left="1440" w:hanging="360"/>
      </w:pPr>
      <w:rPr>
        <w:rFonts w:ascii="Courier New" w:hAnsi="Courier New" w:cs="Courier New" w:hint="default"/>
      </w:rPr>
    </w:lvl>
    <w:lvl w:ilvl="2" w:tplc="3B72EEF6" w:tentative="1">
      <w:start w:val="1"/>
      <w:numFmt w:val="bullet"/>
      <w:lvlText w:val=""/>
      <w:lvlJc w:val="left"/>
      <w:pPr>
        <w:tabs>
          <w:tab w:val="num" w:pos="2160"/>
        </w:tabs>
        <w:ind w:left="2160" w:hanging="360"/>
      </w:pPr>
      <w:rPr>
        <w:rFonts w:ascii="Wingdings" w:hAnsi="Wingdings" w:hint="default"/>
      </w:rPr>
    </w:lvl>
    <w:lvl w:ilvl="3" w:tplc="D71AB3F6" w:tentative="1">
      <w:start w:val="1"/>
      <w:numFmt w:val="bullet"/>
      <w:lvlText w:val=""/>
      <w:lvlJc w:val="left"/>
      <w:pPr>
        <w:tabs>
          <w:tab w:val="num" w:pos="2880"/>
        </w:tabs>
        <w:ind w:left="2880" w:hanging="360"/>
      </w:pPr>
      <w:rPr>
        <w:rFonts w:ascii="Symbol" w:hAnsi="Symbol" w:hint="default"/>
      </w:rPr>
    </w:lvl>
    <w:lvl w:ilvl="4" w:tplc="6D0AB684" w:tentative="1">
      <w:start w:val="1"/>
      <w:numFmt w:val="bullet"/>
      <w:lvlText w:val="o"/>
      <w:lvlJc w:val="left"/>
      <w:pPr>
        <w:tabs>
          <w:tab w:val="num" w:pos="3600"/>
        </w:tabs>
        <w:ind w:left="3600" w:hanging="360"/>
      </w:pPr>
      <w:rPr>
        <w:rFonts w:ascii="Courier New" w:hAnsi="Courier New" w:cs="Courier New" w:hint="default"/>
      </w:rPr>
    </w:lvl>
    <w:lvl w:ilvl="5" w:tplc="545804E8" w:tentative="1">
      <w:start w:val="1"/>
      <w:numFmt w:val="bullet"/>
      <w:lvlText w:val=""/>
      <w:lvlJc w:val="left"/>
      <w:pPr>
        <w:tabs>
          <w:tab w:val="num" w:pos="4320"/>
        </w:tabs>
        <w:ind w:left="4320" w:hanging="360"/>
      </w:pPr>
      <w:rPr>
        <w:rFonts w:ascii="Wingdings" w:hAnsi="Wingdings" w:hint="default"/>
      </w:rPr>
    </w:lvl>
    <w:lvl w:ilvl="6" w:tplc="91E4529A" w:tentative="1">
      <w:start w:val="1"/>
      <w:numFmt w:val="bullet"/>
      <w:lvlText w:val=""/>
      <w:lvlJc w:val="left"/>
      <w:pPr>
        <w:tabs>
          <w:tab w:val="num" w:pos="5040"/>
        </w:tabs>
        <w:ind w:left="5040" w:hanging="360"/>
      </w:pPr>
      <w:rPr>
        <w:rFonts w:ascii="Symbol" w:hAnsi="Symbol" w:hint="default"/>
      </w:rPr>
    </w:lvl>
    <w:lvl w:ilvl="7" w:tplc="34368682" w:tentative="1">
      <w:start w:val="1"/>
      <w:numFmt w:val="bullet"/>
      <w:lvlText w:val="o"/>
      <w:lvlJc w:val="left"/>
      <w:pPr>
        <w:tabs>
          <w:tab w:val="num" w:pos="5760"/>
        </w:tabs>
        <w:ind w:left="5760" w:hanging="360"/>
      </w:pPr>
      <w:rPr>
        <w:rFonts w:ascii="Courier New" w:hAnsi="Courier New" w:cs="Courier New" w:hint="default"/>
      </w:rPr>
    </w:lvl>
    <w:lvl w:ilvl="8" w:tplc="B824B748" w:tentative="1">
      <w:start w:val="1"/>
      <w:numFmt w:val="bullet"/>
      <w:lvlText w:val=""/>
      <w:lvlJc w:val="left"/>
      <w:pPr>
        <w:tabs>
          <w:tab w:val="num" w:pos="6480"/>
        </w:tabs>
        <w:ind w:left="6480" w:hanging="360"/>
      </w:pPr>
      <w:rPr>
        <w:rFonts w:ascii="Wingdings" w:hAnsi="Wingdings" w:hint="default"/>
      </w:rPr>
    </w:lvl>
  </w:abstractNum>
  <w:abstractNum w:abstractNumId="2">
    <w:nsid w:val="083B6B87"/>
    <w:multiLevelType w:val="hybridMultilevel"/>
    <w:tmpl w:val="BCA0E5C4"/>
    <w:lvl w:ilvl="0" w:tplc="E4F2A310">
      <w:start w:val="1"/>
      <w:numFmt w:val="upperRoman"/>
      <w:lvlText w:val="%1."/>
      <w:lvlJc w:val="left"/>
      <w:pPr>
        <w:tabs>
          <w:tab w:val="num" w:pos="1080"/>
        </w:tabs>
        <w:ind w:left="1080" w:hanging="720"/>
      </w:pPr>
      <w:rPr>
        <w:rFonts w:hint="default"/>
      </w:rPr>
    </w:lvl>
    <w:lvl w:ilvl="1" w:tplc="2384D10C">
      <w:start w:val="1"/>
      <w:numFmt w:val="upperLetter"/>
      <w:lvlText w:val="(%2)"/>
      <w:lvlJc w:val="left"/>
      <w:pPr>
        <w:tabs>
          <w:tab w:val="num" w:pos="1530"/>
        </w:tabs>
        <w:ind w:left="1530" w:hanging="450"/>
      </w:pPr>
      <w:rPr>
        <w:rFonts w:hint="default"/>
      </w:rPr>
    </w:lvl>
    <w:lvl w:ilvl="2" w:tplc="46E04AF8">
      <w:start w:val="1"/>
      <w:numFmt w:val="lowerRoman"/>
      <w:lvlText w:val="(%3)"/>
      <w:lvlJc w:val="left"/>
      <w:pPr>
        <w:tabs>
          <w:tab w:val="num" w:pos="2160"/>
        </w:tabs>
        <w:ind w:left="2160" w:hanging="720"/>
      </w:pPr>
      <w:rPr>
        <w:rFonts w:ascii="Times New Roman" w:hAnsi="Times New Roman" w:hint="default"/>
        <w:b w:val="0"/>
        <w:i w:val="0"/>
        <w:caps w:val="0"/>
        <w:sz w:val="24"/>
      </w:rPr>
    </w:lvl>
    <w:lvl w:ilvl="3" w:tplc="8C6EF5FC" w:tentative="1">
      <w:start w:val="1"/>
      <w:numFmt w:val="decimal"/>
      <w:lvlText w:val="%4."/>
      <w:lvlJc w:val="left"/>
      <w:pPr>
        <w:tabs>
          <w:tab w:val="num" w:pos="2880"/>
        </w:tabs>
        <w:ind w:left="2880" w:hanging="360"/>
      </w:pPr>
    </w:lvl>
    <w:lvl w:ilvl="4" w:tplc="76BC8DA0" w:tentative="1">
      <w:start w:val="1"/>
      <w:numFmt w:val="lowerLetter"/>
      <w:lvlText w:val="%5."/>
      <w:lvlJc w:val="left"/>
      <w:pPr>
        <w:tabs>
          <w:tab w:val="num" w:pos="3600"/>
        </w:tabs>
        <w:ind w:left="3600" w:hanging="360"/>
      </w:pPr>
    </w:lvl>
    <w:lvl w:ilvl="5" w:tplc="D406A646" w:tentative="1">
      <w:start w:val="1"/>
      <w:numFmt w:val="lowerRoman"/>
      <w:lvlText w:val="%6."/>
      <w:lvlJc w:val="right"/>
      <w:pPr>
        <w:tabs>
          <w:tab w:val="num" w:pos="4320"/>
        </w:tabs>
        <w:ind w:left="4320" w:hanging="180"/>
      </w:pPr>
    </w:lvl>
    <w:lvl w:ilvl="6" w:tplc="44189B5A" w:tentative="1">
      <w:start w:val="1"/>
      <w:numFmt w:val="decimal"/>
      <w:lvlText w:val="%7."/>
      <w:lvlJc w:val="left"/>
      <w:pPr>
        <w:tabs>
          <w:tab w:val="num" w:pos="5040"/>
        </w:tabs>
        <w:ind w:left="5040" w:hanging="360"/>
      </w:pPr>
    </w:lvl>
    <w:lvl w:ilvl="7" w:tplc="4B208102" w:tentative="1">
      <w:start w:val="1"/>
      <w:numFmt w:val="lowerLetter"/>
      <w:lvlText w:val="%8."/>
      <w:lvlJc w:val="left"/>
      <w:pPr>
        <w:tabs>
          <w:tab w:val="num" w:pos="5760"/>
        </w:tabs>
        <w:ind w:left="5760" w:hanging="360"/>
      </w:pPr>
    </w:lvl>
    <w:lvl w:ilvl="8" w:tplc="B4303CBE" w:tentative="1">
      <w:start w:val="1"/>
      <w:numFmt w:val="lowerRoman"/>
      <w:lvlText w:val="%9."/>
      <w:lvlJc w:val="right"/>
      <w:pPr>
        <w:tabs>
          <w:tab w:val="num" w:pos="6480"/>
        </w:tabs>
        <w:ind w:left="6480" w:hanging="180"/>
      </w:pPr>
    </w:lvl>
  </w:abstractNum>
  <w:abstractNum w:abstractNumId="3">
    <w:nsid w:val="240225E1"/>
    <w:multiLevelType w:val="hybridMultilevel"/>
    <w:tmpl w:val="A8D6BF7C"/>
    <w:lvl w:ilvl="0" w:tplc="6960E9A2">
      <w:start w:val="1"/>
      <w:numFmt w:val="decimal"/>
      <w:lvlText w:val="%1.0"/>
      <w:lvlJc w:val="left"/>
      <w:pPr>
        <w:tabs>
          <w:tab w:val="num" w:pos="1080"/>
        </w:tabs>
        <w:ind w:left="1080" w:hanging="720"/>
      </w:pPr>
      <w:rPr>
        <w:rFonts w:hint="default"/>
        <w:b/>
      </w:rPr>
    </w:lvl>
    <w:lvl w:ilvl="1" w:tplc="82823E1A" w:tentative="1">
      <w:start w:val="1"/>
      <w:numFmt w:val="lowerLetter"/>
      <w:lvlText w:val="%2."/>
      <w:lvlJc w:val="left"/>
      <w:pPr>
        <w:tabs>
          <w:tab w:val="num" w:pos="1440"/>
        </w:tabs>
        <w:ind w:left="1440" w:hanging="360"/>
      </w:pPr>
    </w:lvl>
    <w:lvl w:ilvl="2" w:tplc="B89495F4" w:tentative="1">
      <w:start w:val="1"/>
      <w:numFmt w:val="lowerRoman"/>
      <w:lvlText w:val="%3."/>
      <w:lvlJc w:val="right"/>
      <w:pPr>
        <w:tabs>
          <w:tab w:val="num" w:pos="2160"/>
        </w:tabs>
        <w:ind w:left="2160" w:hanging="180"/>
      </w:pPr>
    </w:lvl>
    <w:lvl w:ilvl="3" w:tplc="32B46AB8" w:tentative="1">
      <w:start w:val="1"/>
      <w:numFmt w:val="decimal"/>
      <w:lvlText w:val="%4."/>
      <w:lvlJc w:val="left"/>
      <w:pPr>
        <w:tabs>
          <w:tab w:val="num" w:pos="2880"/>
        </w:tabs>
        <w:ind w:left="2880" w:hanging="360"/>
      </w:pPr>
    </w:lvl>
    <w:lvl w:ilvl="4" w:tplc="7EBECBA6" w:tentative="1">
      <w:start w:val="1"/>
      <w:numFmt w:val="lowerLetter"/>
      <w:lvlText w:val="%5."/>
      <w:lvlJc w:val="left"/>
      <w:pPr>
        <w:tabs>
          <w:tab w:val="num" w:pos="3600"/>
        </w:tabs>
        <w:ind w:left="3600" w:hanging="360"/>
      </w:pPr>
    </w:lvl>
    <w:lvl w:ilvl="5" w:tplc="44109ABE" w:tentative="1">
      <w:start w:val="1"/>
      <w:numFmt w:val="lowerRoman"/>
      <w:lvlText w:val="%6."/>
      <w:lvlJc w:val="right"/>
      <w:pPr>
        <w:tabs>
          <w:tab w:val="num" w:pos="4320"/>
        </w:tabs>
        <w:ind w:left="4320" w:hanging="180"/>
      </w:pPr>
    </w:lvl>
    <w:lvl w:ilvl="6" w:tplc="DF04502A" w:tentative="1">
      <w:start w:val="1"/>
      <w:numFmt w:val="decimal"/>
      <w:lvlText w:val="%7."/>
      <w:lvlJc w:val="left"/>
      <w:pPr>
        <w:tabs>
          <w:tab w:val="num" w:pos="5040"/>
        </w:tabs>
        <w:ind w:left="5040" w:hanging="360"/>
      </w:pPr>
    </w:lvl>
    <w:lvl w:ilvl="7" w:tplc="E4005316" w:tentative="1">
      <w:start w:val="1"/>
      <w:numFmt w:val="lowerLetter"/>
      <w:lvlText w:val="%8."/>
      <w:lvlJc w:val="left"/>
      <w:pPr>
        <w:tabs>
          <w:tab w:val="num" w:pos="5760"/>
        </w:tabs>
        <w:ind w:left="5760" w:hanging="360"/>
      </w:pPr>
    </w:lvl>
    <w:lvl w:ilvl="8" w:tplc="DA626E72" w:tentative="1">
      <w:start w:val="1"/>
      <w:numFmt w:val="lowerRoman"/>
      <w:lvlText w:val="%9."/>
      <w:lvlJc w:val="right"/>
      <w:pPr>
        <w:tabs>
          <w:tab w:val="num" w:pos="6480"/>
        </w:tabs>
        <w:ind w:left="6480" w:hanging="180"/>
      </w:pPr>
    </w:lvl>
  </w:abstractNum>
  <w:abstractNum w:abstractNumId="4">
    <w:nsid w:val="262C0F9E"/>
    <w:multiLevelType w:val="hybridMultilevel"/>
    <w:tmpl w:val="C7FCC2DE"/>
    <w:lvl w:ilvl="0" w:tplc="D02A6348">
      <w:start w:val="6"/>
      <w:numFmt w:val="upperRoman"/>
      <w:lvlText w:val="%1."/>
      <w:lvlJc w:val="left"/>
      <w:pPr>
        <w:tabs>
          <w:tab w:val="num" w:pos="1080"/>
        </w:tabs>
        <w:ind w:left="1080" w:hanging="720"/>
      </w:pPr>
      <w:rPr>
        <w:rFonts w:hint="default"/>
      </w:rPr>
    </w:lvl>
    <w:lvl w:ilvl="1" w:tplc="24A0786C" w:tentative="1">
      <w:start w:val="1"/>
      <w:numFmt w:val="lowerLetter"/>
      <w:lvlText w:val="%2."/>
      <w:lvlJc w:val="left"/>
      <w:pPr>
        <w:tabs>
          <w:tab w:val="num" w:pos="1440"/>
        </w:tabs>
        <w:ind w:left="1440" w:hanging="360"/>
      </w:pPr>
    </w:lvl>
    <w:lvl w:ilvl="2" w:tplc="2A20855C" w:tentative="1">
      <w:start w:val="1"/>
      <w:numFmt w:val="lowerRoman"/>
      <w:lvlText w:val="%3."/>
      <w:lvlJc w:val="right"/>
      <w:pPr>
        <w:tabs>
          <w:tab w:val="num" w:pos="2160"/>
        </w:tabs>
        <w:ind w:left="2160" w:hanging="180"/>
      </w:pPr>
    </w:lvl>
    <w:lvl w:ilvl="3" w:tplc="8A7634D4" w:tentative="1">
      <w:start w:val="1"/>
      <w:numFmt w:val="decimal"/>
      <w:lvlText w:val="%4."/>
      <w:lvlJc w:val="left"/>
      <w:pPr>
        <w:tabs>
          <w:tab w:val="num" w:pos="2880"/>
        </w:tabs>
        <w:ind w:left="2880" w:hanging="360"/>
      </w:pPr>
    </w:lvl>
    <w:lvl w:ilvl="4" w:tplc="3380FE8C" w:tentative="1">
      <w:start w:val="1"/>
      <w:numFmt w:val="lowerLetter"/>
      <w:lvlText w:val="%5."/>
      <w:lvlJc w:val="left"/>
      <w:pPr>
        <w:tabs>
          <w:tab w:val="num" w:pos="3600"/>
        </w:tabs>
        <w:ind w:left="3600" w:hanging="360"/>
      </w:pPr>
    </w:lvl>
    <w:lvl w:ilvl="5" w:tplc="0D6AFCEC" w:tentative="1">
      <w:start w:val="1"/>
      <w:numFmt w:val="lowerRoman"/>
      <w:lvlText w:val="%6."/>
      <w:lvlJc w:val="right"/>
      <w:pPr>
        <w:tabs>
          <w:tab w:val="num" w:pos="4320"/>
        </w:tabs>
        <w:ind w:left="4320" w:hanging="180"/>
      </w:pPr>
    </w:lvl>
    <w:lvl w:ilvl="6" w:tplc="8CD8A988" w:tentative="1">
      <w:start w:val="1"/>
      <w:numFmt w:val="decimal"/>
      <w:lvlText w:val="%7."/>
      <w:lvlJc w:val="left"/>
      <w:pPr>
        <w:tabs>
          <w:tab w:val="num" w:pos="5040"/>
        </w:tabs>
        <w:ind w:left="5040" w:hanging="360"/>
      </w:pPr>
    </w:lvl>
    <w:lvl w:ilvl="7" w:tplc="7AA8DECC" w:tentative="1">
      <w:start w:val="1"/>
      <w:numFmt w:val="lowerLetter"/>
      <w:lvlText w:val="%8."/>
      <w:lvlJc w:val="left"/>
      <w:pPr>
        <w:tabs>
          <w:tab w:val="num" w:pos="5760"/>
        </w:tabs>
        <w:ind w:left="5760" w:hanging="360"/>
      </w:pPr>
    </w:lvl>
    <w:lvl w:ilvl="8" w:tplc="ED1ABCBC" w:tentative="1">
      <w:start w:val="1"/>
      <w:numFmt w:val="lowerRoman"/>
      <w:lvlText w:val="%9."/>
      <w:lvlJc w:val="right"/>
      <w:pPr>
        <w:tabs>
          <w:tab w:val="num" w:pos="6480"/>
        </w:tabs>
        <w:ind w:left="6480" w:hanging="180"/>
      </w:pPr>
    </w:lvl>
  </w:abstractNum>
  <w:abstractNum w:abstractNumId="5">
    <w:nsid w:val="28F03D66"/>
    <w:multiLevelType w:val="hybridMultilevel"/>
    <w:tmpl w:val="7A8AA0A2"/>
    <w:lvl w:ilvl="0" w:tplc="DEB8E194">
      <w:start w:val="1"/>
      <w:numFmt w:val="bullet"/>
      <w:lvlText w:val="­"/>
      <w:lvlJc w:val="left"/>
      <w:pPr>
        <w:tabs>
          <w:tab w:val="num" w:pos="720"/>
        </w:tabs>
        <w:ind w:left="720" w:hanging="360"/>
      </w:pPr>
      <w:rPr>
        <w:rFonts w:ascii="Courier New" w:hAnsi="Courier New" w:hint="default"/>
      </w:rPr>
    </w:lvl>
    <w:lvl w:ilvl="1" w:tplc="6ADAA038" w:tentative="1">
      <w:start w:val="1"/>
      <w:numFmt w:val="bullet"/>
      <w:lvlText w:val="o"/>
      <w:lvlJc w:val="left"/>
      <w:pPr>
        <w:tabs>
          <w:tab w:val="num" w:pos="1440"/>
        </w:tabs>
        <w:ind w:left="1440" w:hanging="360"/>
      </w:pPr>
      <w:rPr>
        <w:rFonts w:ascii="Courier New" w:hAnsi="Courier New" w:cs="Courier New" w:hint="default"/>
      </w:rPr>
    </w:lvl>
    <w:lvl w:ilvl="2" w:tplc="32A8BAF0" w:tentative="1">
      <w:start w:val="1"/>
      <w:numFmt w:val="bullet"/>
      <w:lvlText w:val=""/>
      <w:lvlJc w:val="left"/>
      <w:pPr>
        <w:tabs>
          <w:tab w:val="num" w:pos="2160"/>
        </w:tabs>
        <w:ind w:left="2160" w:hanging="360"/>
      </w:pPr>
      <w:rPr>
        <w:rFonts w:ascii="Wingdings" w:hAnsi="Wingdings" w:hint="default"/>
      </w:rPr>
    </w:lvl>
    <w:lvl w:ilvl="3" w:tplc="245C3FEA" w:tentative="1">
      <w:start w:val="1"/>
      <w:numFmt w:val="bullet"/>
      <w:lvlText w:val=""/>
      <w:lvlJc w:val="left"/>
      <w:pPr>
        <w:tabs>
          <w:tab w:val="num" w:pos="2880"/>
        </w:tabs>
        <w:ind w:left="2880" w:hanging="360"/>
      </w:pPr>
      <w:rPr>
        <w:rFonts w:ascii="Symbol" w:hAnsi="Symbol" w:hint="default"/>
      </w:rPr>
    </w:lvl>
    <w:lvl w:ilvl="4" w:tplc="668C70A8" w:tentative="1">
      <w:start w:val="1"/>
      <w:numFmt w:val="bullet"/>
      <w:lvlText w:val="o"/>
      <w:lvlJc w:val="left"/>
      <w:pPr>
        <w:tabs>
          <w:tab w:val="num" w:pos="3600"/>
        </w:tabs>
        <w:ind w:left="3600" w:hanging="360"/>
      </w:pPr>
      <w:rPr>
        <w:rFonts w:ascii="Courier New" w:hAnsi="Courier New" w:cs="Courier New" w:hint="default"/>
      </w:rPr>
    </w:lvl>
    <w:lvl w:ilvl="5" w:tplc="78688C6A" w:tentative="1">
      <w:start w:val="1"/>
      <w:numFmt w:val="bullet"/>
      <w:lvlText w:val=""/>
      <w:lvlJc w:val="left"/>
      <w:pPr>
        <w:tabs>
          <w:tab w:val="num" w:pos="4320"/>
        </w:tabs>
        <w:ind w:left="4320" w:hanging="360"/>
      </w:pPr>
      <w:rPr>
        <w:rFonts w:ascii="Wingdings" w:hAnsi="Wingdings" w:hint="default"/>
      </w:rPr>
    </w:lvl>
    <w:lvl w:ilvl="6" w:tplc="679646C2" w:tentative="1">
      <w:start w:val="1"/>
      <w:numFmt w:val="bullet"/>
      <w:lvlText w:val=""/>
      <w:lvlJc w:val="left"/>
      <w:pPr>
        <w:tabs>
          <w:tab w:val="num" w:pos="5040"/>
        </w:tabs>
        <w:ind w:left="5040" w:hanging="360"/>
      </w:pPr>
      <w:rPr>
        <w:rFonts w:ascii="Symbol" w:hAnsi="Symbol" w:hint="default"/>
      </w:rPr>
    </w:lvl>
    <w:lvl w:ilvl="7" w:tplc="F376BB5A" w:tentative="1">
      <w:start w:val="1"/>
      <w:numFmt w:val="bullet"/>
      <w:lvlText w:val="o"/>
      <w:lvlJc w:val="left"/>
      <w:pPr>
        <w:tabs>
          <w:tab w:val="num" w:pos="5760"/>
        </w:tabs>
        <w:ind w:left="5760" w:hanging="360"/>
      </w:pPr>
      <w:rPr>
        <w:rFonts w:ascii="Courier New" w:hAnsi="Courier New" w:cs="Courier New" w:hint="default"/>
      </w:rPr>
    </w:lvl>
    <w:lvl w:ilvl="8" w:tplc="F4B67138" w:tentative="1">
      <w:start w:val="1"/>
      <w:numFmt w:val="bullet"/>
      <w:lvlText w:val=""/>
      <w:lvlJc w:val="left"/>
      <w:pPr>
        <w:tabs>
          <w:tab w:val="num" w:pos="6480"/>
        </w:tabs>
        <w:ind w:left="6480" w:hanging="360"/>
      </w:pPr>
      <w:rPr>
        <w:rFonts w:ascii="Wingdings" w:hAnsi="Wingdings" w:hint="default"/>
      </w:rPr>
    </w:lvl>
  </w:abstractNum>
  <w:abstractNum w:abstractNumId="6">
    <w:nsid w:val="2DF016F6"/>
    <w:multiLevelType w:val="hybridMultilevel"/>
    <w:tmpl w:val="C85AD806"/>
    <w:lvl w:ilvl="0" w:tplc="ACF493AA">
      <w:start w:val="1"/>
      <w:numFmt w:val="upperLetter"/>
      <w:lvlText w:val="%1."/>
      <w:lvlJc w:val="left"/>
      <w:pPr>
        <w:tabs>
          <w:tab w:val="num" w:pos="1080"/>
        </w:tabs>
        <w:ind w:left="1080" w:hanging="360"/>
      </w:pPr>
      <w:rPr>
        <w:rFonts w:hint="default"/>
      </w:rPr>
    </w:lvl>
    <w:lvl w:ilvl="1" w:tplc="6542FA3A">
      <w:start w:val="1"/>
      <w:numFmt w:val="lowerLetter"/>
      <w:lvlText w:val="%2."/>
      <w:lvlJc w:val="left"/>
      <w:pPr>
        <w:tabs>
          <w:tab w:val="num" w:pos="1800"/>
        </w:tabs>
        <w:ind w:left="1800" w:hanging="360"/>
      </w:pPr>
    </w:lvl>
    <w:lvl w:ilvl="2" w:tplc="4DEE3A34" w:tentative="1">
      <w:start w:val="1"/>
      <w:numFmt w:val="lowerRoman"/>
      <w:lvlText w:val="%3."/>
      <w:lvlJc w:val="right"/>
      <w:pPr>
        <w:tabs>
          <w:tab w:val="num" w:pos="2520"/>
        </w:tabs>
        <w:ind w:left="2520" w:hanging="180"/>
      </w:pPr>
    </w:lvl>
    <w:lvl w:ilvl="3" w:tplc="271E0DE0" w:tentative="1">
      <w:start w:val="1"/>
      <w:numFmt w:val="decimal"/>
      <w:lvlText w:val="%4."/>
      <w:lvlJc w:val="left"/>
      <w:pPr>
        <w:tabs>
          <w:tab w:val="num" w:pos="3240"/>
        </w:tabs>
        <w:ind w:left="3240" w:hanging="360"/>
      </w:pPr>
    </w:lvl>
    <w:lvl w:ilvl="4" w:tplc="D06683CA" w:tentative="1">
      <w:start w:val="1"/>
      <w:numFmt w:val="lowerLetter"/>
      <w:lvlText w:val="%5."/>
      <w:lvlJc w:val="left"/>
      <w:pPr>
        <w:tabs>
          <w:tab w:val="num" w:pos="3960"/>
        </w:tabs>
        <w:ind w:left="3960" w:hanging="360"/>
      </w:pPr>
    </w:lvl>
    <w:lvl w:ilvl="5" w:tplc="8056F9D0" w:tentative="1">
      <w:start w:val="1"/>
      <w:numFmt w:val="lowerRoman"/>
      <w:lvlText w:val="%6."/>
      <w:lvlJc w:val="right"/>
      <w:pPr>
        <w:tabs>
          <w:tab w:val="num" w:pos="4680"/>
        </w:tabs>
        <w:ind w:left="4680" w:hanging="180"/>
      </w:pPr>
    </w:lvl>
    <w:lvl w:ilvl="6" w:tplc="3E0A8464" w:tentative="1">
      <w:start w:val="1"/>
      <w:numFmt w:val="decimal"/>
      <w:lvlText w:val="%7."/>
      <w:lvlJc w:val="left"/>
      <w:pPr>
        <w:tabs>
          <w:tab w:val="num" w:pos="5400"/>
        </w:tabs>
        <w:ind w:left="5400" w:hanging="360"/>
      </w:pPr>
    </w:lvl>
    <w:lvl w:ilvl="7" w:tplc="983835EA" w:tentative="1">
      <w:start w:val="1"/>
      <w:numFmt w:val="lowerLetter"/>
      <w:lvlText w:val="%8."/>
      <w:lvlJc w:val="left"/>
      <w:pPr>
        <w:tabs>
          <w:tab w:val="num" w:pos="6120"/>
        </w:tabs>
        <w:ind w:left="6120" w:hanging="360"/>
      </w:pPr>
    </w:lvl>
    <w:lvl w:ilvl="8" w:tplc="CB7E4800" w:tentative="1">
      <w:start w:val="1"/>
      <w:numFmt w:val="lowerRoman"/>
      <w:lvlText w:val="%9."/>
      <w:lvlJc w:val="right"/>
      <w:pPr>
        <w:tabs>
          <w:tab w:val="num" w:pos="6840"/>
        </w:tabs>
        <w:ind w:left="6840" w:hanging="180"/>
      </w:pPr>
    </w:lvl>
  </w:abstractNum>
  <w:abstractNum w:abstractNumId="7">
    <w:nsid w:val="372A749B"/>
    <w:multiLevelType w:val="hybridMultilevel"/>
    <w:tmpl w:val="EBD879C0"/>
    <w:lvl w:ilvl="0" w:tplc="5ECE614C">
      <w:start w:val="1"/>
      <w:numFmt w:val="lowerRoman"/>
      <w:lvlText w:val="(%1)"/>
      <w:lvlJc w:val="left"/>
      <w:pPr>
        <w:tabs>
          <w:tab w:val="num" w:pos="2448"/>
        </w:tabs>
        <w:ind w:left="2448" w:hanging="648"/>
      </w:pPr>
      <w:rPr>
        <w:rFonts w:hint="default"/>
        <w:b w:val="0"/>
        <w:i w:val="0"/>
        <w:u w:val="none"/>
      </w:rPr>
    </w:lvl>
    <w:lvl w:ilvl="1" w:tplc="3DCE7050" w:tentative="1">
      <w:start w:val="1"/>
      <w:numFmt w:val="lowerLetter"/>
      <w:lvlText w:val="%2."/>
      <w:lvlJc w:val="left"/>
      <w:pPr>
        <w:tabs>
          <w:tab w:val="num" w:pos="1440"/>
        </w:tabs>
        <w:ind w:left="1440" w:hanging="360"/>
      </w:pPr>
    </w:lvl>
    <w:lvl w:ilvl="2" w:tplc="25F0CF9A" w:tentative="1">
      <w:start w:val="1"/>
      <w:numFmt w:val="lowerRoman"/>
      <w:lvlText w:val="%3."/>
      <w:lvlJc w:val="right"/>
      <w:pPr>
        <w:tabs>
          <w:tab w:val="num" w:pos="2160"/>
        </w:tabs>
        <w:ind w:left="2160" w:hanging="180"/>
      </w:pPr>
    </w:lvl>
    <w:lvl w:ilvl="3" w:tplc="06DED168" w:tentative="1">
      <w:start w:val="1"/>
      <w:numFmt w:val="decimal"/>
      <w:lvlText w:val="%4."/>
      <w:lvlJc w:val="left"/>
      <w:pPr>
        <w:tabs>
          <w:tab w:val="num" w:pos="2880"/>
        </w:tabs>
        <w:ind w:left="2880" w:hanging="360"/>
      </w:pPr>
    </w:lvl>
    <w:lvl w:ilvl="4" w:tplc="2F02EC32" w:tentative="1">
      <w:start w:val="1"/>
      <w:numFmt w:val="lowerLetter"/>
      <w:lvlText w:val="%5."/>
      <w:lvlJc w:val="left"/>
      <w:pPr>
        <w:tabs>
          <w:tab w:val="num" w:pos="3600"/>
        </w:tabs>
        <w:ind w:left="3600" w:hanging="360"/>
      </w:pPr>
    </w:lvl>
    <w:lvl w:ilvl="5" w:tplc="E3025250" w:tentative="1">
      <w:start w:val="1"/>
      <w:numFmt w:val="lowerRoman"/>
      <w:lvlText w:val="%6."/>
      <w:lvlJc w:val="right"/>
      <w:pPr>
        <w:tabs>
          <w:tab w:val="num" w:pos="4320"/>
        </w:tabs>
        <w:ind w:left="4320" w:hanging="180"/>
      </w:pPr>
    </w:lvl>
    <w:lvl w:ilvl="6" w:tplc="27B81CD4" w:tentative="1">
      <w:start w:val="1"/>
      <w:numFmt w:val="decimal"/>
      <w:lvlText w:val="%7."/>
      <w:lvlJc w:val="left"/>
      <w:pPr>
        <w:tabs>
          <w:tab w:val="num" w:pos="5040"/>
        </w:tabs>
        <w:ind w:left="5040" w:hanging="360"/>
      </w:pPr>
    </w:lvl>
    <w:lvl w:ilvl="7" w:tplc="3634D9AC" w:tentative="1">
      <w:start w:val="1"/>
      <w:numFmt w:val="lowerLetter"/>
      <w:lvlText w:val="%8."/>
      <w:lvlJc w:val="left"/>
      <w:pPr>
        <w:tabs>
          <w:tab w:val="num" w:pos="5760"/>
        </w:tabs>
        <w:ind w:left="5760" w:hanging="360"/>
      </w:pPr>
    </w:lvl>
    <w:lvl w:ilvl="8" w:tplc="297C017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538E4420"/>
    <w:multiLevelType w:val="hybridMultilevel"/>
    <w:tmpl w:val="9E42B3DC"/>
    <w:lvl w:ilvl="0" w:tplc="664E237C">
      <w:start w:val="3"/>
      <w:numFmt w:val="decimal"/>
      <w:lvlText w:val="%1."/>
      <w:lvlJc w:val="left"/>
      <w:pPr>
        <w:tabs>
          <w:tab w:val="num" w:pos="720"/>
        </w:tabs>
        <w:ind w:left="720" w:hanging="720"/>
      </w:pPr>
      <w:rPr>
        <w:rFonts w:ascii="Times New Roman" w:hAnsi="Times New Roman" w:hint="default"/>
        <w:b/>
        <w:i w:val="0"/>
        <w:sz w:val="24"/>
      </w:rPr>
    </w:lvl>
    <w:lvl w:ilvl="1" w:tplc="C40A2802" w:tentative="1">
      <w:start w:val="1"/>
      <w:numFmt w:val="lowerLetter"/>
      <w:lvlText w:val="%2."/>
      <w:lvlJc w:val="left"/>
      <w:pPr>
        <w:tabs>
          <w:tab w:val="num" w:pos="1440"/>
        </w:tabs>
        <w:ind w:left="1440" w:hanging="360"/>
      </w:pPr>
    </w:lvl>
    <w:lvl w:ilvl="2" w:tplc="5136E0C0" w:tentative="1">
      <w:start w:val="1"/>
      <w:numFmt w:val="lowerRoman"/>
      <w:lvlText w:val="%3."/>
      <w:lvlJc w:val="right"/>
      <w:pPr>
        <w:tabs>
          <w:tab w:val="num" w:pos="2160"/>
        </w:tabs>
        <w:ind w:left="2160" w:hanging="180"/>
      </w:pPr>
    </w:lvl>
    <w:lvl w:ilvl="3" w:tplc="E348EDDC" w:tentative="1">
      <w:start w:val="1"/>
      <w:numFmt w:val="decimal"/>
      <w:lvlText w:val="%4."/>
      <w:lvlJc w:val="left"/>
      <w:pPr>
        <w:tabs>
          <w:tab w:val="num" w:pos="2880"/>
        </w:tabs>
        <w:ind w:left="2880" w:hanging="360"/>
      </w:pPr>
    </w:lvl>
    <w:lvl w:ilvl="4" w:tplc="98D2418A" w:tentative="1">
      <w:start w:val="1"/>
      <w:numFmt w:val="lowerLetter"/>
      <w:lvlText w:val="%5."/>
      <w:lvlJc w:val="left"/>
      <w:pPr>
        <w:tabs>
          <w:tab w:val="num" w:pos="3600"/>
        </w:tabs>
        <w:ind w:left="3600" w:hanging="360"/>
      </w:pPr>
    </w:lvl>
    <w:lvl w:ilvl="5" w:tplc="B276E0E6" w:tentative="1">
      <w:start w:val="1"/>
      <w:numFmt w:val="lowerRoman"/>
      <w:lvlText w:val="%6."/>
      <w:lvlJc w:val="right"/>
      <w:pPr>
        <w:tabs>
          <w:tab w:val="num" w:pos="4320"/>
        </w:tabs>
        <w:ind w:left="4320" w:hanging="180"/>
      </w:pPr>
    </w:lvl>
    <w:lvl w:ilvl="6" w:tplc="8C1A3182" w:tentative="1">
      <w:start w:val="1"/>
      <w:numFmt w:val="decimal"/>
      <w:lvlText w:val="%7."/>
      <w:lvlJc w:val="left"/>
      <w:pPr>
        <w:tabs>
          <w:tab w:val="num" w:pos="5040"/>
        </w:tabs>
        <w:ind w:left="5040" w:hanging="360"/>
      </w:pPr>
    </w:lvl>
    <w:lvl w:ilvl="7" w:tplc="8DB270C0" w:tentative="1">
      <w:start w:val="1"/>
      <w:numFmt w:val="lowerLetter"/>
      <w:lvlText w:val="%8."/>
      <w:lvlJc w:val="left"/>
      <w:pPr>
        <w:tabs>
          <w:tab w:val="num" w:pos="5760"/>
        </w:tabs>
        <w:ind w:left="5760" w:hanging="360"/>
      </w:pPr>
    </w:lvl>
    <w:lvl w:ilvl="8" w:tplc="0F1048C0" w:tentative="1">
      <w:start w:val="1"/>
      <w:numFmt w:val="lowerRoman"/>
      <w:lvlText w:val="%9."/>
      <w:lvlJc w:val="right"/>
      <w:pPr>
        <w:tabs>
          <w:tab w:val="num" w:pos="6480"/>
        </w:tabs>
        <w:ind w:left="6480" w:hanging="180"/>
      </w:pPr>
    </w:lvl>
  </w:abstractNum>
  <w:abstractNum w:abstractNumId="15">
    <w:nsid w:val="63B44405"/>
    <w:multiLevelType w:val="hybridMultilevel"/>
    <w:tmpl w:val="F9001238"/>
    <w:lvl w:ilvl="0" w:tplc="C36E0446">
      <w:start w:val="9"/>
      <w:numFmt w:val="upperRoman"/>
      <w:lvlText w:val="%1."/>
      <w:lvlJc w:val="left"/>
      <w:pPr>
        <w:tabs>
          <w:tab w:val="num" w:pos="1440"/>
        </w:tabs>
        <w:ind w:left="1440" w:hanging="720"/>
      </w:pPr>
      <w:rPr>
        <w:rFonts w:hint="default"/>
      </w:rPr>
    </w:lvl>
    <w:lvl w:ilvl="1" w:tplc="4386C088" w:tentative="1">
      <w:start w:val="1"/>
      <w:numFmt w:val="lowerLetter"/>
      <w:lvlText w:val="%2."/>
      <w:lvlJc w:val="left"/>
      <w:pPr>
        <w:tabs>
          <w:tab w:val="num" w:pos="1800"/>
        </w:tabs>
        <w:ind w:left="1800" w:hanging="360"/>
      </w:pPr>
    </w:lvl>
    <w:lvl w:ilvl="2" w:tplc="9ED61D82" w:tentative="1">
      <w:start w:val="1"/>
      <w:numFmt w:val="lowerRoman"/>
      <w:lvlText w:val="%3."/>
      <w:lvlJc w:val="right"/>
      <w:pPr>
        <w:tabs>
          <w:tab w:val="num" w:pos="2520"/>
        </w:tabs>
        <w:ind w:left="2520" w:hanging="180"/>
      </w:pPr>
    </w:lvl>
    <w:lvl w:ilvl="3" w:tplc="5824E30A" w:tentative="1">
      <w:start w:val="1"/>
      <w:numFmt w:val="decimal"/>
      <w:lvlText w:val="%4."/>
      <w:lvlJc w:val="left"/>
      <w:pPr>
        <w:tabs>
          <w:tab w:val="num" w:pos="3240"/>
        </w:tabs>
        <w:ind w:left="3240" w:hanging="360"/>
      </w:pPr>
    </w:lvl>
    <w:lvl w:ilvl="4" w:tplc="B64CFC4C" w:tentative="1">
      <w:start w:val="1"/>
      <w:numFmt w:val="lowerLetter"/>
      <w:lvlText w:val="%5."/>
      <w:lvlJc w:val="left"/>
      <w:pPr>
        <w:tabs>
          <w:tab w:val="num" w:pos="3960"/>
        </w:tabs>
        <w:ind w:left="3960" w:hanging="360"/>
      </w:pPr>
    </w:lvl>
    <w:lvl w:ilvl="5" w:tplc="B52A8552" w:tentative="1">
      <w:start w:val="1"/>
      <w:numFmt w:val="lowerRoman"/>
      <w:lvlText w:val="%6."/>
      <w:lvlJc w:val="right"/>
      <w:pPr>
        <w:tabs>
          <w:tab w:val="num" w:pos="4680"/>
        </w:tabs>
        <w:ind w:left="4680" w:hanging="180"/>
      </w:pPr>
    </w:lvl>
    <w:lvl w:ilvl="6" w:tplc="1E121172" w:tentative="1">
      <w:start w:val="1"/>
      <w:numFmt w:val="decimal"/>
      <w:lvlText w:val="%7."/>
      <w:lvlJc w:val="left"/>
      <w:pPr>
        <w:tabs>
          <w:tab w:val="num" w:pos="5400"/>
        </w:tabs>
        <w:ind w:left="5400" w:hanging="360"/>
      </w:pPr>
    </w:lvl>
    <w:lvl w:ilvl="7" w:tplc="82486CAC" w:tentative="1">
      <w:start w:val="1"/>
      <w:numFmt w:val="lowerLetter"/>
      <w:lvlText w:val="%8."/>
      <w:lvlJc w:val="left"/>
      <w:pPr>
        <w:tabs>
          <w:tab w:val="num" w:pos="6120"/>
        </w:tabs>
        <w:ind w:left="6120" w:hanging="360"/>
      </w:pPr>
    </w:lvl>
    <w:lvl w:ilvl="8" w:tplc="7A86FF1A" w:tentative="1">
      <w:start w:val="1"/>
      <w:numFmt w:val="lowerRoman"/>
      <w:lvlText w:val="%9."/>
      <w:lvlJc w:val="right"/>
      <w:pPr>
        <w:tabs>
          <w:tab w:val="num" w:pos="6840"/>
        </w:tabs>
        <w:ind w:left="6840" w:hanging="180"/>
      </w:pPr>
    </w:lvl>
  </w:abstractNum>
  <w:abstractNum w:abstractNumId="16">
    <w:nsid w:val="671739E9"/>
    <w:multiLevelType w:val="hybridMultilevel"/>
    <w:tmpl w:val="B29C98A0"/>
    <w:lvl w:ilvl="0" w:tplc="91421F9C">
      <w:start w:val="1"/>
      <w:numFmt w:val="bullet"/>
      <w:lvlText w:val=""/>
      <w:lvlJc w:val="left"/>
      <w:pPr>
        <w:tabs>
          <w:tab w:val="num" w:pos="5760"/>
        </w:tabs>
        <w:ind w:left="5760" w:hanging="360"/>
      </w:pPr>
      <w:rPr>
        <w:rFonts w:ascii="Symbol" w:hAnsi="Symbol" w:hint="default"/>
        <w:color w:val="auto"/>
        <w:u w:val="none"/>
      </w:rPr>
    </w:lvl>
    <w:lvl w:ilvl="1" w:tplc="EF44A53C" w:tentative="1">
      <w:start w:val="1"/>
      <w:numFmt w:val="bullet"/>
      <w:lvlText w:val="o"/>
      <w:lvlJc w:val="left"/>
      <w:pPr>
        <w:tabs>
          <w:tab w:val="num" w:pos="3600"/>
        </w:tabs>
        <w:ind w:left="3600" w:hanging="360"/>
      </w:pPr>
      <w:rPr>
        <w:rFonts w:ascii="Courier New" w:hAnsi="Courier New" w:hint="default"/>
      </w:rPr>
    </w:lvl>
    <w:lvl w:ilvl="2" w:tplc="66B8216C" w:tentative="1">
      <w:start w:val="1"/>
      <w:numFmt w:val="bullet"/>
      <w:lvlText w:val=""/>
      <w:lvlJc w:val="left"/>
      <w:pPr>
        <w:tabs>
          <w:tab w:val="num" w:pos="4320"/>
        </w:tabs>
        <w:ind w:left="4320" w:hanging="360"/>
      </w:pPr>
      <w:rPr>
        <w:rFonts w:ascii="Wingdings" w:hAnsi="Wingdings" w:hint="default"/>
      </w:rPr>
    </w:lvl>
    <w:lvl w:ilvl="3" w:tplc="A970C1C2">
      <w:start w:val="1"/>
      <w:numFmt w:val="bullet"/>
      <w:lvlText w:val=""/>
      <w:lvlJc w:val="left"/>
      <w:pPr>
        <w:tabs>
          <w:tab w:val="num" w:pos="5040"/>
        </w:tabs>
        <w:ind w:left="5040" w:hanging="360"/>
      </w:pPr>
      <w:rPr>
        <w:rFonts w:ascii="Symbol" w:hAnsi="Symbol" w:hint="default"/>
      </w:rPr>
    </w:lvl>
    <w:lvl w:ilvl="4" w:tplc="D6007588" w:tentative="1">
      <w:start w:val="1"/>
      <w:numFmt w:val="bullet"/>
      <w:lvlText w:val="o"/>
      <w:lvlJc w:val="left"/>
      <w:pPr>
        <w:tabs>
          <w:tab w:val="num" w:pos="5760"/>
        </w:tabs>
        <w:ind w:left="5760" w:hanging="360"/>
      </w:pPr>
      <w:rPr>
        <w:rFonts w:ascii="Courier New" w:hAnsi="Courier New" w:hint="default"/>
      </w:rPr>
    </w:lvl>
    <w:lvl w:ilvl="5" w:tplc="48BCB796" w:tentative="1">
      <w:start w:val="1"/>
      <w:numFmt w:val="bullet"/>
      <w:lvlText w:val=""/>
      <w:lvlJc w:val="left"/>
      <w:pPr>
        <w:tabs>
          <w:tab w:val="num" w:pos="6480"/>
        </w:tabs>
        <w:ind w:left="6480" w:hanging="360"/>
      </w:pPr>
      <w:rPr>
        <w:rFonts w:ascii="Wingdings" w:hAnsi="Wingdings" w:hint="default"/>
      </w:rPr>
    </w:lvl>
    <w:lvl w:ilvl="6" w:tplc="A0C06460" w:tentative="1">
      <w:start w:val="1"/>
      <w:numFmt w:val="bullet"/>
      <w:lvlText w:val=""/>
      <w:lvlJc w:val="left"/>
      <w:pPr>
        <w:tabs>
          <w:tab w:val="num" w:pos="7200"/>
        </w:tabs>
        <w:ind w:left="7200" w:hanging="360"/>
      </w:pPr>
      <w:rPr>
        <w:rFonts w:ascii="Symbol" w:hAnsi="Symbol" w:hint="default"/>
      </w:rPr>
    </w:lvl>
    <w:lvl w:ilvl="7" w:tplc="4976B620" w:tentative="1">
      <w:start w:val="1"/>
      <w:numFmt w:val="bullet"/>
      <w:lvlText w:val="o"/>
      <w:lvlJc w:val="left"/>
      <w:pPr>
        <w:tabs>
          <w:tab w:val="num" w:pos="7920"/>
        </w:tabs>
        <w:ind w:left="7920" w:hanging="360"/>
      </w:pPr>
      <w:rPr>
        <w:rFonts w:ascii="Courier New" w:hAnsi="Courier New" w:hint="default"/>
      </w:rPr>
    </w:lvl>
    <w:lvl w:ilvl="8" w:tplc="97F07DC2" w:tentative="1">
      <w:start w:val="1"/>
      <w:numFmt w:val="bullet"/>
      <w:lvlText w:val=""/>
      <w:lvlJc w:val="left"/>
      <w:pPr>
        <w:tabs>
          <w:tab w:val="num" w:pos="8640"/>
        </w:tabs>
        <w:ind w:left="8640" w:hanging="360"/>
      </w:pPr>
      <w:rPr>
        <w:rFonts w:ascii="Wingdings" w:hAnsi="Wingdings" w:hint="default"/>
      </w:rPr>
    </w:lvl>
  </w:abstractNum>
  <w:abstractNum w:abstractNumId="17">
    <w:nsid w:val="6C0963A3"/>
    <w:multiLevelType w:val="hybridMultilevel"/>
    <w:tmpl w:val="0D523F08"/>
    <w:lvl w:ilvl="0" w:tplc="4C0CF9B4">
      <w:start w:val="1"/>
      <w:numFmt w:val="upperRoman"/>
      <w:lvlText w:val="%1."/>
      <w:lvlJc w:val="left"/>
      <w:pPr>
        <w:tabs>
          <w:tab w:val="num" w:pos="1080"/>
        </w:tabs>
        <w:ind w:left="1080" w:hanging="720"/>
      </w:pPr>
      <w:rPr>
        <w:rFonts w:hint="default"/>
        <w:u w:val="none"/>
      </w:rPr>
    </w:lvl>
    <w:lvl w:ilvl="1" w:tplc="F4D6614E">
      <w:start w:val="1"/>
      <w:numFmt w:val="lowerLetter"/>
      <w:lvlText w:val="%2."/>
      <w:lvlJc w:val="left"/>
      <w:pPr>
        <w:tabs>
          <w:tab w:val="num" w:pos="1440"/>
        </w:tabs>
        <w:ind w:left="1440" w:hanging="360"/>
      </w:pPr>
      <w:rPr>
        <w:rFonts w:hint="default"/>
      </w:rPr>
    </w:lvl>
    <w:lvl w:ilvl="2" w:tplc="50506A98">
      <w:start w:val="1"/>
      <w:numFmt w:val="upperLetter"/>
      <w:lvlText w:val="(%3)"/>
      <w:lvlJc w:val="left"/>
      <w:pPr>
        <w:tabs>
          <w:tab w:val="num" w:pos="2370"/>
        </w:tabs>
        <w:ind w:left="2370" w:hanging="390"/>
      </w:pPr>
      <w:rPr>
        <w:rFonts w:hint="default"/>
      </w:rPr>
    </w:lvl>
    <w:lvl w:ilvl="3" w:tplc="E78C9278" w:tentative="1">
      <w:start w:val="1"/>
      <w:numFmt w:val="decimal"/>
      <w:lvlText w:val="%4."/>
      <w:lvlJc w:val="left"/>
      <w:pPr>
        <w:tabs>
          <w:tab w:val="num" w:pos="2880"/>
        </w:tabs>
        <w:ind w:left="2880" w:hanging="360"/>
      </w:pPr>
    </w:lvl>
    <w:lvl w:ilvl="4" w:tplc="84100208" w:tentative="1">
      <w:start w:val="1"/>
      <w:numFmt w:val="lowerLetter"/>
      <w:lvlText w:val="%5."/>
      <w:lvlJc w:val="left"/>
      <w:pPr>
        <w:tabs>
          <w:tab w:val="num" w:pos="3600"/>
        </w:tabs>
        <w:ind w:left="3600" w:hanging="360"/>
      </w:pPr>
    </w:lvl>
    <w:lvl w:ilvl="5" w:tplc="2E9A1BEE" w:tentative="1">
      <w:start w:val="1"/>
      <w:numFmt w:val="lowerRoman"/>
      <w:lvlText w:val="%6."/>
      <w:lvlJc w:val="right"/>
      <w:pPr>
        <w:tabs>
          <w:tab w:val="num" w:pos="4320"/>
        </w:tabs>
        <w:ind w:left="4320" w:hanging="180"/>
      </w:pPr>
    </w:lvl>
    <w:lvl w:ilvl="6" w:tplc="CB10C176" w:tentative="1">
      <w:start w:val="1"/>
      <w:numFmt w:val="decimal"/>
      <w:lvlText w:val="%7."/>
      <w:lvlJc w:val="left"/>
      <w:pPr>
        <w:tabs>
          <w:tab w:val="num" w:pos="5040"/>
        </w:tabs>
        <w:ind w:left="5040" w:hanging="360"/>
      </w:pPr>
    </w:lvl>
    <w:lvl w:ilvl="7" w:tplc="7DDCC4F2" w:tentative="1">
      <w:start w:val="1"/>
      <w:numFmt w:val="lowerLetter"/>
      <w:lvlText w:val="%8."/>
      <w:lvlJc w:val="left"/>
      <w:pPr>
        <w:tabs>
          <w:tab w:val="num" w:pos="5760"/>
        </w:tabs>
        <w:ind w:left="5760" w:hanging="360"/>
      </w:pPr>
    </w:lvl>
    <w:lvl w:ilvl="8" w:tplc="17323D02" w:tentative="1">
      <w:start w:val="1"/>
      <w:numFmt w:val="lowerRoman"/>
      <w:lvlText w:val="%9."/>
      <w:lvlJc w:val="right"/>
      <w:pPr>
        <w:tabs>
          <w:tab w:val="num" w:pos="6480"/>
        </w:tabs>
        <w:ind w:left="6480" w:hanging="180"/>
      </w:pPr>
    </w:lvl>
  </w:abstractNum>
  <w:abstractNum w:abstractNumId="1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75A34216"/>
    <w:multiLevelType w:val="hybridMultilevel"/>
    <w:tmpl w:val="F9E8BE5C"/>
    <w:lvl w:ilvl="0" w:tplc="A2EE0EDA">
      <w:start w:val="2"/>
      <w:numFmt w:val="lowerRoman"/>
      <w:lvlText w:val="(%1)"/>
      <w:lvlJc w:val="left"/>
      <w:pPr>
        <w:tabs>
          <w:tab w:val="num" w:pos="2160"/>
        </w:tabs>
        <w:ind w:left="2160" w:hanging="720"/>
      </w:pPr>
      <w:rPr>
        <w:rFonts w:ascii="Times New Roman" w:hAnsi="Times New Roman" w:hint="default"/>
        <w:b w:val="0"/>
        <w:i w:val="0"/>
        <w:caps w:val="0"/>
        <w:sz w:val="24"/>
      </w:rPr>
    </w:lvl>
    <w:lvl w:ilvl="1" w:tplc="429499C4" w:tentative="1">
      <w:start w:val="1"/>
      <w:numFmt w:val="lowerLetter"/>
      <w:lvlText w:val="%2."/>
      <w:lvlJc w:val="left"/>
      <w:pPr>
        <w:tabs>
          <w:tab w:val="num" w:pos="1440"/>
        </w:tabs>
        <w:ind w:left="1440" w:hanging="360"/>
      </w:pPr>
    </w:lvl>
    <w:lvl w:ilvl="2" w:tplc="8FE86028" w:tentative="1">
      <w:start w:val="1"/>
      <w:numFmt w:val="lowerRoman"/>
      <w:lvlText w:val="%3."/>
      <w:lvlJc w:val="right"/>
      <w:pPr>
        <w:tabs>
          <w:tab w:val="num" w:pos="2160"/>
        </w:tabs>
        <w:ind w:left="2160" w:hanging="180"/>
      </w:pPr>
    </w:lvl>
    <w:lvl w:ilvl="3" w:tplc="5E6CB036" w:tentative="1">
      <w:start w:val="1"/>
      <w:numFmt w:val="decimal"/>
      <w:lvlText w:val="%4."/>
      <w:lvlJc w:val="left"/>
      <w:pPr>
        <w:tabs>
          <w:tab w:val="num" w:pos="2880"/>
        </w:tabs>
        <w:ind w:left="2880" w:hanging="360"/>
      </w:pPr>
    </w:lvl>
    <w:lvl w:ilvl="4" w:tplc="8B02527A" w:tentative="1">
      <w:start w:val="1"/>
      <w:numFmt w:val="lowerLetter"/>
      <w:lvlText w:val="%5."/>
      <w:lvlJc w:val="left"/>
      <w:pPr>
        <w:tabs>
          <w:tab w:val="num" w:pos="3600"/>
        </w:tabs>
        <w:ind w:left="3600" w:hanging="360"/>
      </w:pPr>
    </w:lvl>
    <w:lvl w:ilvl="5" w:tplc="70D887FE" w:tentative="1">
      <w:start w:val="1"/>
      <w:numFmt w:val="lowerRoman"/>
      <w:lvlText w:val="%6."/>
      <w:lvlJc w:val="right"/>
      <w:pPr>
        <w:tabs>
          <w:tab w:val="num" w:pos="4320"/>
        </w:tabs>
        <w:ind w:left="4320" w:hanging="180"/>
      </w:pPr>
    </w:lvl>
    <w:lvl w:ilvl="6" w:tplc="7B4A3218" w:tentative="1">
      <w:start w:val="1"/>
      <w:numFmt w:val="decimal"/>
      <w:lvlText w:val="%7."/>
      <w:lvlJc w:val="left"/>
      <w:pPr>
        <w:tabs>
          <w:tab w:val="num" w:pos="5040"/>
        </w:tabs>
        <w:ind w:left="5040" w:hanging="360"/>
      </w:pPr>
    </w:lvl>
    <w:lvl w:ilvl="7" w:tplc="40381E94" w:tentative="1">
      <w:start w:val="1"/>
      <w:numFmt w:val="lowerLetter"/>
      <w:lvlText w:val="%8."/>
      <w:lvlJc w:val="left"/>
      <w:pPr>
        <w:tabs>
          <w:tab w:val="num" w:pos="5760"/>
        </w:tabs>
        <w:ind w:left="5760" w:hanging="360"/>
      </w:pPr>
    </w:lvl>
    <w:lvl w:ilvl="8" w:tplc="6D12E4A8" w:tentative="1">
      <w:start w:val="1"/>
      <w:numFmt w:val="lowerRoman"/>
      <w:lvlText w:val="%9."/>
      <w:lvlJc w:val="right"/>
      <w:pPr>
        <w:tabs>
          <w:tab w:val="num" w:pos="6480"/>
        </w:tabs>
        <w:ind w:left="6480" w:hanging="180"/>
      </w:pPr>
    </w:lvl>
  </w:abstractNum>
  <w:abstractNum w:abstractNumId="2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
  </w:num>
  <w:num w:numId="4">
    <w:abstractNumId w:val="0"/>
  </w:num>
  <w:num w:numId="5">
    <w:abstractNumId w:val="20"/>
  </w:num>
  <w:num w:numId="6">
    <w:abstractNumId w:val="15"/>
  </w:num>
  <w:num w:numId="7">
    <w:abstractNumId w:val="4"/>
  </w:num>
  <w:num w:numId="8">
    <w:abstractNumId w:val="3"/>
  </w:num>
  <w:num w:numId="9">
    <w:abstractNumId w:val="14"/>
  </w:num>
  <w:num w:numId="10">
    <w:abstractNumId w:val="21"/>
  </w:num>
  <w:num w:numId="11">
    <w:abstractNumId w:val="9"/>
  </w:num>
  <w:num w:numId="12">
    <w:abstractNumId w:val="10"/>
  </w:num>
  <w:num w:numId="13">
    <w:abstractNumId w:val="18"/>
  </w:num>
  <w:num w:numId="14">
    <w:abstractNumId w:val="8"/>
  </w:num>
  <w:num w:numId="15">
    <w:abstractNumId w:val="19"/>
  </w:num>
  <w:num w:numId="16">
    <w:abstractNumId w:val="13"/>
  </w:num>
  <w:num w:numId="17">
    <w:abstractNumId w:val="12"/>
  </w:num>
  <w:num w:numId="18">
    <w:abstractNumId w:val="11"/>
  </w:num>
  <w:num w:numId="19">
    <w:abstractNumId w:val="1"/>
  </w:num>
  <w:num w:numId="20">
    <w:abstractNumId w:val="7"/>
  </w:num>
  <w:num w:numId="21">
    <w:abstractNumId w:val="16"/>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0E0AF2"/>
    <w:rsid w:val="000E0AF2"/>
    <w:rsid w:val="0084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DE"/>
    <w:pPr>
      <w:widowControl w:val="0"/>
    </w:pPr>
    <w:rPr>
      <w:snapToGrid w:val="0"/>
      <w:sz w:val="24"/>
    </w:rPr>
  </w:style>
  <w:style w:type="paragraph" w:styleId="Heading1">
    <w:name w:val="heading 1"/>
    <w:basedOn w:val="Normal"/>
    <w:next w:val="Normal"/>
    <w:link w:val="Heading1Char"/>
    <w:uiPriority w:val="99"/>
    <w:qFormat/>
    <w:rsid w:val="00526FDE"/>
    <w:pPr>
      <w:keepNext/>
      <w:spacing w:before="240" w:after="240"/>
      <w:ind w:left="720" w:hanging="720"/>
      <w:outlineLvl w:val="0"/>
    </w:pPr>
    <w:rPr>
      <w:b/>
    </w:rPr>
  </w:style>
  <w:style w:type="paragraph" w:styleId="Heading2">
    <w:name w:val="heading 2"/>
    <w:basedOn w:val="Normal"/>
    <w:next w:val="Normal"/>
    <w:qFormat/>
    <w:rsid w:val="00526FD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26FD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6FDE"/>
    <w:pPr>
      <w:keepNext/>
      <w:tabs>
        <w:tab w:val="left" w:pos="1800"/>
      </w:tabs>
      <w:spacing w:before="240" w:after="240"/>
      <w:ind w:left="1800" w:hanging="1080"/>
      <w:outlineLvl w:val="3"/>
    </w:pPr>
    <w:rPr>
      <w:b/>
    </w:rPr>
  </w:style>
  <w:style w:type="paragraph" w:styleId="Heading5">
    <w:name w:val="heading 5"/>
    <w:basedOn w:val="Normal"/>
    <w:next w:val="Normal"/>
    <w:qFormat/>
    <w:rsid w:val="00526FDE"/>
    <w:pPr>
      <w:keepNext/>
      <w:spacing w:line="480" w:lineRule="auto"/>
      <w:ind w:left="1440" w:right="-90" w:hanging="720"/>
      <w:outlineLvl w:val="4"/>
    </w:pPr>
    <w:rPr>
      <w:b/>
    </w:rPr>
  </w:style>
  <w:style w:type="paragraph" w:styleId="Heading6">
    <w:name w:val="heading 6"/>
    <w:basedOn w:val="Normal"/>
    <w:next w:val="Normal"/>
    <w:qFormat/>
    <w:rsid w:val="00526FDE"/>
    <w:pPr>
      <w:keepNext/>
      <w:spacing w:line="480" w:lineRule="auto"/>
      <w:ind w:left="1080" w:right="-90" w:hanging="360"/>
      <w:outlineLvl w:val="5"/>
    </w:pPr>
    <w:rPr>
      <w:b/>
    </w:rPr>
  </w:style>
  <w:style w:type="paragraph" w:styleId="Heading7">
    <w:name w:val="heading 7"/>
    <w:basedOn w:val="Normal"/>
    <w:next w:val="Normal"/>
    <w:qFormat/>
    <w:rsid w:val="00526FDE"/>
    <w:pPr>
      <w:keepNext/>
      <w:spacing w:line="480" w:lineRule="auto"/>
      <w:ind w:left="720" w:right="630"/>
      <w:outlineLvl w:val="6"/>
    </w:pPr>
    <w:rPr>
      <w:b/>
    </w:rPr>
  </w:style>
  <w:style w:type="paragraph" w:styleId="Heading8">
    <w:name w:val="heading 8"/>
    <w:basedOn w:val="Normal"/>
    <w:next w:val="Normal"/>
    <w:qFormat/>
    <w:rsid w:val="00526FDE"/>
    <w:pPr>
      <w:keepNext/>
      <w:spacing w:line="480" w:lineRule="auto"/>
      <w:ind w:left="720" w:right="-90"/>
      <w:outlineLvl w:val="7"/>
    </w:pPr>
    <w:rPr>
      <w:b/>
    </w:rPr>
  </w:style>
  <w:style w:type="paragraph" w:styleId="Heading9">
    <w:name w:val="heading 9"/>
    <w:basedOn w:val="Normal"/>
    <w:next w:val="Normal"/>
    <w:qFormat/>
    <w:rsid w:val="00526FD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FDE"/>
    <w:rPr>
      <w:b/>
      <w:snapToGrid w:val="0"/>
      <w:sz w:val="24"/>
    </w:rPr>
  </w:style>
  <w:style w:type="character" w:customStyle="1" w:styleId="Heading3Char">
    <w:name w:val="Heading 3 Char"/>
    <w:basedOn w:val="DefaultParagraphFont"/>
    <w:rsid w:val="00526FDE"/>
    <w:rPr>
      <w:b/>
      <w:snapToGrid w:val="0"/>
      <w:sz w:val="24"/>
      <w:lang w:val="en-US" w:eastAsia="en-US" w:bidi="ar-SA"/>
    </w:rPr>
  </w:style>
  <w:style w:type="paragraph" w:styleId="Header">
    <w:name w:val="header"/>
    <w:basedOn w:val="Normal"/>
    <w:rsid w:val="00526FDE"/>
    <w:pPr>
      <w:widowControl/>
      <w:tabs>
        <w:tab w:val="center" w:pos="4680"/>
        <w:tab w:val="right" w:pos="9360"/>
      </w:tabs>
    </w:pPr>
    <w:rPr>
      <w:snapToGrid/>
      <w:szCs w:val="24"/>
    </w:rPr>
  </w:style>
  <w:style w:type="paragraph" w:styleId="Footer">
    <w:name w:val="footer"/>
    <w:basedOn w:val="Normal"/>
    <w:link w:val="FooterChar"/>
    <w:uiPriority w:val="99"/>
    <w:rsid w:val="00526FDE"/>
    <w:pPr>
      <w:tabs>
        <w:tab w:val="center" w:pos="4320"/>
        <w:tab w:val="right" w:pos="8640"/>
      </w:tabs>
    </w:pPr>
  </w:style>
  <w:style w:type="character" w:styleId="PageNumber">
    <w:name w:val="page number"/>
    <w:basedOn w:val="DefaultParagraphFont"/>
    <w:rsid w:val="00526FDE"/>
  </w:style>
  <w:style w:type="paragraph" w:styleId="Title">
    <w:name w:val="Title"/>
    <w:basedOn w:val="Normal"/>
    <w:qFormat/>
    <w:rsid w:val="00E7124A"/>
    <w:pPr>
      <w:jc w:val="center"/>
    </w:pPr>
    <w:rPr>
      <w:b/>
      <w:bCs/>
    </w:rPr>
  </w:style>
  <w:style w:type="character" w:styleId="FootnoteReference">
    <w:name w:val="footnote reference"/>
    <w:semiHidden/>
    <w:rsid w:val="00526FDE"/>
  </w:style>
  <w:style w:type="paragraph" w:customStyle="1" w:styleId="Definition">
    <w:name w:val="Definition"/>
    <w:basedOn w:val="Normal"/>
    <w:rsid w:val="00526FDE"/>
    <w:pPr>
      <w:widowControl/>
      <w:spacing w:before="240" w:after="240"/>
    </w:pPr>
  </w:style>
  <w:style w:type="paragraph" w:customStyle="1" w:styleId="Definitionindent">
    <w:name w:val="Definition indent"/>
    <w:basedOn w:val="Definition"/>
    <w:rsid w:val="00526FDE"/>
    <w:pPr>
      <w:spacing w:before="120" w:after="120"/>
      <w:ind w:left="720"/>
    </w:pPr>
  </w:style>
  <w:style w:type="paragraph" w:customStyle="1" w:styleId="Bodypara">
    <w:name w:val="Body para"/>
    <w:basedOn w:val="Normal"/>
    <w:link w:val="BodyparaChar"/>
    <w:rsid w:val="00526FDE"/>
    <w:pPr>
      <w:spacing w:line="480" w:lineRule="auto"/>
      <w:ind w:firstLine="720"/>
    </w:pPr>
  </w:style>
  <w:style w:type="paragraph" w:customStyle="1" w:styleId="alphapara">
    <w:name w:val="alpha para"/>
    <w:basedOn w:val="Bodypara"/>
    <w:rsid w:val="00526FDE"/>
    <w:pPr>
      <w:ind w:left="1440" w:hanging="720"/>
    </w:pPr>
  </w:style>
  <w:style w:type="paragraph" w:styleId="Date">
    <w:name w:val="Date"/>
    <w:basedOn w:val="Normal"/>
    <w:next w:val="Normal"/>
    <w:rsid w:val="00526FDE"/>
    <w:pPr>
      <w:widowControl/>
    </w:pPr>
  </w:style>
  <w:style w:type="paragraph" w:customStyle="1" w:styleId="TOCHeading1">
    <w:name w:val="TOC Heading1"/>
    <w:basedOn w:val="Normal"/>
    <w:rsid w:val="00526FDE"/>
    <w:pPr>
      <w:spacing w:before="240" w:after="240"/>
    </w:pPr>
    <w:rPr>
      <w:b/>
    </w:rPr>
  </w:style>
  <w:style w:type="paragraph" w:styleId="DocumentMap">
    <w:name w:val="Document Map"/>
    <w:basedOn w:val="Normal"/>
    <w:semiHidden/>
    <w:rsid w:val="00526FDE"/>
    <w:pPr>
      <w:shd w:val="clear" w:color="auto" w:fill="000080"/>
    </w:pPr>
    <w:rPr>
      <w:rFonts w:ascii="Tahoma" w:hAnsi="Tahoma" w:cs="Tahoma"/>
      <w:sz w:val="20"/>
    </w:rPr>
  </w:style>
  <w:style w:type="paragraph" w:styleId="BalloonText">
    <w:name w:val="Balloon Text"/>
    <w:basedOn w:val="Normal"/>
    <w:semiHidden/>
    <w:rsid w:val="00526FDE"/>
    <w:rPr>
      <w:rFonts w:ascii="Tahoma" w:hAnsi="Tahoma" w:cs="Tahoma"/>
      <w:sz w:val="16"/>
      <w:szCs w:val="16"/>
    </w:rPr>
  </w:style>
  <w:style w:type="paragraph" w:customStyle="1" w:styleId="Footers">
    <w:name w:val="Footers"/>
    <w:basedOn w:val="Heading1"/>
    <w:rsid w:val="00526FDE"/>
    <w:pPr>
      <w:tabs>
        <w:tab w:val="left" w:pos="1440"/>
        <w:tab w:val="left" w:pos="7020"/>
        <w:tab w:val="right" w:pos="9360"/>
      </w:tabs>
    </w:pPr>
    <w:rPr>
      <w:b w:val="0"/>
      <w:sz w:val="20"/>
    </w:rPr>
  </w:style>
  <w:style w:type="paragraph" w:customStyle="1" w:styleId="subhead">
    <w:name w:val="subhead"/>
    <w:basedOn w:val="Heading4"/>
    <w:rsid w:val="00526FDE"/>
    <w:pPr>
      <w:tabs>
        <w:tab w:val="clear" w:pos="1800"/>
      </w:tabs>
      <w:ind w:left="720" w:firstLine="0"/>
    </w:pPr>
  </w:style>
  <w:style w:type="paragraph" w:customStyle="1" w:styleId="alphaheading">
    <w:name w:val="alpha heading"/>
    <w:basedOn w:val="Normal"/>
    <w:rsid w:val="00526FDE"/>
    <w:pPr>
      <w:keepNext/>
      <w:tabs>
        <w:tab w:val="left" w:pos="1440"/>
      </w:tabs>
      <w:spacing w:before="240" w:after="240"/>
      <w:ind w:left="1440" w:hanging="720"/>
    </w:pPr>
    <w:rPr>
      <w:b/>
      <w:szCs w:val="24"/>
    </w:rPr>
  </w:style>
  <w:style w:type="paragraph" w:customStyle="1" w:styleId="romannumeralpara">
    <w:name w:val="roman numeral para"/>
    <w:basedOn w:val="Normal"/>
    <w:rsid w:val="00526FDE"/>
    <w:pPr>
      <w:spacing w:line="480" w:lineRule="auto"/>
      <w:ind w:left="1440" w:hanging="720"/>
    </w:pPr>
  </w:style>
  <w:style w:type="paragraph" w:customStyle="1" w:styleId="Bulletpara">
    <w:name w:val="Bullet para"/>
    <w:basedOn w:val="Normal"/>
    <w:rsid w:val="00526FDE"/>
    <w:pPr>
      <w:widowControl/>
      <w:numPr>
        <w:numId w:val="19"/>
      </w:numPr>
      <w:tabs>
        <w:tab w:val="left" w:pos="900"/>
      </w:tabs>
      <w:spacing w:before="120" w:after="120"/>
    </w:pPr>
    <w:rPr>
      <w:szCs w:val="24"/>
    </w:rPr>
  </w:style>
  <w:style w:type="paragraph" w:styleId="TOC1">
    <w:name w:val="toc 1"/>
    <w:basedOn w:val="Normal"/>
    <w:next w:val="Normal"/>
    <w:semiHidden/>
    <w:rsid w:val="00526FDE"/>
  </w:style>
  <w:style w:type="paragraph" w:styleId="TOC2">
    <w:name w:val="toc 2"/>
    <w:basedOn w:val="Normal"/>
    <w:next w:val="Normal"/>
    <w:semiHidden/>
    <w:rsid w:val="00526FDE"/>
    <w:pPr>
      <w:ind w:left="240"/>
    </w:pPr>
  </w:style>
  <w:style w:type="character" w:styleId="Hyperlink">
    <w:name w:val="Hyperlink"/>
    <w:basedOn w:val="DefaultParagraphFont"/>
    <w:rsid w:val="00526FDE"/>
    <w:rPr>
      <w:color w:val="0000FF"/>
      <w:u w:val="single"/>
    </w:rPr>
  </w:style>
  <w:style w:type="paragraph" w:styleId="TOC3">
    <w:name w:val="toc 3"/>
    <w:basedOn w:val="Normal"/>
    <w:next w:val="Normal"/>
    <w:semiHidden/>
    <w:rsid w:val="00526FDE"/>
    <w:pPr>
      <w:ind w:left="480"/>
    </w:pPr>
  </w:style>
  <w:style w:type="paragraph" w:styleId="TOC4">
    <w:name w:val="toc 4"/>
    <w:basedOn w:val="Normal"/>
    <w:next w:val="Normal"/>
    <w:semiHidden/>
    <w:rsid w:val="00526FDE"/>
    <w:pPr>
      <w:ind w:left="720"/>
    </w:pPr>
  </w:style>
  <w:style w:type="paragraph" w:customStyle="1" w:styleId="Level1">
    <w:name w:val="Level 1"/>
    <w:basedOn w:val="Normal"/>
    <w:rsid w:val="00E7124A"/>
    <w:pPr>
      <w:ind w:left="1890" w:hanging="720"/>
    </w:pPr>
  </w:style>
  <w:style w:type="paragraph" w:customStyle="1" w:styleId="Tarifftitle">
    <w:name w:val="Tariff title"/>
    <w:basedOn w:val="Normal"/>
    <w:rsid w:val="00526FDE"/>
    <w:rPr>
      <w:b/>
      <w:sz w:val="28"/>
      <w:szCs w:val="28"/>
    </w:rPr>
  </w:style>
  <w:style w:type="paragraph" w:customStyle="1" w:styleId="subheadwH2formatting">
    <w:name w:val="subhead w H2 formatting"/>
    <w:basedOn w:val="Heading2"/>
    <w:rsid w:val="00E7124A"/>
    <w:pPr>
      <w:pageBreakBefore/>
    </w:pPr>
  </w:style>
  <w:style w:type="character" w:customStyle="1" w:styleId="BodyparaChar">
    <w:name w:val="Body para Char"/>
    <w:basedOn w:val="DefaultParagraphFont"/>
    <w:link w:val="Bodypara"/>
    <w:rsid w:val="00526FDE"/>
    <w:rPr>
      <w:snapToGrid w:val="0"/>
      <w:sz w:val="24"/>
    </w:rPr>
  </w:style>
  <w:style w:type="character" w:customStyle="1" w:styleId="Heading3Char1">
    <w:name w:val="Heading 3 Char1"/>
    <w:basedOn w:val="DefaultParagraphFont"/>
    <w:link w:val="Heading3"/>
    <w:rsid w:val="00526FDE"/>
    <w:rPr>
      <w:b/>
      <w:snapToGrid w:val="0"/>
      <w:sz w:val="24"/>
    </w:rPr>
  </w:style>
  <w:style w:type="paragraph" w:styleId="TOC5">
    <w:name w:val="toc 5"/>
    <w:basedOn w:val="Normal"/>
    <w:next w:val="Normal"/>
    <w:rsid w:val="00526FDE"/>
    <w:pPr>
      <w:widowControl/>
      <w:ind w:left="960"/>
    </w:pPr>
    <w:rPr>
      <w:snapToGrid/>
      <w:szCs w:val="24"/>
    </w:rPr>
  </w:style>
  <w:style w:type="paragraph" w:styleId="TOC6">
    <w:name w:val="toc 6"/>
    <w:basedOn w:val="Normal"/>
    <w:next w:val="Normal"/>
    <w:rsid w:val="00526FDE"/>
    <w:pPr>
      <w:widowControl/>
      <w:ind w:left="1200"/>
    </w:pPr>
    <w:rPr>
      <w:snapToGrid/>
      <w:szCs w:val="24"/>
    </w:rPr>
  </w:style>
  <w:style w:type="paragraph" w:styleId="TOC7">
    <w:name w:val="toc 7"/>
    <w:basedOn w:val="Normal"/>
    <w:next w:val="Normal"/>
    <w:rsid w:val="00526FDE"/>
    <w:pPr>
      <w:widowControl/>
      <w:ind w:left="1440"/>
    </w:pPr>
    <w:rPr>
      <w:snapToGrid/>
      <w:szCs w:val="24"/>
    </w:rPr>
  </w:style>
  <w:style w:type="paragraph" w:styleId="TOC8">
    <w:name w:val="toc 8"/>
    <w:basedOn w:val="Normal"/>
    <w:next w:val="Normal"/>
    <w:rsid w:val="00526FDE"/>
    <w:pPr>
      <w:widowControl/>
      <w:ind w:left="1680"/>
    </w:pPr>
    <w:rPr>
      <w:snapToGrid/>
      <w:szCs w:val="24"/>
    </w:rPr>
  </w:style>
  <w:style w:type="paragraph" w:styleId="TOC9">
    <w:name w:val="toc 9"/>
    <w:basedOn w:val="Normal"/>
    <w:next w:val="Normal"/>
    <w:rsid w:val="00526FDE"/>
    <w:pPr>
      <w:widowControl/>
      <w:ind w:left="1920"/>
    </w:pPr>
    <w:rPr>
      <w:snapToGrid/>
      <w:szCs w:val="24"/>
    </w:rPr>
  </w:style>
  <w:style w:type="paragraph" w:customStyle="1" w:styleId="a">
    <w:name w:val="_"/>
    <w:basedOn w:val="Normal"/>
    <w:rsid w:val="00526FDE"/>
    <w:pPr>
      <w:ind w:left="1800" w:hanging="630"/>
    </w:pPr>
  </w:style>
  <w:style w:type="character" w:styleId="CommentReference">
    <w:name w:val="annotation reference"/>
    <w:basedOn w:val="DefaultParagraphFont"/>
    <w:rsid w:val="00526FDE"/>
    <w:rPr>
      <w:sz w:val="16"/>
      <w:szCs w:val="16"/>
    </w:rPr>
  </w:style>
  <w:style w:type="paragraph" w:styleId="CommentText">
    <w:name w:val="annotation text"/>
    <w:basedOn w:val="Normal"/>
    <w:link w:val="CommentTextChar"/>
    <w:rsid w:val="00526FDE"/>
    <w:rPr>
      <w:sz w:val="20"/>
    </w:rPr>
  </w:style>
  <w:style w:type="character" w:customStyle="1" w:styleId="CommentTextChar">
    <w:name w:val="Comment Text Char"/>
    <w:basedOn w:val="DefaultParagraphFont"/>
    <w:link w:val="CommentText"/>
    <w:rsid w:val="00526FDE"/>
    <w:rPr>
      <w:snapToGrid w:val="0"/>
    </w:rPr>
  </w:style>
  <w:style w:type="paragraph" w:styleId="CommentSubject">
    <w:name w:val="annotation subject"/>
    <w:basedOn w:val="CommentText"/>
    <w:next w:val="CommentText"/>
    <w:link w:val="CommentSubjectChar"/>
    <w:rsid w:val="00526FDE"/>
    <w:rPr>
      <w:b/>
      <w:bCs/>
    </w:rPr>
  </w:style>
  <w:style w:type="character" w:customStyle="1" w:styleId="CommentSubjectChar">
    <w:name w:val="Comment Subject Char"/>
    <w:basedOn w:val="CommentTextChar"/>
    <w:link w:val="CommentSubject"/>
    <w:rsid w:val="00526FDE"/>
    <w:rPr>
      <w:b/>
      <w:bCs/>
      <w:snapToGrid w:val="0"/>
    </w:rPr>
  </w:style>
  <w:style w:type="paragraph" w:styleId="BodyTextIndent">
    <w:name w:val="Body Text Indent"/>
    <w:aliases w:val="bi"/>
    <w:basedOn w:val="Normal"/>
    <w:link w:val="BodyTextIndentChar"/>
    <w:rsid w:val="0052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26FDE"/>
    <w:rPr>
      <w:snapToGrid w:val="0"/>
      <w:sz w:val="24"/>
    </w:rPr>
  </w:style>
  <w:style w:type="table" w:styleId="TableGrid">
    <w:name w:val="Table Grid"/>
    <w:basedOn w:val="TableNormal"/>
    <w:rsid w:val="0052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509FE"/>
    <w:rPr>
      <w:snapToGrid w:val="0"/>
      <w:sz w:val="24"/>
    </w:rPr>
  </w:style>
  <w:style w:type="paragraph" w:styleId="Revision">
    <w:name w:val="Revision"/>
    <w:hidden/>
    <w:uiPriority w:val="99"/>
    <w:semiHidden/>
    <w:rsid w:val="005509F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DE"/>
    <w:pPr>
      <w:widowControl w:val="0"/>
    </w:pPr>
    <w:rPr>
      <w:snapToGrid w:val="0"/>
      <w:sz w:val="24"/>
    </w:rPr>
  </w:style>
  <w:style w:type="paragraph" w:styleId="Heading1">
    <w:name w:val="heading 1"/>
    <w:basedOn w:val="Normal"/>
    <w:next w:val="Normal"/>
    <w:link w:val="Heading1Char"/>
    <w:uiPriority w:val="99"/>
    <w:qFormat/>
    <w:rsid w:val="00526FDE"/>
    <w:pPr>
      <w:keepNext/>
      <w:spacing w:before="240" w:after="240"/>
      <w:ind w:left="720" w:hanging="720"/>
      <w:outlineLvl w:val="0"/>
    </w:pPr>
    <w:rPr>
      <w:b/>
    </w:rPr>
  </w:style>
  <w:style w:type="paragraph" w:styleId="Heading2">
    <w:name w:val="heading 2"/>
    <w:basedOn w:val="Normal"/>
    <w:next w:val="Normal"/>
    <w:qFormat/>
    <w:rsid w:val="00526FD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26FD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6FDE"/>
    <w:pPr>
      <w:keepNext/>
      <w:tabs>
        <w:tab w:val="left" w:pos="1800"/>
      </w:tabs>
      <w:spacing w:before="240" w:after="240"/>
      <w:ind w:left="1800" w:hanging="1080"/>
      <w:outlineLvl w:val="3"/>
    </w:pPr>
    <w:rPr>
      <w:b/>
    </w:rPr>
  </w:style>
  <w:style w:type="paragraph" w:styleId="Heading5">
    <w:name w:val="heading 5"/>
    <w:basedOn w:val="Normal"/>
    <w:next w:val="Normal"/>
    <w:qFormat/>
    <w:rsid w:val="00526FDE"/>
    <w:pPr>
      <w:keepNext/>
      <w:spacing w:line="480" w:lineRule="auto"/>
      <w:ind w:left="1440" w:right="-90" w:hanging="720"/>
      <w:outlineLvl w:val="4"/>
    </w:pPr>
    <w:rPr>
      <w:b/>
    </w:rPr>
  </w:style>
  <w:style w:type="paragraph" w:styleId="Heading6">
    <w:name w:val="heading 6"/>
    <w:basedOn w:val="Normal"/>
    <w:next w:val="Normal"/>
    <w:qFormat/>
    <w:rsid w:val="00526FDE"/>
    <w:pPr>
      <w:keepNext/>
      <w:spacing w:line="480" w:lineRule="auto"/>
      <w:ind w:left="1080" w:right="-90" w:hanging="360"/>
      <w:outlineLvl w:val="5"/>
    </w:pPr>
    <w:rPr>
      <w:b/>
    </w:rPr>
  </w:style>
  <w:style w:type="paragraph" w:styleId="Heading7">
    <w:name w:val="heading 7"/>
    <w:basedOn w:val="Normal"/>
    <w:next w:val="Normal"/>
    <w:qFormat/>
    <w:rsid w:val="00526FDE"/>
    <w:pPr>
      <w:keepNext/>
      <w:spacing w:line="480" w:lineRule="auto"/>
      <w:ind w:left="720" w:right="630"/>
      <w:outlineLvl w:val="6"/>
    </w:pPr>
    <w:rPr>
      <w:b/>
    </w:rPr>
  </w:style>
  <w:style w:type="paragraph" w:styleId="Heading8">
    <w:name w:val="heading 8"/>
    <w:basedOn w:val="Normal"/>
    <w:next w:val="Normal"/>
    <w:qFormat/>
    <w:rsid w:val="00526FDE"/>
    <w:pPr>
      <w:keepNext/>
      <w:spacing w:line="480" w:lineRule="auto"/>
      <w:ind w:left="720" w:right="-90"/>
      <w:outlineLvl w:val="7"/>
    </w:pPr>
    <w:rPr>
      <w:b/>
    </w:rPr>
  </w:style>
  <w:style w:type="paragraph" w:styleId="Heading9">
    <w:name w:val="heading 9"/>
    <w:basedOn w:val="Normal"/>
    <w:next w:val="Normal"/>
    <w:qFormat/>
    <w:rsid w:val="00526FD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FDE"/>
    <w:rPr>
      <w:b/>
      <w:snapToGrid w:val="0"/>
      <w:sz w:val="24"/>
    </w:rPr>
  </w:style>
  <w:style w:type="character" w:customStyle="1" w:styleId="Heading3Char">
    <w:name w:val="Heading 3 Char"/>
    <w:basedOn w:val="DefaultParagraphFont"/>
    <w:rsid w:val="00526FDE"/>
    <w:rPr>
      <w:b/>
      <w:snapToGrid w:val="0"/>
      <w:sz w:val="24"/>
      <w:lang w:val="en-US" w:eastAsia="en-US" w:bidi="ar-SA"/>
    </w:rPr>
  </w:style>
  <w:style w:type="paragraph" w:styleId="Header">
    <w:name w:val="header"/>
    <w:basedOn w:val="Normal"/>
    <w:rsid w:val="00526FDE"/>
    <w:pPr>
      <w:widowControl/>
      <w:tabs>
        <w:tab w:val="center" w:pos="4680"/>
        <w:tab w:val="right" w:pos="9360"/>
      </w:tabs>
    </w:pPr>
    <w:rPr>
      <w:snapToGrid/>
      <w:szCs w:val="24"/>
    </w:rPr>
  </w:style>
  <w:style w:type="paragraph" w:styleId="Footer">
    <w:name w:val="footer"/>
    <w:basedOn w:val="Normal"/>
    <w:link w:val="FooterChar"/>
    <w:uiPriority w:val="99"/>
    <w:rsid w:val="00526FDE"/>
    <w:pPr>
      <w:tabs>
        <w:tab w:val="center" w:pos="4320"/>
        <w:tab w:val="right" w:pos="8640"/>
      </w:tabs>
    </w:pPr>
  </w:style>
  <w:style w:type="character" w:styleId="PageNumber">
    <w:name w:val="page number"/>
    <w:basedOn w:val="DefaultParagraphFont"/>
    <w:rsid w:val="00526FDE"/>
  </w:style>
  <w:style w:type="paragraph" w:styleId="Title">
    <w:name w:val="Title"/>
    <w:basedOn w:val="Normal"/>
    <w:qFormat/>
    <w:rsid w:val="00E7124A"/>
    <w:pPr>
      <w:jc w:val="center"/>
    </w:pPr>
    <w:rPr>
      <w:b/>
      <w:bCs/>
    </w:rPr>
  </w:style>
  <w:style w:type="character" w:styleId="FootnoteReference">
    <w:name w:val="footnote reference"/>
    <w:semiHidden/>
    <w:rsid w:val="00526FDE"/>
  </w:style>
  <w:style w:type="paragraph" w:customStyle="1" w:styleId="Definition">
    <w:name w:val="Definition"/>
    <w:basedOn w:val="Normal"/>
    <w:rsid w:val="00526FDE"/>
    <w:pPr>
      <w:widowControl/>
      <w:spacing w:before="240" w:after="240"/>
    </w:pPr>
  </w:style>
  <w:style w:type="paragraph" w:customStyle="1" w:styleId="Definitionindent">
    <w:name w:val="Definition indent"/>
    <w:basedOn w:val="Definition"/>
    <w:rsid w:val="00526FDE"/>
    <w:pPr>
      <w:spacing w:before="120" w:after="120"/>
      <w:ind w:left="720"/>
    </w:pPr>
  </w:style>
  <w:style w:type="paragraph" w:customStyle="1" w:styleId="Bodypara">
    <w:name w:val="Body para"/>
    <w:basedOn w:val="Normal"/>
    <w:link w:val="BodyparaChar"/>
    <w:rsid w:val="00526FDE"/>
    <w:pPr>
      <w:spacing w:line="480" w:lineRule="auto"/>
      <w:ind w:firstLine="720"/>
    </w:pPr>
  </w:style>
  <w:style w:type="paragraph" w:customStyle="1" w:styleId="alphapara">
    <w:name w:val="alpha para"/>
    <w:basedOn w:val="Bodypara"/>
    <w:rsid w:val="00526FDE"/>
    <w:pPr>
      <w:ind w:left="1440" w:hanging="720"/>
    </w:pPr>
  </w:style>
  <w:style w:type="paragraph" w:styleId="Date">
    <w:name w:val="Date"/>
    <w:basedOn w:val="Normal"/>
    <w:next w:val="Normal"/>
    <w:rsid w:val="00526FDE"/>
    <w:pPr>
      <w:widowControl/>
    </w:pPr>
  </w:style>
  <w:style w:type="paragraph" w:customStyle="1" w:styleId="TOCHeading1">
    <w:name w:val="TOC Heading1"/>
    <w:basedOn w:val="Normal"/>
    <w:rsid w:val="00526FDE"/>
    <w:pPr>
      <w:spacing w:before="240" w:after="240"/>
    </w:pPr>
    <w:rPr>
      <w:b/>
    </w:rPr>
  </w:style>
  <w:style w:type="paragraph" w:styleId="DocumentMap">
    <w:name w:val="Document Map"/>
    <w:basedOn w:val="Normal"/>
    <w:semiHidden/>
    <w:rsid w:val="00526FDE"/>
    <w:pPr>
      <w:shd w:val="clear" w:color="auto" w:fill="000080"/>
    </w:pPr>
    <w:rPr>
      <w:rFonts w:ascii="Tahoma" w:hAnsi="Tahoma" w:cs="Tahoma"/>
      <w:sz w:val="20"/>
    </w:rPr>
  </w:style>
  <w:style w:type="paragraph" w:styleId="BalloonText">
    <w:name w:val="Balloon Text"/>
    <w:basedOn w:val="Normal"/>
    <w:semiHidden/>
    <w:rsid w:val="00526FDE"/>
    <w:rPr>
      <w:rFonts w:ascii="Tahoma" w:hAnsi="Tahoma" w:cs="Tahoma"/>
      <w:sz w:val="16"/>
      <w:szCs w:val="16"/>
    </w:rPr>
  </w:style>
  <w:style w:type="paragraph" w:customStyle="1" w:styleId="Footers">
    <w:name w:val="Footers"/>
    <w:basedOn w:val="Heading1"/>
    <w:rsid w:val="00526FDE"/>
    <w:pPr>
      <w:tabs>
        <w:tab w:val="left" w:pos="1440"/>
        <w:tab w:val="left" w:pos="7020"/>
        <w:tab w:val="right" w:pos="9360"/>
      </w:tabs>
    </w:pPr>
    <w:rPr>
      <w:b w:val="0"/>
      <w:sz w:val="20"/>
    </w:rPr>
  </w:style>
  <w:style w:type="paragraph" w:customStyle="1" w:styleId="subhead">
    <w:name w:val="subhead"/>
    <w:basedOn w:val="Heading4"/>
    <w:rsid w:val="00526FDE"/>
    <w:pPr>
      <w:tabs>
        <w:tab w:val="clear" w:pos="1800"/>
      </w:tabs>
      <w:ind w:left="720" w:firstLine="0"/>
    </w:pPr>
  </w:style>
  <w:style w:type="paragraph" w:customStyle="1" w:styleId="alphaheading">
    <w:name w:val="alpha heading"/>
    <w:basedOn w:val="Normal"/>
    <w:rsid w:val="00526FDE"/>
    <w:pPr>
      <w:keepNext/>
      <w:tabs>
        <w:tab w:val="left" w:pos="1440"/>
      </w:tabs>
      <w:spacing w:before="240" w:after="240"/>
      <w:ind w:left="1440" w:hanging="720"/>
    </w:pPr>
    <w:rPr>
      <w:b/>
      <w:szCs w:val="24"/>
    </w:rPr>
  </w:style>
  <w:style w:type="paragraph" w:customStyle="1" w:styleId="romannumeralpara">
    <w:name w:val="roman numeral para"/>
    <w:basedOn w:val="Normal"/>
    <w:rsid w:val="00526FDE"/>
    <w:pPr>
      <w:spacing w:line="480" w:lineRule="auto"/>
      <w:ind w:left="1440" w:hanging="720"/>
    </w:pPr>
  </w:style>
  <w:style w:type="paragraph" w:customStyle="1" w:styleId="Bulletpara">
    <w:name w:val="Bullet para"/>
    <w:basedOn w:val="Normal"/>
    <w:rsid w:val="00526FDE"/>
    <w:pPr>
      <w:widowControl/>
      <w:numPr>
        <w:numId w:val="19"/>
      </w:numPr>
      <w:tabs>
        <w:tab w:val="left" w:pos="900"/>
      </w:tabs>
      <w:spacing w:before="120" w:after="120"/>
    </w:pPr>
    <w:rPr>
      <w:szCs w:val="24"/>
    </w:rPr>
  </w:style>
  <w:style w:type="paragraph" w:styleId="TOC1">
    <w:name w:val="toc 1"/>
    <w:basedOn w:val="Normal"/>
    <w:next w:val="Normal"/>
    <w:semiHidden/>
    <w:rsid w:val="00526FDE"/>
  </w:style>
  <w:style w:type="paragraph" w:styleId="TOC2">
    <w:name w:val="toc 2"/>
    <w:basedOn w:val="Normal"/>
    <w:next w:val="Normal"/>
    <w:semiHidden/>
    <w:rsid w:val="00526FDE"/>
    <w:pPr>
      <w:ind w:left="240"/>
    </w:pPr>
  </w:style>
  <w:style w:type="character" w:styleId="Hyperlink">
    <w:name w:val="Hyperlink"/>
    <w:basedOn w:val="DefaultParagraphFont"/>
    <w:rsid w:val="00526FDE"/>
    <w:rPr>
      <w:color w:val="0000FF"/>
      <w:u w:val="single"/>
    </w:rPr>
  </w:style>
  <w:style w:type="paragraph" w:styleId="TOC3">
    <w:name w:val="toc 3"/>
    <w:basedOn w:val="Normal"/>
    <w:next w:val="Normal"/>
    <w:semiHidden/>
    <w:rsid w:val="00526FDE"/>
    <w:pPr>
      <w:ind w:left="480"/>
    </w:pPr>
  </w:style>
  <w:style w:type="paragraph" w:styleId="TOC4">
    <w:name w:val="toc 4"/>
    <w:basedOn w:val="Normal"/>
    <w:next w:val="Normal"/>
    <w:semiHidden/>
    <w:rsid w:val="00526FDE"/>
    <w:pPr>
      <w:ind w:left="720"/>
    </w:pPr>
  </w:style>
  <w:style w:type="paragraph" w:customStyle="1" w:styleId="Level1">
    <w:name w:val="Level 1"/>
    <w:basedOn w:val="Normal"/>
    <w:rsid w:val="00E7124A"/>
    <w:pPr>
      <w:ind w:left="1890" w:hanging="720"/>
    </w:pPr>
  </w:style>
  <w:style w:type="paragraph" w:customStyle="1" w:styleId="Tarifftitle">
    <w:name w:val="Tariff title"/>
    <w:basedOn w:val="Normal"/>
    <w:rsid w:val="00526FDE"/>
    <w:rPr>
      <w:b/>
      <w:sz w:val="28"/>
      <w:szCs w:val="28"/>
    </w:rPr>
  </w:style>
  <w:style w:type="paragraph" w:customStyle="1" w:styleId="subheadwH2formatting">
    <w:name w:val="subhead w H2 formatting"/>
    <w:basedOn w:val="Heading2"/>
    <w:rsid w:val="00E7124A"/>
    <w:pPr>
      <w:pageBreakBefore/>
    </w:pPr>
  </w:style>
  <w:style w:type="character" w:customStyle="1" w:styleId="BodyparaChar">
    <w:name w:val="Body para Char"/>
    <w:basedOn w:val="DefaultParagraphFont"/>
    <w:link w:val="Bodypara"/>
    <w:rsid w:val="00526FDE"/>
    <w:rPr>
      <w:snapToGrid w:val="0"/>
      <w:sz w:val="24"/>
    </w:rPr>
  </w:style>
  <w:style w:type="character" w:customStyle="1" w:styleId="Heading3Char1">
    <w:name w:val="Heading 3 Char1"/>
    <w:basedOn w:val="DefaultParagraphFont"/>
    <w:link w:val="Heading3"/>
    <w:rsid w:val="00526FDE"/>
    <w:rPr>
      <w:b/>
      <w:snapToGrid w:val="0"/>
      <w:sz w:val="24"/>
    </w:rPr>
  </w:style>
  <w:style w:type="paragraph" w:styleId="TOC5">
    <w:name w:val="toc 5"/>
    <w:basedOn w:val="Normal"/>
    <w:next w:val="Normal"/>
    <w:rsid w:val="00526FDE"/>
    <w:pPr>
      <w:widowControl/>
      <w:ind w:left="960"/>
    </w:pPr>
    <w:rPr>
      <w:snapToGrid/>
      <w:szCs w:val="24"/>
    </w:rPr>
  </w:style>
  <w:style w:type="paragraph" w:styleId="TOC6">
    <w:name w:val="toc 6"/>
    <w:basedOn w:val="Normal"/>
    <w:next w:val="Normal"/>
    <w:rsid w:val="00526FDE"/>
    <w:pPr>
      <w:widowControl/>
      <w:ind w:left="1200"/>
    </w:pPr>
    <w:rPr>
      <w:snapToGrid/>
      <w:szCs w:val="24"/>
    </w:rPr>
  </w:style>
  <w:style w:type="paragraph" w:styleId="TOC7">
    <w:name w:val="toc 7"/>
    <w:basedOn w:val="Normal"/>
    <w:next w:val="Normal"/>
    <w:rsid w:val="00526FDE"/>
    <w:pPr>
      <w:widowControl/>
      <w:ind w:left="1440"/>
    </w:pPr>
    <w:rPr>
      <w:snapToGrid/>
      <w:szCs w:val="24"/>
    </w:rPr>
  </w:style>
  <w:style w:type="paragraph" w:styleId="TOC8">
    <w:name w:val="toc 8"/>
    <w:basedOn w:val="Normal"/>
    <w:next w:val="Normal"/>
    <w:rsid w:val="00526FDE"/>
    <w:pPr>
      <w:widowControl/>
      <w:ind w:left="1680"/>
    </w:pPr>
    <w:rPr>
      <w:snapToGrid/>
      <w:szCs w:val="24"/>
    </w:rPr>
  </w:style>
  <w:style w:type="paragraph" w:styleId="TOC9">
    <w:name w:val="toc 9"/>
    <w:basedOn w:val="Normal"/>
    <w:next w:val="Normal"/>
    <w:rsid w:val="00526FDE"/>
    <w:pPr>
      <w:widowControl/>
      <w:ind w:left="1920"/>
    </w:pPr>
    <w:rPr>
      <w:snapToGrid/>
      <w:szCs w:val="24"/>
    </w:rPr>
  </w:style>
  <w:style w:type="paragraph" w:customStyle="1" w:styleId="a">
    <w:name w:val="_"/>
    <w:basedOn w:val="Normal"/>
    <w:rsid w:val="00526FDE"/>
    <w:pPr>
      <w:ind w:left="1800" w:hanging="630"/>
    </w:pPr>
  </w:style>
  <w:style w:type="character" w:styleId="CommentReference">
    <w:name w:val="annotation reference"/>
    <w:basedOn w:val="DefaultParagraphFont"/>
    <w:rsid w:val="00526FDE"/>
    <w:rPr>
      <w:sz w:val="16"/>
      <w:szCs w:val="16"/>
    </w:rPr>
  </w:style>
  <w:style w:type="paragraph" w:styleId="CommentText">
    <w:name w:val="annotation text"/>
    <w:basedOn w:val="Normal"/>
    <w:link w:val="CommentTextChar"/>
    <w:rsid w:val="00526FDE"/>
    <w:rPr>
      <w:sz w:val="20"/>
    </w:rPr>
  </w:style>
  <w:style w:type="character" w:customStyle="1" w:styleId="CommentTextChar">
    <w:name w:val="Comment Text Char"/>
    <w:basedOn w:val="DefaultParagraphFont"/>
    <w:link w:val="CommentText"/>
    <w:rsid w:val="00526FDE"/>
    <w:rPr>
      <w:snapToGrid w:val="0"/>
    </w:rPr>
  </w:style>
  <w:style w:type="paragraph" w:styleId="CommentSubject">
    <w:name w:val="annotation subject"/>
    <w:basedOn w:val="CommentText"/>
    <w:next w:val="CommentText"/>
    <w:link w:val="CommentSubjectChar"/>
    <w:rsid w:val="00526FDE"/>
    <w:rPr>
      <w:b/>
      <w:bCs/>
    </w:rPr>
  </w:style>
  <w:style w:type="character" w:customStyle="1" w:styleId="CommentSubjectChar">
    <w:name w:val="Comment Subject Char"/>
    <w:basedOn w:val="CommentTextChar"/>
    <w:link w:val="CommentSubject"/>
    <w:rsid w:val="00526FDE"/>
    <w:rPr>
      <w:b/>
      <w:bCs/>
      <w:snapToGrid w:val="0"/>
    </w:rPr>
  </w:style>
  <w:style w:type="paragraph" w:styleId="BodyTextIndent">
    <w:name w:val="Body Text Indent"/>
    <w:aliases w:val="bi"/>
    <w:basedOn w:val="Normal"/>
    <w:link w:val="BodyTextIndentChar"/>
    <w:rsid w:val="0052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26FDE"/>
    <w:rPr>
      <w:snapToGrid w:val="0"/>
      <w:sz w:val="24"/>
    </w:rPr>
  </w:style>
  <w:style w:type="table" w:styleId="TableGrid">
    <w:name w:val="Table Grid"/>
    <w:basedOn w:val="TableNormal"/>
    <w:rsid w:val="0052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509FE"/>
    <w:rPr>
      <w:snapToGrid w:val="0"/>
      <w:sz w:val="24"/>
    </w:rPr>
  </w:style>
  <w:style w:type="paragraph" w:styleId="Revision">
    <w:name w:val="Revision"/>
    <w:hidden/>
    <w:uiPriority w:val="99"/>
    <w:semiHidden/>
    <w:rsid w:val="005509F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28</vt:lpstr>
    </vt:vector>
  </TitlesOfParts>
  <Company>New York ISO</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dc:creator>Prevratil, Sheri</dc:creator>
  <cp:lastModifiedBy>TMS IIS</cp:lastModifiedBy>
  <cp:revision>2</cp:revision>
  <cp:lastPrinted>2007-12-20T16:41:00Z</cp:lastPrinted>
  <dcterms:created xsi:type="dcterms:W3CDTF">2024-03-18T13:45:00Z</dcterms:created>
  <dcterms:modified xsi:type="dcterms:W3CDTF">2024-03-18T13:45:00Z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6a9026fe-b866-4c84-b53d-586b2e055f4f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2023-05-09T19:00:57Z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-2087562352</vt:i4>
  </property>
  <property fmtid="{D5CDD505-2E9C-101B-9397-08002B2CF9AE}" pid="11" name="_AuthorEmail">
    <vt:lpwstr>ajamieson@nyiso.com</vt:lpwstr>
  </property>
  <property fmtid="{D5CDD505-2E9C-101B-9397-08002B2CF9AE}" pid="12" name="_AuthorEmailDisplayName">
    <vt:lpwstr>Jamieson, Amie</vt:lpwstr>
  </property>
  <property fmtid="{D5CDD505-2E9C-101B-9397-08002B2CF9AE}" pid="13" name="_EmailSubject">
    <vt:lpwstr>Filing Letter for Working Capital Fund Rebalancing</vt:lpwstr>
  </property>
  <property fmtid="{D5CDD505-2E9C-101B-9397-08002B2CF9AE}" pid="14" name="_NewReviewCycle">
    <vt:lpwstr/>
  </property>
  <property fmtid="{D5CDD505-2E9C-101B-9397-08002B2CF9AE}" pid="15" name="_PreviousAdHocReviewCycleID">
    <vt:i4>2129501691</vt:i4>
  </property>
  <property fmtid="{D5CDD505-2E9C-101B-9397-08002B2CF9AE}" pid="16" name="_ReviewingToolsShownOnce">
    <vt:lpwstr/>
  </property>
</Properties>
</file>