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474" w:rsidRDefault="009A3956">
      <w:pPr>
        <w:pStyle w:val="Heading2"/>
        <w:pageBreakBefore/>
        <w:rPr>
          <w:szCs w:val="24"/>
        </w:rPr>
      </w:pPr>
      <w:bookmarkStart w:id="0" w:name="_DV_M147"/>
      <w:bookmarkStart w:id="1" w:name="_Toc261446029"/>
      <w:bookmarkStart w:id="2" w:name="_Toc261446039"/>
      <w:bookmarkStart w:id="3" w:name="_GoBack"/>
      <w:bookmarkEnd w:id="0"/>
      <w:bookmarkEnd w:id="3"/>
      <w:r>
        <w:rPr>
          <w:szCs w:val="24"/>
        </w:rPr>
        <w:t xml:space="preserve">4.1 </w:t>
      </w:r>
      <w:r>
        <w:rPr>
          <w:szCs w:val="24"/>
        </w:rPr>
        <w:tab/>
        <w:t>Market Services - General Rules</w:t>
      </w:r>
      <w:bookmarkEnd w:id="1"/>
    </w:p>
    <w:p w:rsidR="00FA1474" w:rsidRDefault="009A3956">
      <w:pPr>
        <w:pStyle w:val="Heading3"/>
        <w:rPr>
          <w:szCs w:val="24"/>
        </w:rPr>
      </w:pPr>
      <w:bookmarkStart w:id="4" w:name="_Toc261446030"/>
      <w:r>
        <w:rPr>
          <w:szCs w:val="24"/>
        </w:rPr>
        <w:t>4.1.1</w:t>
      </w:r>
      <w:r>
        <w:rPr>
          <w:szCs w:val="24"/>
        </w:rPr>
        <w:tab/>
        <w:t>Overview</w:t>
      </w:r>
      <w:bookmarkEnd w:id="4"/>
    </w:p>
    <w:p w:rsidR="00FA1474" w:rsidRDefault="009A3956">
      <w:pPr>
        <w:pStyle w:val="Bodypara"/>
      </w:pPr>
      <w:r>
        <w:t xml:space="preserve">Market Services include all services and functions performed by the ISO under this Tariff related to the sale and purchase of Energy, Capacity or Demand Reductions, and the payment to Suppliers who </w:t>
      </w:r>
      <w:r>
        <w:t>provide Ancillary Services in the ISO Administered Markets.</w:t>
      </w:r>
    </w:p>
    <w:p w:rsidR="00FA1474" w:rsidRDefault="009A3956">
      <w:pPr>
        <w:pStyle w:val="Heading3"/>
        <w:rPr>
          <w:szCs w:val="24"/>
        </w:rPr>
      </w:pPr>
      <w:bookmarkStart w:id="5" w:name="_Toc261446031"/>
      <w:r>
        <w:rPr>
          <w:szCs w:val="24"/>
        </w:rPr>
        <w:t>4.1.2</w:t>
      </w:r>
      <w:r>
        <w:rPr>
          <w:szCs w:val="24"/>
        </w:rPr>
        <w:tab/>
        <w:t>Independent System Operator Authority</w:t>
      </w:r>
      <w:bookmarkEnd w:id="5"/>
    </w:p>
    <w:p w:rsidR="00FA1474" w:rsidRDefault="009A3956">
      <w:pPr>
        <w:pStyle w:val="Bodypara"/>
      </w:pPr>
      <w:r>
        <w:t xml:space="preserve">The ISO shall provide all Market Services in accordance with the terms of the ISO Services Tariff and the ISO Related Agreements.  The ISO shall be the </w:t>
      </w:r>
      <w:r>
        <w:t>sole point of Application for all Market Services provided in the NYCA.  Each Market Participant that sells or purchases Energy, including Special Case Resources and Emergency Demand Response Program participants, sells or purchases Capacity, or provides A</w:t>
      </w:r>
      <w:r>
        <w:t xml:space="preserve">ncillary Services in the ISO Administered Markets utilizes Market Services and must take service as a Customer under this Tariff and enter into a Service Agreement under the Tariff, as set forth in Attachment A; each entity that withdraws Energy to supply </w:t>
      </w:r>
      <w:r>
        <w:t>Load within the NYCA or provides Installed Capacity to an LSE serving Load within the NYCA utilizes the Control Area Services provided by the ISO and benefits from the reliability achieved as a result of ISO Control Area Services, must take service as a Cu</w:t>
      </w:r>
      <w:r>
        <w:t>stomer under this Tariff and enter into a Service Agreement under this Tariff, as set forth in Attachment A; and each entity that has its virtual bids accepted and thereby engages in Virtual Transactions and each entity that purchases Transmission Congesti</w:t>
      </w:r>
      <w:r>
        <w:t>on Contracts, excluding Transmission Congestion Contracts that are created prior to January 1, 2010, utilizes Market Services and must take service as a Customer under this Tariff and enter into a Services Agreement under this Tariff, as set forth in Attac</w:t>
      </w:r>
      <w:r>
        <w:t xml:space="preserve">hment A.  Each Customer that utilizes Market Services also utilizes Transmission Service and shall obtain Transmission Service under the ISO </w:t>
      </w:r>
      <w:r>
        <w:lastRenderedPageBreak/>
        <w:t>OATT.</w:t>
      </w:r>
    </w:p>
    <w:p w:rsidR="00FA1474" w:rsidRDefault="009A3956">
      <w:pPr>
        <w:pStyle w:val="Heading3"/>
        <w:rPr>
          <w:szCs w:val="24"/>
        </w:rPr>
      </w:pPr>
      <w:bookmarkStart w:id="6" w:name="_Toc261446032"/>
      <w:r>
        <w:rPr>
          <w:szCs w:val="24"/>
        </w:rPr>
        <w:t>4.1.3</w:t>
      </w:r>
      <w:r>
        <w:rPr>
          <w:szCs w:val="24"/>
        </w:rPr>
        <w:tab/>
        <w:t>Informational and Reporting Requirements</w:t>
      </w:r>
      <w:bookmarkEnd w:id="6"/>
    </w:p>
    <w:p w:rsidR="00FA1474" w:rsidRDefault="009A3956">
      <w:pPr>
        <w:pStyle w:val="alphapara"/>
      </w:pPr>
      <w:r>
        <w:t>4.1.3.1</w:t>
      </w:r>
      <w:r>
        <w:tab/>
      </w:r>
      <w:r>
        <w:tab/>
        <w:t>The ISO shall operate and maintain an OASIS, includin</w:t>
      </w:r>
      <w:r>
        <w:t>g a Bid/Post System that will facilitate the posting of Bids to supply Energy</w:t>
      </w:r>
      <w:r>
        <w:t xml:space="preserve"> and</w:t>
      </w:r>
      <w:r>
        <w:t xml:space="preserve"> Ancillary Services by Suppliers for use by the ISO and the posting of Locational Based Marginal Prices (“LBMP”) and schedules for accepted Bids for Energy</w:t>
      </w:r>
      <w:r>
        <w:t xml:space="preserve"> and</w:t>
      </w:r>
      <w:r>
        <w:t xml:space="preserve"> Ancillary Servi</w:t>
      </w:r>
      <w:r>
        <w:t>ces.  The Bid/Post System will be used to post schedules for Bilateral Transactions.  The ISO will provide historical data regarding Energy and Capacity market clearing prices in addition to Congestion Costs on a publicly accessible portion of its OASIS.</w:t>
      </w:r>
    </w:p>
    <w:p w:rsidR="00FA1474" w:rsidRDefault="009A3956">
      <w:pPr>
        <w:pStyle w:val="alphapara"/>
      </w:pPr>
      <w:r>
        <w:t>4</w:t>
      </w:r>
      <w:r>
        <w:t>.1.3.2</w:t>
      </w:r>
      <w:r>
        <w:tab/>
      </w:r>
      <w:r>
        <w:tab/>
        <w:t>Zonal Uplift Report.  The ISO shall post on a publicly accessible portion of its website, in machine-readable format, a report on total daily uplift dollars paid to (a) Generators and Demand Side Resources located in Load Zones H, I and J collectiv</w:t>
      </w:r>
      <w:r>
        <w:t>ely, (b) Generators and Demand Side Resources located in each of the other NYCA Load Zones, and (c) Suppliers scheduling Imports at a Proxy Generator Bus, no more than 20 calendar days after the conclusion of each month.  The report shall be updated at the</w:t>
      </w:r>
      <w:r>
        <w:t xml:space="preserve"> time the Resource-Specific Uplift Report is posted, and again approximately 120 days after an initial invoice was issued for a month, to incorporate updated information.  The report shall provide the uplift paid for each month, by day and by billing categ</w:t>
      </w:r>
      <w:r>
        <w:t xml:space="preserve">ory.  </w:t>
      </w:r>
    </w:p>
    <w:p w:rsidR="00FA1474" w:rsidRDefault="009A3956">
      <w:pPr>
        <w:pStyle w:val="alphapara"/>
        <w:ind w:firstLine="720"/>
      </w:pPr>
      <w:r>
        <w:t>Costs that the ISO will report as uplift include: (1) Day-Ahead and real-time Bid Production Cost guarantee payments to Generators and to Demand Side Resource aggregations; (2) Day-Ahead Bid Production Cost guarantee payments to Suppliers that sched</w:t>
      </w:r>
      <w:r>
        <w:t>ule Imports; (3) Day-Ahead Margin Assurance Payments; (4) </w:t>
      </w:r>
      <w:r>
        <w:rPr>
          <w:bCs/>
          <w:sz w:val="23"/>
          <w:szCs w:val="23"/>
        </w:rPr>
        <w:t>cost recovery for units responding to Local Reliability Rules addressing loss of Generator gas supply</w:t>
      </w:r>
      <w:r>
        <w:t xml:space="preserve">; (5) Import Curtailment Guarantee Payments to Suppliers that schedule Imports in real-time; and </w:t>
      </w:r>
      <w:r>
        <w:t xml:space="preserve">(6) Lost Opportunity Cost payments to Suppliers of Voltage Support Service.  </w:t>
      </w:r>
    </w:p>
    <w:p w:rsidR="00FA1474" w:rsidRDefault="009A3956">
      <w:pPr>
        <w:pStyle w:val="alphapara"/>
      </w:pPr>
      <w:r>
        <w:t>4.1.3.3</w:t>
      </w:r>
      <w:r>
        <w:tab/>
      </w:r>
      <w:r>
        <w:tab/>
        <w:t>Resource-Specific Uplift Report.  The ISO shall post on a publicly accessible portion of its website, in machine-readable format, a report on total uplift paid to Genera</w:t>
      </w:r>
      <w:r>
        <w:t xml:space="preserve">tors, </w:t>
      </w:r>
      <w:ins w:id="7" w:author="Campbell, Greg J." w:date="2022-12-01T16:58:00Z">
        <w:r w:rsidRPr="002B6EAC">
          <w:t xml:space="preserve">Aggregations, </w:t>
        </w:r>
      </w:ins>
      <w:r w:rsidRPr="002B6EAC">
        <w:t>Demand Side Ancillary Service Program Resources, Day-Ahead Demand Response Program resources or aggregations,</w:t>
      </w:r>
      <w:r>
        <w:t xml:space="preserve"> and to Special Case Resource aggregations</w:t>
      </w:r>
      <w:r>
        <w:rPr>
          <w:b/>
        </w:rPr>
        <w:t xml:space="preserve">, </w:t>
      </w:r>
      <w:r>
        <w:t>on a monthly basis.  The report shall provide the total uplift payment across all u</w:t>
      </w:r>
      <w:r>
        <w:t>plift categories paid to each Generator</w:t>
      </w:r>
      <w:ins w:id="8" w:author="Campbell, Greg J." w:date="2022-12-01T16:58:00Z">
        <w:r>
          <w:t xml:space="preserve">, </w:t>
        </w:r>
        <w:r w:rsidRPr="002B6EAC">
          <w:t>Aggregation, or Special Case Resource</w:t>
        </w:r>
      </w:ins>
      <w:r w:rsidRPr="002B6EAC">
        <w:t xml:space="preserve"> or</w:t>
      </w:r>
      <w:r w:rsidRPr="009B2484">
        <w:t xml:space="preserve"> aggregation</w:t>
      </w:r>
      <w:ins w:id="9" w:author="Campbell, Greg J." w:date="2022-12-01T16:59:00Z">
        <w:r w:rsidRPr="002B6EAC">
          <w:t>s</w:t>
        </w:r>
      </w:ins>
      <w:r w:rsidRPr="002B6EAC">
        <w:t xml:space="preserve"> of Demand Side Resources</w:t>
      </w:r>
      <w:r w:rsidRPr="009B2484">
        <w:t>.</w:t>
      </w:r>
      <w:r>
        <w:t xml:space="preserve">  The report shall be posted no more than 90 calendar days after the conclusion of each month and shall be updated approximately 120 day</w:t>
      </w:r>
      <w:r>
        <w:t>s after an initial invoice was issued for the month, to incorporate updated information.</w:t>
      </w:r>
    </w:p>
    <w:p w:rsidR="00FA1474" w:rsidRDefault="009A3956">
      <w:pPr>
        <w:pStyle w:val="alphapara"/>
      </w:pPr>
      <w:r>
        <w:t>4.1.3.4</w:t>
      </w:r>
      <w:r>
        <w:tab/>
      </w:r>
      <w:r>
        <w:tab/>
        <w:t xml:space="preserve">Operator-Initiated Commitment Report.  The ISO shall post on a publicly accessible portion of its website, in machine-readable format, commitments made after </w:t>
      </w:r>
      <w:r>
        <w:t>the Day-Ahead Market for a reason other than minimizing the total production cost of serving load.</w:t>
      </w:r>
    </w:p>
    <w:p w:rsidR="00FA1474" w:rsidRDefault="009A3956">
      <w:pPr>
        <w:pStyle w:val="Bodypara"/>
      </w:pPr>
      <w:r>
        <w:t>For each reported commitment, the ISO shall provide the following information:</w:t>
      </w:r>
    </w:p>
    <w:p w:rsidR="00FA1474" w:rsidRDefault="009A3956">
      <w:pPr>
        <w:pStyle w:val="alphapara"/>
      </w:pPr>
      <w:r>
        <w:t>(a)</w:t>
      </w:r>
      <w:r>
        <w:tab/>
        <w:t>commitment size: provide both the resource’s UOL</w:t>
      </w:r>
      <w:r>
        <w:rPr>
          <w:vertAlign w:val="subscript"/>
        </w:rPr>
        <w:t>N</w:t>
      </w:r>
      <w:r>
        <w:t xml:space="preserve"> and the quantity of MW c</w:t>
      </w:r>
      <w:r>
        <w:t>ommitted;</w:t>
      </w:r>
    </w:p>
    <w:p w:rsidR="00FA1474" w:rsidRDefault="009A3956">
      <w:pPr>
        <w:pStyle w:val="alphapara"/>
      </w:pPr>
      <w:r>
        <w:t>(b)</w:t>
      </w:r>
      <w:r>
        <w:tab/>
        <w:t>location: the Load Zone in which the resource is located;</w:t>
      </w:r>
    </w:p>
    <w:p w:rsidR="00FA1474" w:rsidRDefault="009A3956">
      <w:pPr>
        <w:pStyle w:val="alphapara"/>
      </w:pPr>
      <w:r>
        <w:t>(c)</w:t>
      </w:r>
      <w:r>
        <w:tab/>
        <w:t>commitment reason: (i) system-wide capacity need, or (ii) constraint management, or (iii) voltage support; and</w:t>
      </w:r>
    </w:p>
    <w:p w:rsidR="00FA1474" w:rsidRDefault="009A3956">
      <w:pPr>
        <w:pStyle w:val="alphapara"/>
      </w:pPr>
      <w:r>
        <w:t>(d)</w:t>
      </w:r>
      <w:r>
        <w:tab/>
        <w:t>commitment start time.</w:t>
      </w:r>
    </w:p>
    <w:p w:rsidR="00FA1474" w:rsidRDefault="009A3956">
      <w:pPr>
        <w:pStyle w:val="Bodypara"/>
      </w:pPr>
      <w:r>
        <w:t>Operator-initiated commitments are ordinar</w:t>
      </w:r>
      <w:r>
        <w:t>ily posted in real-time as they occur.  All operator-initiated commitments for a calendar month will be available no more than 30 days after the conclusion of that month.  Operator-initiated commitment postings may later be updated to improve accuracy.</w:t>
      </w:r>
    </w:p>
    <w:p w:rsidR="00FA1474" w:rsidRDefault="009A3956">
      <w:pPr>
        <w:pStyle w:val="Heading3"/>
        <w:rPr>
          <w:szCs w:val="24"/>
        </w:rPr>
      </w:pPr>
      <w:bookmarkStart w:id="10" w:name="_Toc261446033"/>
      <w:r>
        <w:rPr>
          <w:szCs w:val="24"/>
        </w:rPr>
        <w:t>4.1</w:t>
      </w:r>
      <w:r>
        <w:rPr>
          <w:szCs w:val="24"/>
        </w:rPr>
        <w:t>.4</w:t>
      </w:r>
      <w:r>
        <w:rPr>
          <w:szCs w:val="24"/>
        </w:rPr>
        <w:tab/>
        <w:t>Scheduling Prerequisites</w:t>
      </w:r>
      <w:bookmarkEnd w:id="10"/>
    </w:p>
    <w:p w:rsidR="00FA1474" w:rsidRDefault="009A3956">
      <w:pPr>
        <w:pStyle w:val="Bodypara"/>
      </w:pPr>
      <w:r>
        <w:t>Pursuant to ISO Procedures, each Transaction offered in the Energy, Installed Capacity, Ancillary Services or Transmission Congestion Contract market shall be subject to a minimum size of one (1) megawatt (“MW”); provided howeve</w:t>
      </w:r>
      <w:r>
        <w:t xml:space="preserve">r, the minimum size of each Transaction offered in the Energy, Installed Capacity or Ancillary Services market on behalf of Energy Storage Resources </w:t>
      </w:r>
      <w:r>
        <w:t xml:space="preserve">and Aggregations </w:t>
      </w:r>
      <w:r>
        <w:t xml:space="preserve">shall be one tenth (0.1) of one MW.  Regulation Service may be offered in tenths of a MW. </w:t>
      </w:r>
      <w:r>
        <w:t xml:space="preserve"> Pursuant to ISO Procedures, Special Case Resources may offer a minimum of 100 kW of Unforced Capacity in the Installed Capacity Market.  Transaction</w:t>
      </w:r>
      <w:r>
        <w:t>s</w:t>
      </w:r>
      <w:r>
        <w:t xml:space="preserve"> </w:t>
      </w:r>
      <w:r>
        <w:t xml:space="preserve">that exceed </w:t>
      </w:r>
      <w:r>
        <w:t xml:space="preserve">one (1) megawatt may be scheduled in tenths of a megawatt provided, however, </w:t>
      </w:r>
      <w:r>
        <w:t xml:space="preserve">that </w:t>
      </w:r>
      <w:r>
        <w:t>Bilateral T</w:t>
      </w:r>
      <w:r>
        <w:t xml:space="preserve">ransactions and External Transactions in the LBMP Market must </w:t>
      </w:r>
      <w:r>
        <w:t xml:space="preserve">always </w:t>
      </w:r>
      <w:r>
        <w:t>be bid and scheduled in increments of one (1) megawatt.</w:t>
      </w:r>
    </w:p>
    <w:p w:rsidR="00FA1474" w:rsidRDefault="009A3956">
      <w:pPr>
        <w:pStyle w:val="Heading3"/>
        <w:rPr>
          <w:szCs w:val="24"/>
        </w:rPr>
      </w:pPr>
      <w:bookmarkStart w:id="11" w:name="_Toc261446034"/>
      <w:r>
        <w:rPr>
          <w:szCs w:val="24"/>
        </w:rPr>
        <w:t>4.1.5</w:t>
      </w:r>
      <w:r>
        <w:rPr>
          <w:szCs w:val="24"/>
        </w:rPr>
        <w:tab/>
        <w:t>Communication Requirements for Market Services</w:t>
      </w:r>
      <w:bookmarkEnd w:id="11"/>
    </w:p>
    <w:p w:rsidR="00FA1474" w:rsidRDefault="009A3956">
      <w:pPr>
        <w:pStyle w:val="Bodypara"/>
      </w:pPr>
      <w:r>
        <w:t xml:space="preserve">Customers and Transmission Customers shall utilize Internet service providers </w:t>
      </w:r>
      <w:r>
        <w:t>to access the ISO’s OASIS and bid/post system.  Customers shall arrange for and maintain all communications facilities for the purpose of communication of commercial data to the ISO.  Each Customer shall be the customer of record for the telecommunications</w:t>
      </w:r>
      <w:r>
        <w:t xml:space="preserve"> facilities and services its uses and shall assume all duties and responsibilities associated with the procurement, installation and maintenance of the subject equipment and software.</w:t>
      </w:r>
    </w:p>
    <w:p w:rsidR="00FA1474" w:rsidRDefault="009A3956">
      <w:pPr>
        <w:pStyle w:val="Heading3"/>
        <w:rPr>
          <w:szCs w:val="24"/>
        </w:rPr>
      </w:pPr>
      <w:bookmarkStart w:id="12" w:name="_Toc261446035"/>
      <w:r>
        <w:rPr>
          <w:szCs w:val="24"/>
        </w:rPr>
        <w:t>4.1.6</w:t>
      </w:r>
      <w:r>
        <w:rPr>
          <w:szCs w:val="24"/>
        </w:rPr>
        <w:tab/>
        <w:t>Customer Responsibilities</w:t>
      </w:r>
      <w:bookmarkEnd w:id="12"/>
    </w:p>
    <w:p w:rsidR="00FA1474" w:rsidRDefault="009A3956">
      <w:pPr>
        <w:pStyle w:val="Bodypara"/>
      </w:pPr>
      <w:r>
        <w:t>All purchasers in the Day</w:t>
      </w:r>
      <w:r>
        <w:noBreakHyphen/>
        <w:t>Ahead or Real</w:t>
      </w:r>
      <w:r>
        <w:noBreakHyphen/>
      </w:r>
      <w:r>
        <w:t>Time Markets who withdraw Energy within the NYCA to serve Load or at an NYCA Interconnection with another Control Area must obtain Transmission Service under the ISO OATT.  All Customers requesting service under the ISO Services Tariff to engage in Virtual</w:t>
      </w:r>
      <w:r>
        <w:t xml:space="preserve"> Transactions must obtain Transmission Service under the ISO OATT.</w:t>
      </w:r>
    </w:p>
    <w:p w:rsidR="00FA1474" w:rsidRDefault="009A3956">
      <w:pPr>
        <w:pStyle w:val="Bodypara"/>
      </w:pPr>
      <w:r>
        <w:t>All LSEs serving Load in the NYCA must comply with the Installed Capacity requirements set forth in Article 5 of this ISO Services Tariff.</w:t>
      </w:r>
    </w:p>
    <w:p w:rsidR="00FA1474" w:rsidRDefault="009A3956">
      <w:pPr>
        <w:pStyle w:val="Bodypara"/>
      </w:pPr>
      <w:r>
        <w:t>All Customers taking service under the ISO Service</w:t>
      </w:r>
      <w:r>
        <w:t>s Tariff must pay the Market Administration and Control Area Services Charge, as specified in Rate Schedule 1 of this ISO Services Tariff.</w:t>
      </w:r>
    </w:p>
    <w:p w:rsidR="00FA1474" w:rsidRDefault="009A3956">
      <w:pPr>
        <w:pStyle w:val="Bodypara"/>
      </w:pPr>
      <w:r>
        <w:t xml:space="preserve">A Supplier with a Generator or </w:t>
      </w:r>
      <w:r>
        <w:t xml:space="preserve">Aggregation </w:t>
      </w:r>
      <w:r>
        <w:t>with a real time physical operating problem that makes it impossible for t</w:t>
      </w:r>
      <w:r>
        <w:t>he Generator or Demand Side Resource (a) to operate in the bidding mode in which it was scheduled, or (b) to provide all of the Energy or Ancillary Services offered in its Bids, or (c) to achieve or comply with applicable operating parameters or other requ</w:t>
      </w:r>
      <w:r>
        <w:t>irements, shall notify the ISO.</w:t>
      </w:r>
    </w:p>
    <w:p w:rsidR="00FA1474" w:rsidRDefault="009A3956">
      <w:pPr>
        <w:pStyle w:val="Heading3"/>
        <w:rPr>
          <w:szCs w:val="24"/>
        </w:rPr>
      </w:pPr>
      <w:bookmarkStart w:id="13" w:name="_Toc261446036"/>
      <w:bookmarkEnd w:id="2"/>
      <w:r>
        <w:rPr>
          <w:szCs w:val="24"/>
        </w:rPr>
        <w:t>4.1.7</w:t>
      </w:r>
      <w:r>
        <w:rPr>
          <w:szCs w:val="24"/>
        </w:rPr>
        <w:tab/>
        <w:t>Customer Compliance with Laws, Regulations and Orders</w:t>
      </w:r>
      <w:bookmarkEnd w:id="13"/>
    </w:p>
    <w:p w:rsidR="00FA1474" w:rsidRDefault="009A3956">
      <w:pPr>
        <w:pStyle w:val="Bodypara"/>
      </w:pPr>
      <w:r>
        <w:t>All Customers shall comply with all applicable federal, state and local laws, regulations and orders, including orders from the ISO.</w:t>
      </w:r>
    </w:p>
    <w:p w:rsidR="00FA1474" w:rsidRDefault="009A3956">
      <w:pPr>
        <w:pStyle w:val="alphapara"/>
      </w:pPr>
      <w:r>
        <w:t>4.1.7.1</w:t>
      </w:r>
      <w:r>
        <w:tab/>
      </w:r>
      <w:r>
        <w:tab/>
      </w:r>
      <w:r>
        <w:t>Violations of FERC’s orders, rules and regulations also violate this Section 4.1.7 of the ISO Services Tariff.  In particular, if FERC or a court of competent jurisdiction determines there has been a violation of FERC’s regulations related to electric ener</w:t>
      </w:r>
      <w:r>
        <w:t>gy market manipulation (see 18 C.F.R. Section 1c.2, or any successor provision thereto), such violation is also a violation of this ISO Services Tariff if such violation affects or is related to the ISO Administered Markets.</w:t>
      </w:r>
    </w:p>
    <w:p w:rsidR="00FA1474" w:rsidRDefault="009A3956">
      <w:pPr>
        <w:pStyle w:val="alphapara"/>
      </w:pPr>
      <w:r>
        <w:t>4.1.7.2</w:t>
      </w:r>
      <w:r>
        <w:tab/>
      </w:r>
      <w:r>
        <w:tab/>
        <w:t>If the ISO becomes awa</w:t>
      </w:r>
      <w:r>
        <w:t xml:space="preserve">re that a Customer may be engaging in, or might have engaged in, electric energy market manipulation, it shall promptly inform its Market Monitoring Unit. </w:t>
      </w:r>
    </w:p>
    <w:p w:rsidR="00FA1474" w:rsidRDefault="009A3956">
      <w:pPr>
        <w:pStyle w:val="alphapara"/>
      </w:pPr>
      <w:r>
        <w:t>4.1.7.3</w:t>
      </w:r>
      <w:r>
        <w:tab/>
      </w:r>
      <w:r>
        <w:tab/>
        <w:t>This Section 4.1.7 of the ISO Services Tariff does not independently empower the ISO or its</w:t>
      </w:r>
      <w:r>
        <w:t xml:space="preserve"> Market Monitoring Unit to impose penalties for, or to provide a remedy for, violations of FERC’s prohibition against electric energy market manipulation, or for other violations of the ISO's Tariffs.</w:t>
      </w:r>
    </w:p>
    <w:p w:rsidR="00FA1474" w:rsidRDefault="009A3956">
      <w:pPr>
        <w:pStyle w:val="Heading3"/>
        <w:rPr>
          <w:szCs w:val="24"/>
        </w:rPr>
      </w:pPr>
      <w:bookmarkStart w:id="14" w:name="_Toc261446037"/>
      <w:r>
        <w:rPr>
          <w:szCs w:val="24"/>
        </w:rPr>
        <w:t xml:space="preserve">4.1.8 </w:t>
      </w:r>
      <w:r>
        <w:rPr>
          <w:szCs w:val="24"/>
        </w:rPr>
        <w:tab/>
        <w:t>Commitment for Reliability</w:t>
      </w:r>
      <w:bookmarkEnd w:id="14"/>
      <w:r>
        <w:rPr>
          <w:szCs w:val="24"/>
        </w:rPr>
        <w:t xml:space="preserve">  </w:t>
      </w:r>
    </w:p>
    <w:p w:rsidR="00FA1474" w:rsidRDefault="009A3956">
      <w:pPr>
        <w:pStyle w:val="Bodypara"/>
      </w:pPr>
      <w:r>
        <w:t>Suppliers with gene</w:t>
      </w:r>
      <w:r>
        <w:t xml:space="preserve">rating units committed by the ISO for service to ensure NYCA reliability or local system reliability, </w:t>
      </w:r>
      <w:r w:rsidRPr="00EB0FB5">
        <w:t>that are eligible to submit start-up and minimum generation Bids</w:t>
      </w:r>
      <w:r>
        <w:t>, will recover startup and minimum generation costs that were not bid, that were not known</w:t>
      </w:r>
      <w:r>
        <w:t xml:space="preserve"> before the close of the Real-Time Scheduling Window, and that were not recovered in the Dispatch Day, provided however, eligibility to recover such additional costs shall not be available for megawatts scheduled Day-Ahead.  Payment for such costs shall be</w:t>
      </w:r>
      <w:r>
        <w:t xml:space="preserve"> determined, as if bid, pursuant to the provisions of Attachment C of this Tariff.  </w:t>
      </w:r>
      <w:r w:rsidRPr="00EB0FB5">
        <w:t>Energy Storage Resources, Aggregations that include Withdrawal-Eligible Generator(s), and Behind-the-Meter Net Generation Resources dispatched by the ISO for service to ens</w:t>
      </w:r>
      <w:r w:rsidRPr="00EB0FB5">
        <w:t>ure NYCA reliability or local system reliability will recover incremental energy costs that were not bid, that were not known before the close of the Real-Time Scheduling Window, and that were not recovered in the Dispatch Day, provided however, eligibilit</w:t>
      </w:r>
      <w:r w:rsidRPr="00EB0FB5">
        <w:t xml:space="preserve">y to recover such additional costs shall not be available for megawatts scheduled Day-Ahead.  </w:t>
      </w:r>
      <w:r>
        <w:t>Payments for securing NYCA reliability and local system reliability shall be recovered by the ISO in accordance with Rate Schedule 1 of the ISO OATT.</w:t>
      </w:r>
    </w:p>
    <w:p w:rsidR="00FA1474" w:rsidRDefault="009A3956">
      <w:pPr>
        <w:pStyle w:val="Bodypara"/>
      </w:pPr>
      <w:r>
        <w:rPr>
          <w:szCs w:val="24"/>
        </w:rPr>
        <w:t>External Ins</w:t>
      </w:r>
      <w:r>
        <w:rPr>
          <w:szCs w:val="24"/>
        </w:rPr>
        <w:t>talled Capacity Suppliers that respond to an SRE request are eligible to recover the ISO-verified costs they incur to respond to the SRE request to the extent such costs exceed the ISO-verified market revenues the External Installed Capacity Supplier recei</w:t>
      </w:r>
      <w:r>
        <w:rPr>
          <w:szCs w:val="24"/>
        </w:rPr>
        <w:t>ves.  It is the obligation of the External Installed Capacity Supplier to demonstrate its costs and revenues to the ISO’s satisfaction.  In verifying the costs of External Installed Capacity Suppliers that respond to an SRE, the ISO will consider the incre</w:t>
      </w:r>
      <w:r>
        <w:rPr>
          <w:szCs w:val="24"/>
        </w:rPr>
        <w:t>mental net costs the Market Party incurred to respond to the SRE.  Recoverable costs could include, but are not limited to, incremental costs of generating to supply Energy using the requested Installed Capacity, and the incremental costs incurred by the M</w:t>
      </w:r>
      <w:r>
        <w:rPr>
          <w:szCs w:val="24"/>
        </w:rPr>
        <w:t>arket Party to transmit Energy from the External Installed Capacity Supplier’s resource to the NYCA, including the opportunity cost associated with lost expected revenue.  However, losses resulting from the difference in External Transaction settlement pri</w:t>
      </w:r>
      <w:r>
        <w:rPr>
          <w:szCs w:val="24"/>
        </w:rPr>
        <w:t>ces between an External Control Area and the NYCA will only be recoverable if and to the extent the following conditions are satisfied:  (a) the losses are demonstrated to be reasonably related to responding to the SRE request; and (b)(i) a counterflow Exp</w:t>
      </w:r>
      <w:r>
        <w:rPr>
          <w:szCs w:val="24"/>
        </w:rPr>
        <w:t xml:space="preserve">ort from the NYCA offered by the Market Party at the External Interface where the Capacity delivery obligation applies is not scheduled due to NYCA reliability concerns or is curtailed to address NYCA reliability concerns, or (ii) no opportunity exists to </w:t>
      </w:r>
      <w:r>
        <w:rPr>
          <w:szCs w:val="24"/>
        </w:rPr>
        <w:t xml:space="preserve">schedule a counterflow Export from the NYCA at the External Interface where the Capacity delivery obligation applies.  </w:t>
      </w:r>
      <w:r>
        <w:t xml:space="preserve">Payments for securing NYCA reliability and local system reliability shall be recovered by the ISO as </w:t>
      </w:r>
      <w:r>
        <w:rPr>
          <w:i/>
        </w:rPr>
        <w:t>DisputeResolutionCosts</w:t>
      </w:r>
      <w:r>
        <w:t xml:space="preserve"> in accordance</w:t>
      </w:r>
      <w:r>
        <w:t xml:space="preserve"> with Section 6.1.13 of Rate Schedule 1 of the ISO OATT.</w:t>
      </w:r>
    </w:p>
    <w:p w:rsidR="00FA1474" w:rsidRDefault="009A3956">
      <w:pPr>
        <w:pStyle w:val="Bodypara"/>
      </w:pPr>
      <w:r>
        <w:t xml:space="preserve">Re-dispatching costs incurred as a result of reductions in Transfer Capability caused by Storm Watch (“Storm Watch Costs”) shall be aggregated and recovered on a monthly basis by the ISO exclusively </w:t>
      </w:r>
      <w:r>
        <w:t xml:space="preserve">from Transmission Customers in Load Zone J.  The ISO shall calculate Storm Watch Costs by multiplying the real-time Shadow Price of any binding constraint associated with a Storm Watch, by the higher of (a) zero; or (b) the scheduled Day-Ahead flow across </w:t>
      </w:r>
      <w:r>
        <w:t>the constraint minus the actual real-time flow across the constraint.</w:t>
      </w:r>
    </w:p>
    <w:p w:rsidR="00FA1474" w:rsidRDefault="009A3956">
      <w:pPr>
        <w:pStyle w:val="Heading3"/>
        <w:rPr>
          <w:szCs w:val="24"/>
        </w:rPr>
      </w:pPr>
      <w:bookmarkStart w:id="15" w:name="_Toc261446038"/>
      <w:r>
        <w:rPr>
          <w:szCs w:val="24"/>
        </w:rPr>
        <w:t xml:space="preserve">4.1.9 </w:t>
      </w:r>
      <w:r>
        <w:rPr>
          <w:szCs w:val="24"/>
        </w:rPr>
        <w:tab/>
        <w:t xml:space="preserve">Cost Recovery for Units Responding to Local Reliability Rules </w:t>
      </w:r>
      <w:bookmarkEnd w:id="15"/>
      <w:r>
        <w:rPr>
          <w:szCs w:val="24"/>
        </w:rPr>
        <w:t>Addressing Loss of Generator Gas Supply</w:t>
      </w:r>
    </w:p>
    <w:p w:rsidR="00FA1474" w:rsidRDefault="009A3956">
      <w:pPr>
        <w:pStyle w:val="Heading4"/>
        <w:rPr>
          <w:szCs w:val="24"/>
        </w:rPr>
      </w:pPr>
      <w:r>
        <w:rPr>
          <w:szCs w:val="24"/>
        </w:rPr>
        <w:t xml:space="preserve">4.1.9.1 </w:t>
      </w:r>
      <w:r>
        <w:rPr>
          <w:szCs w:val="24"/>
        </w:rPr>
        <w:tab/>
        <w:t>Eligibility for Cost Recovery</w:t>
      </w:r>
    </w:p>
    <w:p w:rsidR="00FA1474" w:rsidRDefault="009A3956">
      <w:pPr>
        <w:pStyle w:val="Bodypara"/>
      </w:pPr>
      <w:r>
        <w:t>Generating units designated pursuant t</w:t>
      </w:r>
      <w:r>
        <w:t xml:space="preserve">o the New York State Reliability Council’s Local Reliability Rule </w:t>
      </w:r>
      <w:r>
        <w:rPr>
          <w:snapToGrid/>
          <w:szCs w:val="24"/>
        </w:rPr>
        <w:t>addressing the</w:t>
      </w:r>
      <w:r>
        <w:t xml:space="preserve"> Loss of Generator Gas Supply </w:t>
      </w:r>
      <w:r>
        <w:rPr>
          <w:snapToGrid/>
          <w:szCs w:val="24"/>
        </w:rPr>
        <w:t xml:space="preserve">for Generators located in </w:t>
      </w:r>
      <w:r>
        <w:t xml:space="preserve">New York City or </w:t>
      </w:r>
      <w:r>
        <w:rPr>
          <w:snapToGrid/>
          <w:szCs w:val="24"/>
        </w:rPr>
        <w:t>the Local Reliability Rule addressing the</w:t>
      </w:r>
      <w:r>
        <w:t xml:space="preserve"> Loss of Generator Gas Supply </w:t>
      </w:r>
      <w:r>
        <w:rPr>
          <w:snapToGrid/>
          <w:szCs w:val="24"/>
        </w:rPr>
        <w:t xml:space="preserve">for Generators located on </w:t>
      </w:r>
      <w:r>
        <w:t>Long I</w:t>
      </w:r>
      <w:r>
        <w:t>sland, as being required either to burn an alternate fuel at designated minimum levels, or to activate their auto-swap capability, based on forecast Load levels in Load Zones J and K (for purposes of this Section 4.1.9, “Eligible Units”), shall be eligible</w:t>
      </w:r>
      <w:r>
        <w:t xml:space="preserve"> to recover costs associated with burning the required alternate fuel when one of the specified Local Reliability Rules is invoked.  For purposes of this Section 4.1.9, the periods of time in which the Eligible Unit burns the alternate fuel only because on</w:t>
      </w:r>
      <w:r>
        <w:t>e of the Local Reliability Rules</w:t>
      </w:r>
      <w:ins w:id="16" w:author="Campbell, Greg J." w:date="2023-02-06T06:33:00Z">
        <w:r>
          <w:t xml:space="preserve"> </w:t>
        </w:r>
      </w:ins>
      <w:r>
        <w:t xml:space="preserve">addressing the loss of gas supply for Generators located in New York City or on Long Island has been invoked, including that period of time required for an Eligible Unit to move into and out of compliance </w:t>
      </w:r>
      <w:r>
        <w:rPr>
          <w:snapToGrid/>
          <w:szCs w:val="24"/>
        </w:rPr>
        <w:t>with a Local Relia</w:t>
      </w:r>
      <w:r>
        <w:rPr>
          <w:snapToGrid/>
          <w:szCs w:val="24"/>
        </w:rPr>
        <w:t>bility Rule addressing the Loss of Generator Gas Supply</w:t>
      </w:r>
      <w:r>
        <w:t xml:space="preserve">, shall be referred to as the “Eligibility Period.”  </w:t>
      </w:r>
    </w:p>
    <w:p w:rsidR="00FA1474" w:rsidRDefault="009A3956">
      <w:pPr>
        <w:pStyle w:val="subhead"/>
      </w:pPr>
      <w:r>
        <w:t xml:space="preserve">4.1.9.1.1 </w:t>
      </w:r>
      <w:r>
        <w:tab/>
        <w:t>Obligation to Test Automatic Fuel Swap Capability and Eligibility to Recover Costs of Performing Fuel Swap Tests</w:t>
      </w:r>
    </w:p>
    <w:p w:rsidR="00FA1474" w:rsidRDefault="009A3956">
      <w:pPr>
        <w:pStyle w:val="Bodypara"/>
        <w:rPr>
          <w:szCs w:val="24"/>
        </w:rPr>
      </w:pPr>
      <w:r>
        <w:rPr>
          <w:snapToGrid/>
          <w:szCs w:val="24"/>
        </w:rPr>
        <w:t>Combined cycle Generati</w:t>
      </w:r>
      <w:r>
        <w:rPr>
          <w:snapToGrid/>
          <w:szCs w:val="24"/>
        </w:rPr>
        <w:t xml:space="preserve">ng units designated pursuant to the New York State Reliability Council’s Local Reliability Rules addressing the Loss of Generator Gas Supply for Generators located in New York City, which have the ability to automatically swap from natural gas to a liquid </w:t>
      </w:r>
      <w:r>
        <w:rPr>
          <w:snapToGrid/>
          <w:szCs w:val="24"/>
        </w:rPr>
        <w:t>fuel source in the event of the sudden interruption of gas fuel supply or loss of gas pressure or the unavailability of gas supply to the Generator, shall:</w:t>
      </w:r>
    </w:p>
    <w:p w:rsidR="00FA1474" w:rsidRDefault="009A3956">
      <w:pPr>
        <w:pStyle w:val="alphapara"/>
      </w:pPr>
      <w:r>
        <w:t xml:space="preserve">(a) </w:t>
      </w:r>
      <w:r>
        <w:tab/>
        <w:t>develop test procedures that are consistent with the requirements of the applicable Local Relia</w:t>
      </w:r>
      <w:r>
        <w:t>bility Rule and ISO Procedures; and</w:t>
      </w:r>
    </w:p>
    <w:p w:rsidR="00FA1474" w:rsidRDefault="009A3956">
      <w:pPr>
        <w:pStyle w:val="alphapara"/>
      </w:pPr>
      <w:r>
        <w:t xml:space="preserve">(b) </w:t>
      </w:r>
      <w:r>
        <w:tab/>
        <w:t>successfully test to demonstrate that the designated combined cycle units are able to automatically swap from natural gas to a liquid fuel source each Capability Period.</w:t>
      </w:r>
    </w:p>
    <w:p w:rsidR="00FA1474" w:rsidRDefault="009A3956">
      <w:pPr>
        <w:pStyle w:val="Bodypara"/>
      </w:pPr>
      <w:r>
        <w:t>The requirement to perform a test each Capabi</w:t>
      </w:r>
      <w:r>
        <w:t>lity Period can be met by performing a real-time automatic fuel swap, if that fuel swap was successful and occurred during the relevant Capability Period.  The scheduling of a test to demonstrate that a designated combined cycle unit is able to automatical</w:t>
      </w:r>
      <w:r>
        <w:t>ly swap from natural gas to a liquid fuel source in real-time operations shall be coordinated with the ISO and with the Transmission Owner in whose subzone the Generator is located, consistent with ISO Procedures.</w:t>
      </w:r>
    </w:p>
    <w:p w:rsidR="00FA1474" w:rsidRDefault="009A3956">
      <w:pPr>
        <w:pStyle w:val="Bodypara"/>
      </w:pPr>
      <w:r>
        <w:t>The period during which combined cycle Eli</w:t>
      </w:r>
      <w:r>
        <w:t>gible Units are performing scheduled automatic fuel swap testing, including that period of time required for an Eligible Unit to move into and out of compliance with a Local Reliability Rule addressing the Loss of Generator Gas Supply, is an “Eligibility P</w:t>
      </w:r>
      <w:r>
        <w:t>eriod.”</w:t>
      </w:r>
    </w:p>
    <w:p w:rsidR="00FA1474" w:rsidRDefault="009A3956">
      <w:pPr>
        <w:pStyle w:val="Heading4"/>
        <w:rPr>
          <w:szCs w:val="24"/>
        </w:rPr>
      </w:pPr>
      <w:r>
        <w:rPr>
          <w:szCs w:val="24"/>
        </w:rPr>
        <w:t xml:space="preserve">4.1.9.2 </w:t>
      </w:r>
      <w:r>
        <w:rPr>
          <w:szCs w:val="24"/>
        </w:rPr>
        <w:tab/>
        <w:t>Variable Operating Cost Recovery</w:t>
      </w:r>
    </w:p>
    <w:p w:rsidR="00FA1474" w:rsidRDefault="009A3956">
      <w:pPr>
        <w:pStyle w:val="Bodypara"/>
      </w:pPr>
      <w:r>
        <w:t xml:space="preserve">For Eligibility Periods, Eligible Units burning an alternate fuel that would not have been burned but for Local Reliability Rules </w:t>
      </w:r>
      <w:r>
        <w:rPr>
          <w:snapToGrid/>
          <w:szCs w:val="24"/>
        </w:rPr>
        <w:t>addressing the loss of gas supply for Generators located in New York City or</w:t>
      </w:r>
      <w:r>
        <w:rPr>
          <w:snapToGrid/>
          <w:szCs w:val="24"/>
        </w:rPr>
        <w:t xml:space="preserve"> on Long Island </w:t>
      </w:r>
      <w:r>
        <w:t>being invoked and Eligible Units burning an alternate fuel because they activated their auto-swap capability and experienced a swap to the alternate fuel that would not have occurred but for the operation of the auto-swap capability in acco</w:t>
      </w:r>
      <w:r>
        <w:t xml:space="preserve">rdance with the implementation of the Local Reliability Rules </w:t>
      </w:r>
      <w:r>
        <w:rPr>
          <w:snapToGrid/>
          <w:szCs w:val="24"/>
        </w:rPr>
        <w:t xml:space="preserve">addressing the loss of gas supply for Generators located in New York City or on Long Island </w:t>
      </w:r>
      <w:r>
        <w:t>shall recover costs that vary with the amount of alternate fuel burned (“variable operating costs”) if</w:t>
      </w:r>
      <w:r>
        <w:t>: (i) such costs are not reflected in the reference level for that Eligible Unit for the hours included in the Eligibility Period, pursuant to ISO Procedures, and (ii) the hour is one for which the commodity cost of the alternate fuel including taxes and e</w:t>
      </w:r>
      <w:r>
        <w:t xml:space="preserve">mission allowance costs is greater than the commodity cost for natural gas, including taxes and emission allowance costs, as determined by the ISO.  These relative commodity cost determinations shall use the same indices used by the ISO to establish daily </w:t>
      </w:r>
      <w:r>
        <w:t xml:space="preserve">Reference Levels.  Variable operating costs shall include the commodity cost, associated taxes and emission allowance costs, of the required alternate fuel burned during an Eligibility Period pursuant to </w:t>
      </w:r>
      <w:r>
        <w:rPr>
          <w:snapToGrid/>
          <w:szCs w:val="24"/>
        </w:rPr>
        <w:t>Local Reliability Rules addressing the loss of gas s</w:t>
      </w:r>
      <w:r>
        <w:rPr>
          <w:snapToGrid/>
          <w:szCs w:val="24"/>
        </w:rPr>
        <w:t>upply for Generators located in New York City or on Long Island</w:t>
      </w:r>
      <w:r>
        <w:t xml:space="preserve">.  The owner or bidder of an Eligible Unit shall notify the ISO when variable operating costs change due to a change in tax rates. </w:t>
      </w:r>
    </w:p>
    <w:p w:rsidR="00FA1474" w:rsidRDefault="009A3956">
      <w:pPr>
        <w:pStyle w:val="Heading4"/>
        <w:rPr>
          <w:szCs w:val="24"/>
        </w:rPr>
      </w:pPr>
      <w:r>
        <w:rPr>
          <w:szCs w:val="24"/>
        </w:rPr>
        <w:t xml:space="preserve">4.1.9.3 </w:t>
      </w:r>
      <w:r>
        <w:rPr>
          <w:szCs w:val="24"/>
        </w:rPr>
        <w:tab/>
        <w:t xml:space="preserve">Additional Cost Recovery </w:t>
      </w:r>
    </w:p>
    <w:p w:rsidR="00FA1474" w:rsidRDefault="009A3956">
      <w:pPr>
        <w:pStyle w:val="Bodypara"/>
      </w:pPr>
      <w:r>
        <w:t>An Eligible Unit that seek</w:t>
      </w:r>
      <w:r>
        <w:t xml:space="preserve">s to recover costs incurred in connection with its compliance with </w:t>
      </w:r>
      <w:r>
        <w:rPr>
          <w:snapToGrid/>
          <w:szCs w:val="24"/>
        </w:rPr>
        <w:t>Local Reliability Rules addressing the loss of gas supply for Generators located in New York City or on Long Island</w:t>
      </w:r>
      <w:r>
        <w:t>, in addition to the commodity cost, associated taxes and emission allowan</w:t>
      </w:r>
      <w:r>
        <w:t>ce cost recovery specified in Section 4.1.9.2, shall negotiate an Implementation Agreement with the ISO.  The Eligible Unit and the ISO shall consult with and consider the input of the New York State Public Service Commission, and the Transmission Owner de</w:t>
      </w:r>
      <w:r>
        <w:t xml:space="preserve">signated by </w:t>
      </w:r>
      <w:r>
        <w:rPr>
          <w:snapToGrid/>
          <w:szCs w:val="24"/>
        </w:rPr>
        <w:t>the applicable Local Reliability Rule addressing the loss of gas supply for Generators located in New York City or on Long Island</w:t>
      </w:r>
      <w:r>
        <w:t>.  Such Implementation Agreements shall specify, among other terms and conditions, the facilities (or portions of f</w:t>
      </w:r>
      <w:r>
        <w:t xml:space="preserve">acilities) used to meet obligations under </w:t>
      </w:r>
      <w:r>
        <w:rPr>
          <w:snapToGrid/>
          <w:szCs w:val="24"/>
        </w:rPr>
        <w:t>the Local Reliability Rule addressing the loss of gas supply for Generators located in New York City or on Long Island</w:t>
      </w:r>
      <w:r>
        <w:t xml:space="preserve">.  The Implementation Agreement shall indicate the rate to be charged during the period of the Implementation Agreement to recover such additional costs.  </w:t>
      </w:r>
    </w:p>
    <w:p w:rsidR="00FA1474" w:rsidRDefault="009A3956">
      <w:pPr>
        <w:pStyle w:val="Bodypara"/>
      </w:pPr>
      <w:r>
        <w:t xml:space="preserve">The Implementation Agreement may also include costs in addition to commodity cost, associated taxes </w:t>
      </w:r>
      <w:r>
        <w:t xml:space="preserve">and emission allowance costs of the alternate fuel incurred in connection with compliance with </w:t>
      </w:r>
      <w:r>
        <w:rPr>
          <w:snapToGrid/>
          <w:szCs w:val="24"/>
        </w:rPr>
        <w:t>Local Reliability Rules addressing the loss of gas supply for Generators located in New York City or on Long Island</w:t>
      </w:r>
      <w:r>
        <w:t xml:space="preserve"> that vary with the amount of alternate fuel b</w:t>
      </w:r>
      <w:r>
        <w:t xml:space="preserve">urned because a </w:t>
      </w:r>
      <w:r>
        <w:rPr>
          <w:snapToGrid/>
          <w:szCs w:val="24"/>
        </w:rPr>
        <w:t>Local Reliability Rule addressing the loss of gas supply</w:t>
      </w:r>
      <w:r>
        <w:t xml:space="preserve"> was invoked.  These variable costs shall be paid pursuant to Section 4.1.9.2 as variable operating costs so as to not duplicate payments. </w:t>
      </w:r>
    </w:p>
    <w:p w:rsidR="00FA1474" w:rsidRDefault="009A3956">
      <w:pPr>
        <w:pStyle w:val="Bodypara"/>
      </w:pPr>
      <w:r>
        <w:t>Each such Implementation Agreement shall hav</w:t>
      </w:r>
      <w:r>
        <w:t>e a duration of one or more Capability Periods and shall commence at the beginning of a Capability Period unless another date is approved by the Commission.  If the Eligible Unit and the ISO reach agreement on the terms and conditions of the Implementation</w:t>
      </w:r>
      <w:r>
        <w:t xml:space="preserve"> Agreement, the ISO shall file it with the Commission for its review and acceptance.</w:t>
      </w:r>
    </w:p>
    <w:p w:rsidR="00FA1474" w:rsidRDefault="009A3956">
      <w:pPr>
        <w:pStyle w:val="Bodypara"/>
      </w:pPr>
      <w:r>
        <w:t xml:space="preserve">In the event that the Eligible Unit and the ISO have not come to an agreement six months prior to the beginning of the Capability Period that the Implementation Agreement </w:t>
      </w:r>
      <w:r>
        <w:t>is intended to govern, then either one of them may request the assistance of the Commission’s Dispute Resolution Service.  If the Dispute Resolution Service agrees to provide its assistance the Eligible Unit and the ISO shall participate in whatever disput</w:t>
      </w:r>
      <w:r>
        <w:t>e resolution process the Dispute Resolution Service may recommend. The Commission’s Dispute Resolution Service may include other stakeholders to the extent confidentiality protections are in place.  If, however, there is no agreement four months prior to t</w:t>
      </w:r>
      <w:r>
        <w:t>he beginning of the relevant Capability Period then the Eligible Unit and the ISO may each file an unexecuted Implementation Agreement for the Commission’s review and acceptance.</w:t>
      </w:r>
    </w:p>
    <w:p w:rsidR="00FA1474" w:rsidRDefault="009A3956">
      <w:pPr>
        <w:pStyle w:val="Bodypara"/>
      </w:pPr>
      <w:r>
        <w:t xml:space="preserve">In the event that any provisions of this Section 4.1.9 are modified prior to </w:t>
      </w:r>
      <w:r>
        <w:t xml:space="preserve">the termination date of any Commission-accepted Implementation Agreement, such Implementation Agreement will remain in full force and effect until it expires in accordance with its contractual terms and conditions.  </w:t>
      </w:r>
    </w:p>
    <w:p w:rsidR="00FA1474" w:rsidRDefault="009A3956">
      <w:pPr>
        <w:pStyle w:val="Bodypara"/>
      </w:pPr>
      <w:r>
        <w:t>Rules for establishing Eligibility Peri</w:t>
      </w:r>
      <w:r>
        <w:t xml:space="preserve">ods shall be specified in ISO Procedures.  </w:t>
      </w:r>
    </w:p>
    <w:p w:rsidR="00FA1474" w:rsidRDefault="009A3956">
      <w:pPr>
        <w:pStyle w:val="Heading4"/>
        <w:rPr>
          <w:szCs w:val="24"/>
        </w:rPr>
      </w:pPr>
      <w:r>
        <w:rPr>
          <w:szCs w:val="24"/>
        </w:rPr>
        <w:t xml:space="preserve">4.1.9.4 </w:t>
      </w:r>
      <w:r>
        <w:rPr>
          <w:szCs w:val="24"/>
        </w:rPr>
        <w:tab/>
        <w:t>Billing</w:t>
      </w:r>
    </w:p>
    <w:p w:rsidR="00FA1474" w:rsidRDefault="009A3956">
      <w:pPr>
        <w:pStyle w:val="Bodypara"/>
      </w:pPr>
      <w:r>
        <w:t>Payments made by the ISO to the Eligible Unit to pay variable operating costs and to pay the rate established by the Implementation Agreement pursuant to this Section 4.1.9 shall be in addition t</w:t>
      </w:r>
      <w:r>
        <w:t xml:space="preserve">o any LBMP, Ancillary Service or other revenues received as a result of the Eligible Unit’s Day-Ahead or Real-Time dispatch for that day.  Payment by the ISO of variable operating costs pursuant to Section 4.1.9.2 shall be based on the Eligibility Period, </w:t>
      </w:r>
      <w:r>
        <w:t xml:space="preserve">quantity of alternate fuel burned, and relative costs of alternate fuel compared to natural gas. Payment by the ISO of the rate established in the Implementation Agreement for costs incurred other than variable operating costs shall be made as part of the </w:t>
      </w:r>
      <w:r>
        <w:t>ISO billing cycle regardless of which Local Reliability Rule addressing the loss of gas supply an alternate fuel is burned pursuant to, and regardless of the relative cost of the alternate fuel compared to natural gas reflected in reference levels.</w:t>
      </w:r>
    </w:p>
    <w:p w:rsidR="00FA1474" w:rsidRDefault="009A3956">
      <w:pPr>
        <w:pStyle w:val="Heading4"/>
        <w:rPr>
          <w:szCs w:val="24"/>
        </w:rPr>
      </w:pPr>
      <w:r>
        <w:rPr>
          <w:szCs w:val="24"/>
        </w:rPr>
        <w:t>4.1.9.5</w:t>
      </w:r>
      <w:r>
        <w:rPr>
          <w:szCs w:val="24"/>
        </w:rPr>
        <w:t xml:space="preserve"> </w:t>
      </w:r>
      <w:r>
        <w:rPr>
          <w:szCs w:val="24"/>
        </w:rPr>
        <w:tab/>
        <w:t>Other Provisions</w:t>
      </w:r>
    </w:p>
    <w:p w:rsidR="00FA1474" w:rsidRDefault="009A3956">
      <w:pPr>
        <w:pStyle w:val="Bodypara"/>
      </w:pPr>
      <w:r>
        <w:t>The ISO shall make available for the Transmission Owner in whose subzone the Generator is located:  (i) the identity of Generators determined by the ISO to be eligible to recover the costs associated with burning the required alternate fuel pursuant to the</w:t>
      </w:r>
      <w:r>
        <w:t xml:space="preserve"> provisions of this Section 4.1.9; (ii) the start and stop hours for each claimed Eligibility Period and (iii) the amount of alternate fuel for which the Generator has sought to recover variable operating costs. </w:t>
      </w:r>
    </w:p>
    <w:p w:rsidR="00EB0FB5" w:rsidRDefault="009A3956">
      <w:pPr>
        <w:keepNext/>
        <w:keepLines/>
        <w:tabs>
          <w:tab w:val="left" w:pos="1080"/>
        </w:tabs>
        <w:spacing w:before="240" w:after="240"/>
        <w:ind w:left="1080" w:right="634" w:hanging="1080"/>
        <w:outlineLvl w:val="2"/>
        <w:rPr>
          <w:b/>
        </w:rPr>
      </w:pPr>
      <w:r>
        <w:rPr>
          <w:b/>
        </w:rPr>
        <w:t>4.1.10</w:t>
      </w:r>
      <w:r>
        <w:rPr>
          <w:b/>
        </w:rPr>
        <w:tab/>
      </w:r>
      <w:r w:rsidRPr="00EB0FB5">
        <w:rPr>
          <w:b/>
        </w:rPr>
        <w:t>Supplier Aggregations</w:t>
      </w:r>
    </w:p>
    <w:p w:rsidR="00EB0FB5" w:rsidRDefault="009A3956" w:rsidP="00C83761">
      <w:pPr>
        <w:pStyle w:val="Bodypara"/>
      </w:pPr>
      <w:r>
        <w:t xml:space="preserve">Suppliers may </w:t>
      </w:r>
      <w:r>
        <w:t>aggregate individual Resources electrically located in the NYCA to provide Energy, Capacity and Ancillary Services.  Demand Side Resources participating in the Emergency Demand Response Program and Aggregations of Special Case Resources shall follow the ru</w:t>
      </w:r>
      <w:r>
        <w:t>les set forth in Services Tariff Sections 22 (Att. G) and 5.12.11, respectively.  Each Aggregation shall be offered as a single unit and all bidding and offer obligations under the ISO Tariffs apply to the Aggregation, or to the Aggregator, where appropria</w:t>
      </w:r>
      <w:r>
        <w:t>te, not to the individual Resources that comprise the Aggregation.  An Aggregation that offers a combination of Energy injections, Energy withdrawals and/or Demand Reduction must be able to offer at least 100 kW of each.</w:t>
      </w:r>
    </w:p>
    <w:p w:rsidR="00EB0FB5" w:rsidRDefault="009A3956" w:rsidP="00EB0FB5">
      <w:pPr>
        <w:pStyle w:val="Bodypara"/>
        <w:rPr>
          <w:ins w:id="17" w:author="Campbell, Greg J." w:date="2022-12-01T15:57:00Z"/>
        </w:rPr>
      </w:pPr>
      <w:r>
        <w:t>Each Aggregation must meet the mini</w:t>
      </w:r>
      <w:r>
        <w:t xml:space="preserve">mum eligibility and performance requirements to participate in the ISO Administered Markets.  Unless otherwise noted, Resources within an Aggregation are not individually required to meet the minimum eligibility and performance requirements to participate </w:t>
      </w:r>
      <w:r>
        <w:t>in the ISO Administered Markets.  Generators with PURPA contracts, Limited Control Run of River Resources, Behind-the-Meter Net Generation Resources, Municipally-owned Generation, System Resources and Control Area System Resources are ineligible to partici</w:t>
      </w:r>
      <w:r>
        <w:t>pate in an Aggregation.  One Aggregation cannot participate in another Aggregation, however, the individual Resources within an Aggregation may switch to a new Aggregation in accordance with Services Tariff Section 4.1.10.3.</w:t>
      </w:r>
    </w:p>
    <w:p w:rsidR="00C83761" w:rsidRPr="002B6EAC" w:rsidRDefault="009A3956" w:rsidP="00EB0FB5">
      <w:pPr>
        <w:pStyle w:val="Bodypara"/>
        <w:rPr>
          <w:ins w:id="18" w:author="Campbell, Greg J." w:date="2022-12-05T08:56:00Z"/>
        </w:rPr>
      </w:pPr>
      <w:ins w:id="19" w:author="Campbell, Greg J." w:date="2022-12-01T15:58:00Z">
        <w:r w:rsidRPr="002B6EAC">
          <w:t xml:space="preserve">A </w:t>
        </w:r>
      </w:ins>
      <w:ins w:id="20" w:author="Campbell, Greg J." w:date="2023-02-07T13:13:00Z">
        <w:r>
          <w:t>d</w:t>
        </w:r>
      </w:ins>
      <w:ins w:id="21" w:author="Campbell, Greg J." w:date="2022-12-01T15:58:00Z">
        <w:r w:rsidRPr="002B6EAC">
          <w:t xml:space="preserve">istribution </w:t>
        </w:r>
      </w:ins>
      <w:ins w:id="22" w:author="Campbell, Greg J." w:date="2023-02-07T13:13:00Z">
        <w:r>
          <w:t>u</w:t>
        </w:r>
      </w:ins>
      <w:ins w:id="23" w:author="Campbell, Greg J." w:date="2022-12-01T15:58:00Z">
        <w:r w:rsidRPr="002B6EAC">
          <w:t>tility shall ha</w:t>
        </w:r>
        <w:r w:rsidRPr="002B6EAC">
          <w:t>ve the opportunity to review the reliability and safety impacts of each Distributed Energy Resource or group of Distributed Energy Resources that are connected to</w:t>
        </w:r>
        <w:r w:rsidRPr="009B2484">
          <w:t xml:space="preserve"> </w:t>
        </w:r>
        <w:r w:rsidRPr="002B6EAC">
          <w:t xml:space="preserve">the </w:t>
        </w:r>
      </w:ins>
      <w:ins w:id="24" w:author="Campbell, Greg J." w:date="2023-02-07T13:13:00Z">
        <w:r>
          <w:t>d</w:t>
        </w:r>
      </w:ins>
      <w:ins w:id="25" w:author="Campbell, Greg J." w:date="2022-12-01T15:58:00Z">
        <w:r w:rsidRPr="002B6EAC">
          <w:t xml:space="preserve">istribution </w:t>
        </w:r>
      </w:ins>
      <w:ins w:id="26" w:author="Campbell, Greg J." w:date="2023-02-07T13:13:00Z">
        <w:r>
          <w:t>u</w:t>
        </w:r>
      </w:ins>
      <w:ins w:id="27" w:author="Campbell, Greg J." w:date="2022-12-01T15:58:00Z">
        <w:r w:rsidRPr="002B6EAC">
          <w:t>tility’s electric facilities.  Such review shall take place prior to each D</w:t>
        </w:r>
        <w:r w:rsidRPr="002B6EAC">
          <w:t xml:space="preserve">istributed Energy Resource’s enrollment in the ISO Administered Markets, and whenever there is a </w:t>
        </w:r>
      </w:ins>
      <w:ins w:id="28" w:author="Campbell, Greg J." w:date="2022-12-14T14:21:00Z">
        <w:r w:rsidRPr="002B6EAC">
          <w:t xml:space="preserve">material </w:t>
        </w:r>
      </w:ins>
      <w:ins w:id="29" w:author="Campbell, Greg J." w:date="2022-12-01T15:58:00Z">
        <w:r w:rsidRPr="002B6EAC">
          <w:t>modification to a Distributed Energy Resource</w:t>
        </w:r>
      </w:ins>
      <w:ins w:id="30" w:author="Campbell, Greg J." w:date="2022-12-14T14:21:00Z">
        <w:r w:rsidRPr="002B6EAC">
          <w:t xml:space="preserve"> that changes its physical or operational characteristics</w:t>
        </w:r>
      </w:ins>
      <w:ins w:id="31" w:author="Campbell, Greg J." w:date="2022-12-14T14:22:00Z">
        <w:r w:rsidRPr="002B6EAC">
          <w:t xml:space="preserve"> that were previously evaluated by the applicabl</w:t>
        </w:r>
        <w:r w:rsidRPr="002B6EAC">
          <w:t>e distribution utility</w:t>
        </w:r>
      </w:ins>
      <w:ins w:id="32" w:author="Campbell, Greg J." w:date="2022-12-01T15:58:00Z">
        <w:r w:rsidRPr="002B6EAC">
          <w:t xml:space="preserve">.  The ISO shall collect applicable physical and operational information for each Distributed Energy Resource and provide that information to the applicable </w:t>
        </w:r>
      </w:ins>
      <w:ins w:id="33" w:author="Campbell, Greg J." w:date="2023-02-07T13:14:00Z">
        <w:r>
          <w:t>d</w:t>
        </w:r>
      </w:ins>
      <w:ins w:id="34" w:author="Campbell, Greg J." w:date="2022-12-01T15:58:00Z">
        <w:r w:rsidRPr="002B6EAC">
          <w:t xml:space="preserve">istribution </w:t>
        </w:r>
      </w:ins>
      <w:ins w:id="35" w:author="Campbell, Greg J." w:date="2023-02-07T13:14:00Z">
        <w:r>
          <w:t>u</w:t>
        </w:r>
      </w:ins>
      <w:ins w:id="36" w:author="Campbell, Greg J." w:date="2022-12-01T15:58:00Z">
        <w:r w:rsidRPr="002B6EAC">
          <w:t xml:space="preserve">tility.  </w:t>
        </w:r>
        <w:r w:rsidRPr="00B605A7">
          <w:t>A</w:t>
        </w:r>
      </w:ins>
      <w:ins w:id="37" w:author="Campbell, Greg J." w:date="2023-02-06T07:07:00Z">
        <w:r w:rsidRPr="00B605A7">
          <w:t>n Aggregator is required to provide the</w:t>
        </w:r>
      </w:ins>
      <w:ins w:id="38" w:author="Campbell, Greg J." w:date="2022-12-01T15:58:00Z">
        <w:r w:rsidRPr="002B6EAC">
          <w:t xml:space="preserve"> physical and operational </w:t>
        </w:r>
      </w:ins>
      <w:ins w:id="39" w:author="Campbell, Greg J." w:date="2023-02-06T07:07:00Z">
        <w:r w:rsidRPr="00B605A7">
          <w:t>characteristics</w:t>
        </w:r>
        <w:r>
          <w:t xml:space="preserve"> </w:t>
        </w:r>
        <w:r w:rsidRPr="00B605A7">
          <w:t>identified</w:t>
        </w:r>
      </w:ins>
      <w:ins w:id="40" w:author="Campbell, Greg J." w:date="2022-12-01T15:58:00Z">
        <w:r w:rsidRPr="002B6EAC">
          <w:t xml:space="preserve"> in the Aggregation System User Guide</w:t>
        </w:r>
      </w:ins>
      <w:ins w:id="41" w:author="Campbell, Greg J." w:date="2023-02-06T07:07:00Z">
        <w:r>
          <w:t xml:space="preserve"> </w:t>
        </w:r>
        <w:r w:rsidRPr="00B605A7">
          <w:t>for each Distributed Energy Resource</w:t>
        </w:r>
      </w:ins>
      <w:ins w:id="42" w:author="Campbell, Greg J." w:date="2022-12-01T15:58:00Z">
        <w:r w:rsidRPr="002B6EAC">
          <w:t>.</w:t>
        </w:r>
      </w:ins>
    </w:p>
    <w:p w:rsidR="00516E5C" w:rsidRPr="0060035D" w:rsidRDefault="009A3956" w:rsidP="00EB0FB5">
      <w:pPr>
        <w:pStyle w:val="Bodypara"/>
        <w:rPr>
          <w:ins w:id="43" w:author="Campbell, Greg J." w:date="2022-12-05T08:58:00Z"/>
          <w:highlight w:val="green"/>
        </w:rPr>
      </w:pPr>
      <w:ins w:id="44" w:author="Campbell, Greg J." w:date="2022-12-14T15:58:00Z">
        <w:r w:rsidRPr="002B6EAC">
          <w:t xml:space="preserve">The ISO may fully or partially derate </w:t>
        </w:r>
      </w:ins>
      <w:ins w:id="45" w:author="Campbell, Greg J." w:date="2022-12-14T15:59:00Z">
        <w:r w:rsidRPr="002B6EAC">
          <w:t>a</w:t>
        </w:r>
      </w:ins>
      <w:ins w:id="46" w:author="Campbell, Greg J." w:date="2022-12-05T08:56:00Z">
        <w:r w:rsidRPr="002B6EAC">
          <w:t xml:space="preserve">n individual Resource and/or an Aggregation </w:t>
        </w:r>
      </w:ins>
      <w:ins w:id="47" w:author="Campbell, Greg J." w:date="2022-12-14T15:59:00Z">
        <w:r w:rsidRPr="002B6EAC">
          <w:t xml:space="preserve">if </w:t>
        </w:r>
      </w:ins>
      <w:ins w:id="48" w:author="Campbell, Greg J." w:date="2022-12-14T16:00:00Z">
        <w:r w:rsidRPr="002B6EAC">
          <w:t xml:space="preserve">the </w:t>
        </w:r>
      </w:ins>
      <w:ins w:id="49" w:author="Campbell, Greg J." w:date="2022-12-14T15:52:00Z">
        <w:r w:rsidRPr="002B6EAC">
          <w:t>ISO or</w:t>
        </w:r>
      </w:ins>
      <w:ins w:id="50" w:author="Campbell, Greg J." w:date="2022-12-14T16:00:00Z">
        <w:r w:rsidRPr="002B6EAC">
          <w:t xml:space="preserve"> applicable</w:t>
        </w:r>
      </w:ins>
      <w:ins w:id="51" w:author="Campbell, Greg J." w:date="2022-12-14T15:52:00Z">
        <w:r w:rsidRPr="002B6EAC">
          <w:t xml:space="preserve"> </w:t>
        </w:r>
      </w:ins>
      <w:ins w:id="52" w:author="Campbell, Greg J." w:date="2022-12-05T08:56:00Z">
        <w:r w:rsidRPr="002B6EAC">
          <w:t>distribution utility</w:t>
        </w:r>
        <w:r w:rsidRPr="002B6EAC">
          <w:t xml:space="preserve"> determines that a Distributed Energy Resource or group of Distributed Energy Resources pr</w:t>
        </w:r>
      </w:ins>
      <w:ins w:id="53" w:author="Campbell, Greg J." w:date="2022-12-05T08:57:00Z">
        <w:r w:rsidRPr="002B6EAC">
          <w:t xml:space="preserve">esents significant risk(s) to the safe and reliable operation of the Transmission System or distribution system.  </w:t>
        </w:r>
      </w:ins>
      <w:ins w:id="54" w:author="Campbell, Greg J." w:date="2022-12-14T15:56:00Z">
        <w:r w:rsidRPr="002B6EAC">
          <w:t>The Distributed Energy Resource or group of Distribu</w:t>
        </w:r>
        <w:r w:rsidRPr="002B6EAC">
          <w:t xml:space="preserve">ted Energy Resources will </w:t>
        </w:r>
      </w:ins>
      <w:ins w:id="55" w:author="Campbell, Greg J." w:date="2022-12-14T15:57:00Z">
        <w:r w:rsidRPr="002B6EAC">
          <w:t xml:space="preserve">not be permitted to </w:t>
        </w:r>
      </w:ins>
      <w:ins w:id="56" w:author="Campbell, Greg J." w:date="2022-12-14T16:05:00Z">
        <w:r w:rsidRPr="002B6EAC">
          <w:t>resume operation</w:t>
        </w:r>
      </w:ins>
      <w:ins w:id="57" w:author="Campbell, Greg J." w:date="2022-12-14T15:57:00Z">
        <w:r w:rsidRPr="002B6EAC">
          <w:t xml:space="preserve"> until </w:t>
        </w:r>
      </w:ins>
      <w:ins w:id="58" w:author="Campbell, Greg J." w:date="2022-12-14T15:55:00Z">
        <w:r w:rsidRPr="002B6EAC">
          <w:t>t</w:t>
        </w:r>
      </w:ins>
      <w:ins w:id="59" w:author="Campbell, Greg J." w:date="2022-12-14T15:52:00Z">
        <w:r w:rsidRPr="002B6EAC">
          <w:t>he ISO</w:t>
        </w:r>
      </w:ins>
      <w:ins w:id="60" w:author="Campbell, Greg J." w:date="2022-12-14T15:53:00Z">
        <w:r w:rsidRPr="002B6EAC">
          <w:t>, distribution utility, and Aggregat</w:t>
        </w:r>
      </w:ins>
      <w:ins w:id="61" w:author="Campbell, Greg J." w:date="2022-12-14T15:54:00Z">
        <w:r w:rsidRPr="002B6EAC">
          <w:t xml:space="preserve">or </w:t>
        </w:r>
      </w:ins>
      <w:ins w:id="62" w:author="Campbell, Greg J." w:date="2022-12-14T15:55:00Z">
        <w:r w:rsidRPr="002B6EAC">
          <w:t xml:space="preserve">are able to resolve the </w:t>
        </w:r>
      </w:ins>
      <w:ins w:id="63" w:author="Campbell, Greg J." w:date="2022-12-14T15:56:00Z">
        <w:r w:rsidRPr="002B6EAC">
          <w:t xml:space="preserve">identified </w:t>
        </w:r>
      </w:ins>
      <w:ins w:id="64" w:author="Campbell, Greg J." w:date="2022-12-14T15:57:00Z">
        <w:r w:rsidRPr="002B6EAC">
          <w:t>concerns.</w:t>
        </w:r>
      </w:ins>
      <w:ins w:id="65" w:author="Campbell, Greg J." w:date="2022-12-14T15:56:00Z">
        <w:r w:rsidRPr="002B6EAC">
          <w:t xml:space="preserve"> </w:t>
        </w:r>
      </w:ins>
      <w:ins w:id="66" w:author="Campbell, Greg J." w:date="2022-12-05T08:57:00Z">
        <w:r w:rsidRPr="002B6EAC">
          <w:t xml:space="preserve">If an individual Resource and/or </w:t>
        </w:r>
      </w:ins>
      <w:ins w:id="67" w:author="Campbell, Greg J." w:date="2022-12-14T16:01:00Z">
        <w:r w:rsidRPr="002B6EAC">
          <w:t xml:space="preserve">group of Resources </w:t>
        </w:r>
      </w:ins>
      <w:ins w:id="68" w:author="Campbell, Greg J." w:date="2022-12-05T08:57:00Z">
        <w:r w:rsidRPr="002B6EAC">
          <w:t xml:space="preserve">is </w:t>
        </w:r>
      </w:ins>
      <w:ins w:id="69" w:author="Campbell, Greg J." w:date="2022-12-14T16:02:00Z">
        <w:r w:rsidRPr="002B6EAC">
          <w:t>derated</w:t>
        </w:r>
      </w:ins>
      <w:ins w:id="70" w:author="Campbell, Greg J." w:date="2022-12-05T08:57:00Z">
        <w:r w:rsidRPr="002B6EAC">
          <w:t xml:space="preserve">, the ISO shall notify the </w:t>
        </w:r>
        <w:r w:rsidRPr="002B6EAC">
          <w:t>applicable Aggregator as soon as prac</w:t>
        </w:r>
      </w:ins>
      <w:ins w:id="71" w:author="Campbell, Greg J." w:date="2022-12-05T08:58:00Z">
        <w:r w:rsidRPr="002B6EAC">
          <w:t xml:space="preserve">ticable of the </w:t>
        </w:r>
      </w:ins>
      <w:ins w:id="72" w:author="Campbell, Greg J." w:date="2022-12-14T16:02:00Z">
        <w:r w:rsidRPr="002B6EAC">
          <w:t xml:space="preserve">derate </w:t>
        </w:r>
      </w:ins>
      <w:ins w:id="73" w:author="Campbell, Greg J." w:date="2022-12-05T08:58:00Z">
        <w:r w:rsidRPr="002B6EAC">
          <w:t xml:space="preserve">and reason for </w:t>
        </w:r>
      </w:ins>
      <w:ins w:id="74" w:author="Campbell, Greg J." w:date="2022-12-14T16:02:00Z">
        <w:r w:rsidRPr="002B6EAC">
          <w:t>derate</w:t>
        </w:r>
      </w:ins>
      <w:ins w:id="75" w:author="Campbell, Greg J." w:date="2022-12-05T08:58:00Z">
        <w:r w:rsidRPr="002B6EAC">
          <w:t>.</w:t>
        </w:r>
      </w:ins>
      <w:ins w:id="76" w:author="Campbell, Greg J." w:date="2023-01-18T15:19:00Z">
        <w:r w:rsidRPr="002B6EAC">
          <w:t xml:space="preserve">  </w:t>
        </w:r>
        <w:r w:rsidRPr="00131637">
          <w:t>Additional detail</w:t>
        </w:r>
      </w:ins>
      <w:ins w:id="77" w:author="Campbell, Greg J." w:date="2023-01-18T15:20:00Z">
        <w:r w:rsidRPr="00131637">
          <w:t xml:space="preserve"> related to notification</w:t>
        </w:r>
      </w:ins>
      <w:ins w:id="78" w:author="Campbell, Greg J." w:date="2023-01-18T15:23:00Z">
        <w:r>
          <w:t xml:space="preserve"> and</w:t>
        </w:r>
      </w:ins>
      <w:ins w:id="79" w:author="Campbell, Greg J." w:date="2023-01-18T15:20:00Z">
        <w:r w:rsidRPr="00131637">
          <w:t xml:space="preserve"> timing</w:t>
        </w:r>
      </w:ins>
      <w:ins w:id="80" w:author="Campbell, Greg J." w:date="2023-01-18T15:23:00Z">
        <w:r>
          <w:t xml:space="preserve"> </w:t>
        </w:r>
      </w:ins>
      <w:ins w:id="81" w:author="Campbell, Greg J." w:date="2023-01-18T15:24:00Z">
        <w:r>
          <w:t>of derates</w:t>
        </w:r>
      </w:ins>
      <w:ins w:id="82" w:author="Campbell, Greg J." w:date="2023-01-18T15:25:00Z">
        <w:r>
          <w:t xml:space="preserve"> </w:t>
        </w:r>
      </w:ins>
      <w:ins w:id="83" w:author="Campbell, Greg J." w:date="2023-01-18T15:26:00Z">
        <w:r>
          <w:t>is included in the ISO’s Aggregation Manual.</w:t>
        </w:r>
      </w:ins>
    </w:p>
    <w:p w:rsidR="00516E5C" w:rsidRDefault="009A3956" w:rsidP="00EB0FB5">
      <w:pPr>
        <w:pStyle w:val="Bodypara"/>
      </w:pPr>
      <w:ins w:id="84" w:author="Campbell, Greg J." w:date="2022-12-05T08:58:00Z">
        <w:r w:rsidRPr="002B6EAC">
          <w:t>An Aggregator may remove an individual Resource and/or Aggregation from the ISO Administered Markets upon thirty (30) days’ notice to the ISO, and such removal will become effective at the beginning of a calendar month.</w:t>
        </w:r>
      </w:ins>
    </w:p>
    <w:p w:rsidR="00EB0FB5" w:rsidRDefault="009A3956" w:rsidP="00C83761">
      <w:pPr>
        <w:pStyle w:val="subhead"/>
      </w:pPr>
      <w:r>
        <w:t>4.1.10.1</w:t>
      </w:r>
      <w:r>
        <w:tab/>
        <w:t>Aggregation Composition</w:t>
      </w:r>
    </w:p>
    <w:p w:rsidR="00FA7A26" w:rsidRDefault="009A3956" w:rsidP="00C83761">
      <w:pPr>
        <w:pStyle w:val="Bodypara"/>
        <w:rPr>
          <w:ins w:id="85" w:author="Campbell, Greg J." w:date="2023-02-01T08:57:00Z"/>
        </w:rPr>
      </w:pPr>
      <w:r>
        <w:t>Agg</w:t>
      </w:r>
      <w:r>
        <w:t xml:space="preserve">regations must contain at least two Resources, except that a single Demand Side Resource may participate as a single-Resource Aggregation. </w:t>
      </w:r>
    </w:p>
    <w:p w:rsidR="00FA7A26" w:rsidRDefault="009A3956" w:rsidP="00FA7A26">
      <w:pPr>
        <w:pStyle w:val="Bodypara"/>
        <w:rPr>
          <w:ins w:id="86" w:author="Campbell, Greg J." w:date="2023-02-01T08:57:00Z"/>
        </w:rPr>
      </w:pPr>
      <w:ins w:id="87" w:author="Campbell, Greg J." w:date="2023-02-01T08:57:00Z">
        <w:r>
          <w:t>The minimum capability of each individual Resource participating in an Aggregation shall be 10 kW.  For the purposes</w:t>
        </w:r>
        <w:r>
          <w:t xml:space="preserve"> of this Services Tariff Section 4.1.10.1, (i) the capability of a Demand Side Resource is the Resource’s enrolled one-hour Demand Reduction capability, and (ii) the capability of a Generator is its nameplate </w:t>
        </w:r>
      </w:ins>
      <w:ins w:id="88" w:author="Campbell, Greg J." w:date="2023-02-06T06:33:00Z">
        <w:r w:rsidRPr="00B605A7">
          <w:t>rating</w:t>
        </w:r>
      </w:ins>
      <w:ins w:id="89" w:author="Campbell, Greg J." w:date="2023-02-01T08:57:00Z">
        <w:r>
          <w:t xml:space="preserve">.    </w:t>
        </w:r>
      </w:ins>
    </w:p>
    <w:p w:rsidR="00EB0FB5" w:rsidRDefault="009A3956" w:rsidP="00C83761">
      <w:pPr>
        <w:pStyle w:val="Bodypara"/>
      </w:pPr>
      <w:r>
        <w:t>The maximum physical injection capa</w:t>
      </w:r>
      <w:r>
        <w:t>bility for a Resource participating in an Aggregation is 20 MW.  Resources with a nameplate capability greater than 20 MW may participate in an Aggregation if the ISO determines sufficient physical protection and control schemes exist to limit the injectio</w:t>
      </w:r>
      <w:r>
        <w:t xml:space="preserve">n capability of the Resource to 20 MW or less.  There is no maximum Demand Reduction capability for Demand Side Resources participating in an Aggregation.  </w:t>
      </w:r>
    </w:p>
    <w:p w:rsidR="00EB0FB5" w:rsidRDefault="009A3956" w:rsidP="00C83761">
      <w:pPr>
        <w:pStyle w:val="Bodypara"/>
      </w:pPr>
      <w:r>
        <w:t>Aggregations may be comprised of a single Resource type or multiple Resource types.  Except as othe</w:t>
      </w:r>
      <w:r>
        <w:t>rwise provided in the ISO Tariffs and the ISO Procedures, Aggregations that are comprised of a single Resource type shall follow the rules associated with that Resource type (</w:t>
      </w:r>
      <w:r>
        <w:rPr>
          <w:i/>
        </w:rPr>
        <w:t>e.g.,</w:t>
      </w:r>
      <w:r>
        <w:t xml:space="preserve"> an Aggregation of Energy Storage Resources shall follow the rules applicabl</w:t>
      </w:r>
      <w:r>
        <w:t>e to Energy Storage Resources).  Aggregated (i) Intermittent Power Resources, (ii) Energy Limited Resources, (iii) Capacity Limited Resources, or (iv) Limited Energy Storage Resources shall constitute a single Resource type Aggregation only when the indivi</w:t>
      </w:r>
      <w:r>
        <w:t>dual Resources in the Aggregation have the same Intermittent, energy limiting, or capacity limiting characteristic (</w:t>
      </w:r>
      <w:r>
        <w:rPr>
          <w:i/>
        </w:rPr>
        <w:t>e.g.,</w:t>
      </w:r>
      <w:r>
        <w:t xml:space="preserve"> an Aggregation of only solar Resources, or an Aggregation of only pumped storage Resources).  Provided, however, that Aggregations wit</w:t>
      </w:r>
      <w:r>
        <w:t xml:space="preserve">h multiple, different types of Intermittent Power Resources, Energy Limited Resources, Capacity Limited Resources, and Limited Energy Storage Resources shall follow the rules associated with DER Aggregations. </w:t>
      </w:r>
    </w:p>
    <w:p w:rsidR="00EB0FB5" w:rsidRDefault="009A3956" w:rsidP="00C83761">
      <w:pPr>
        <w:pStyle w:val="Bodypara"/>
      </w:pPr>
      <w:r>
        <w:t xml:space="preserve"> Aggregations that are comprised of more than </w:t>
      </w:r>
      <w:r>
        <w:t xml:space="preserve">one Resource type, and Aggregations comprised of only Demand Side Resources shall follow the rules associated with DER Aggregations.  </w:t>
      </w:r>
    </w:p>
    <w:p w:rsidR="00EB0FB5" w:rsidRDefault="009A3956" w:rsidP="00C83761">
      <w:pPr>
        <w:pStyle w:val="Bodypara"/>
        <w:rPr>
          <w:ins w:id="90" w:author="Campbell, Greg J." w:date="2022-12-01T16:06:00Z"/>
        </w:rPr>
      </w:pPr>
      <w:r>
        <w:t>Aggregations that include at least one Withdrawal-Eligible Generator may submit Bids to withdraw Energy.  For the purpose</w:t>
      </w:r>
      <w:r>
        <w:t xml:space="preserve"> of measuring Aggregation compliance with Base Point Signals, Aggregations that include at least one Withdrawal-Eligible Generator will be measured based on their net performance; that is, Energy injections and Demand Reductions will be reduced by Energy w</w:t>
      </w:r>
      <w:r>
        <w:t>ithdrawals.</w:t>
      </w:r>
    </w:p>
    <w:p w:rsidR="00A97EF5" w:rsidRDefault="009A3956" w:rsidP="00C83761">
      <w:pPr>
        <w:pStyle w:val="Bodypara"/>
      </w:pPr>
      <w:ins w:id="91" w:author="Campbell, Greg J." w:date="2022-12-01T16:06:00Z">
        <w:r w:rsidRPr="002B6EAC">
          <w:t>When an Aggregation contains one or more Energy Storage Resources, and the applicable Load Serving Entity requires the Energy Storage Resource to also pay a retail rate for its charging withdrawals, all Energy Storage Resources in the Aggregati</w:t>
        </w:r>
        <w:r w:rsidRPr="002B6EAC">
          <w:t>on shall be customers of the same Load Serving Entity and pay the Load Serving Entity’s applicable retail rate.  An Aggregation that includes one or more Energy Storage Resources that are required to pay a retail rate for its charging withdrawals is subjec</w:t>
        </w:r>
        <w:r w:rsidRPr="002B6EAC">
          <w:t>t to the Services Tariff Section 7.2.8 settlement rules for Energy Storage Resources.</w:t>
        </w:r>
      </w:ins>
    </w:p>
    <w:p w:rsidR="00EB0FB5" w:rsidRDefault="009A3956" w:rsidP="00C83761">
      <w:pPr>
        <w:pStyle w:val="Bodypara"/>
        <w:rPr>
          <w:ins w:id="92" w:author="Campbell, Greg J." w:date="2022-12-05T11:40:00Z"/>
        </w:rPr>
      </w:pPr>
      <w:r>
        <w:t>Aggregators shall not offer any Resource as part of an Aggregation that is participating in the ISO Administered Markets in a different Aggregation or as an individual Re</w:t>
      </w:r>
      <w:r>
        <w:t>source.</w:t>
      </w:r>
    </w:p>
    <w:p w:rsidR="00F1086E" w:rsidRDefault="009A3956" w:rsidP="00C83761">
      <w:pPr>
        <w:pStyle w:val="Bodypara"/>
      </w:pPr>
      <w:ins w:id="93" w:author="Campbell, Greg J." w:date="2022-12-05T11:40:00Z">
        <w:r w:rsidRPr="002B6EAC">
          <w:t xml:space="preserve">Aggregators </w:t>
        </w:r>
      </w:ins>
      <w:ins w:id="94" w:author="Campbell, Greg J." w:date="2022-12-05T11:42:00Z">
        <w:r w:rsidRPr="002B6EAC">
          <w:t xml:space="preserve">shall ensure </w:t>
        </w:r>
      </w:ins>
      <w:ins w:id="95" w:author="Campbell, Greg J." w:date="2022-12-05T11:40:00Z">
        <w:r w:rsidRPr="002B6EAC">
          <w:t xml:space="preserve">that </w:t>
        </w:r>
      </w:ins>
      <w:ins w:id="96" w:author="Campbell, Greg J." w:date="2022-12-05T11:42:00Z">
        <w:r w:rsidRPr="002B6EAC">
          <w:t>Aggregation</w:t>
        </w:r>
      </w:ins>
      <w:ins w:id="97" w:author="Campbell, Greg J." w:date="2022-12-05T11:40:00Z">
        <w:r w:rsidRPr="002B6EAC">
          <w:t xml:space="preserve"> operating parameters </w:t>
        </w:r>
      </w:ins>
      <w:ins w:id="98" w:author="Campbell, Greg J." w:date="2022-12-05T11:42:00Z">
        <w:r w:rsidRPr="002B6EAC">
          <w:t>submitted</w:t>
        </w:r>
      </w:ins>
      <w:ins w:id="99" w:author="Campbell, Greg J." w:date="2022-12-05T11:40:00Z">
        <w:r w:rsidRPr="002B6EAC">
          <w:t xml:space="preserve"> to the ISO are consistent with the </w:t>
        </w:r>
      </w:ins>
      <w:ins w:id="100" w:author="Campbell, Greg J." w:date="2022-12-05T11:47:00Z">
        <w:r w:rsidRPr="002B6EAC">
          <w:t xml:space="preserve">combined operating parameters </w:t>
        </w:r>
      </w:ins>
      <w:ins w:id="101" w:author="Campbell, Greg J." w:date="2022-12-05T11:48:00Z">
        <w:r w:rsidRPr="002B6EAC">
          <w:t>and applicable interconnection agreements of each individual Resource in the Aggregation.</w:t>
        </w:r>
      </w:ins>
    </w:p>
    <w:p w:rsidR="00EB0FB5" w:rsidRDefault="009A3956" w:rsidP="00C83761">
      <w:pPr>
        <w:pStyle w:val="subhead"/>
      </w:pPr>
      <w:r>
        <w:t>4.1.10.2</w:t>
      </w:r>
      <w:r>
        <w:tab/>
        <w:t>Aggregation</w:t>
      </w:r>
      <w:r>
        <w:t xml:space="preserve"> Electrical Location</w:t>
      </w:r>
    </w:p>
    <w:p w:rsidR="00EB0FB5" w:rsidRDefault="009A3956" w:rsidP="00C83761">
      <w:pPr>
        <w:pStyle w:val="Bodypara"/>
      </w:pPr>
      <w:r>
        <w:t>The ISO shall establish a set of Transmission Nodes in the New York Control Area at which individual Resources may aggregate.  Each Transmission Node shall be identified in the ISO Procedures.  The ISO shall consult with the appropriat</w:t>
      </w:r>
      <w:r>
        <w:t xml:space="preserve">e Member System prior to identifying a Transmission Node in accordance with ISO Procedures.  Aggregators shall identify, after consultation with the interconnecting utility, the Transmission Node for each Aggregation.  All Resources in an Aggregation must </w:t>
      </w:r>
      <w:r>
        <w:t xml:space="preserve">be electrically located in the New York Control Area, and electrically connected to the same ISO-identified Transmission Node.  Multiple Aggregators may each enroll one or more Aggregations at a Transmission Node.  </w:t>
      </w:r>
    </w:p>
    <w:p w:rsidR="00EB0FB5" w:rsidRDefault="009A3956" w:rsidP="00C83761">
      <w:pPr>
        <w:pStyle w:val="Bodypara"/>
      </w:pPr>
      <w:r>
        <w:t>The ISO may modify the set of Transmissi</w:t>
      </w:r>
      <w:r>
        <w:t>on Nodes from time to time due to conditions on the New York State Transmission System and the underlying distribution systems changing over time.  The ISO shall also review and update (if needed) the identified Transmission Nodes on an annual basis, and w</w:t>
      </w:r>
      <w:r>
        <w:t>ill post a notice of any changes to the identified Transmission Nodes at least ninety (90) days prior to the beginning of the Capability Year.  Changes to the set of Transmission Nodes shall take effect on the first day of the Capability Year.  Aggregators</w:t>
      </w:r>
      <w:r>
        <w:t xml:space="preserve"> shall certify, in accordance with ISO Procedures, that Aggregations affected by changes to Transmission Nodes meet all requirements of this Section pursuant to ISO Procedures.    </w:t>
      </w:r>
    </w:p>
    <w:p w:rsidR="00EB0FB5" w:rsidRDefault="009A3956" w:rsidP="00C83761">
      <w:pPr>
        <w:pStyle w:val="subhead"/>
      </w:pPr>
      <w:r>
        <w:t>4.1.10.3</w:t>
      </w:r>
      <w:r>
        <w:tab/>
        <w:t xml:space="preserve">Resources </w:t>
      </w:r>
      <w:ins w:id="102" w:author="Campbell, Greg J." w:date="2023-01-12T11:33:00Z">
        <w:r>
          <w:t xml:space="preserve">Entering and </w:t>
        </w:r>
      </w:ins>
      <w:r>
        <w:t>Changing Aggregations</w:t>
      </w:r>
    </w:p>
    <w:p w:rsidR="00EB0FB5" w:rsidRDefault="009A3956" w:rsidP="00C83761">
      <w:pPr>
        <w:pStyle w:val="Bodypara"/>
      </w:pPr>
      <w:r>
        <w:t xml:space="preserve">Subject to the requirement that all of the Resources in an Aggregation must be electrically connected to the same ISO-identified Transmission Node, an individual Resource may </w:t>
      </w:r>
      <w:ins w:id="103" w:author="Campbell, Greg J." w:date="2023-01-12T11:34:00Z">
        <w:r>
          <w:t xml:space="preserve">enter an Aggregation for the first time or </w:t>
        </w:r>
      </w:ins>
      <w:r>
        <w:t>leave its current Aggregation and</w:t>
      </w:r>
      <w:del w:id="104" w:author="Campbell, Greg J." w:date="2023-01-12T11:34:00Z">
        <w:r>
          <w:delText>/or</w:delText>
        </w:r>
      </w:del>
      <w:r>
        <w:t xml:space="preserve"> j</w:t>
      </w:r>
      <w:r>
        <w:t xml:space="preserve">oin a new Aggregation to be effective at the start of a calendar month, but must provide at least thirty (30) calendar days notice of its intent to </w:t>
      </w:r>
      <w:ins w:id="105" w:author="Campbell, Greg J." w:date="2023-01-12T11:33:00Z">
        <w:r>
          <w:t xml:space="preserve">enter or </w:t>
        </w:r>
      </w:ins>
      <w:r>
        <w:t>change Aggregations.  Registration of Resources that leave or join an Aggregation shall be complete</w:t>
      </w:r>
      <w:r>
        <w:t xml:space="preserve">d in accordance with ISO Procedures.  The ISO must approve all Resource registrations before the Resource is allowed to participate in an Aggregation.  </w:t>
      </w:r>
    </w:p>
    <w:p w:rsidR="00EB0FB5" w:rsidRDefault="009A3956" w:rsidP="00C83761">
      <w:pPr>
        <w:pStyle w:val="Bodypara"/>
      </w:pPr>
      <w:r>
        <w:t>Additional rules for Resources changing Aggregations, that participate in the ICAP market are located i</w:t>
      </w:r>
      <w:r>
        <w:t>n Services Tariff Section 5.12.13.1.</w:t>
      </w:r>
    </w:p>
    <w:p w:rsidR="00EB0FB5" w:rsidRDefault="009A3956" w:rsidP="00C83761">
      <w:pPr>
        <w:pStyle w:val="subhead"/>
      </w:pPr>
      <w:r>
        <w:t>4.1.10.4</w:t>
      </w:r>
      <w:r>
        <w:tab/>
        <w:t>Aggregation Metering</w:t>
      </w:r>
    </w:p>
    <w:p w:rsidR="00EB0FB5" w:rsidRDefault="009A3956" w:rsidP="00C83761">
      <w:pPr>
        <w:pStyle w:val="Bodypara"/>
      </w:pPr>
      <w:r>
        <w:t>Each Aggregation must meet the applicable metering standards identified in the ISO’s Tariffs and in ISO Procedures.  Aggregators may choose to have an ISO-authorized Meter Services Entity or the applicable Member System provide Aggregation metering service</w:t>
      </w:r>
      <w:r>
        <w:t xml:space="preserve">s for wholesale market participation.  </w:t>
      </w:r>
      <w:r>
        <w:rPr>
          <w:i/>
        </w:rPr>
        <w:t>See</w:t>
      </w:r>
      <w:r>
        <w:t xml:space="preserve"> Services Tariff § 13.</w:t>
      </w:r>
    </w:p>
    <w:p w:rsidR="00EB0FB5" w:rsidRDefault="009A3956" w:rsidP="00C83761">
      <w:pPr>
        <w:pStyle w:val="Bodypara"/>
      </w:pPr>
      <w:r>
        <w:t xml:space="preserve">Real-time telemetry data and revenue-quality meter data shall be submitted for each Aggregation.  Real-time telemetry for DER Aggregations shall consist </w:t>
      </w:r>
      <w:r w:rsidRPr="009B2484">
        <w:t xml:space="preserve">of </w:t>
      </w:r>
      <w:del w:id="106" w:author="Campbell, Greg J." w:date="2022-12-01T16:00:00Z">
        <w:r w:rsidRPr="009B2484">
          <w:delText xml:space="preserve">three </w:delText>
        </w:r>
      </w:del>
      <w:ins w:id="107" w:author="Campbell, Greg J." w:date="2022-12-01T16:00:00Z">
        <w:r w:rsidRPr="009B2484">
          <w:t xml:space="preserve">four </w:t>
        </w:r>
      </w:ins>
      <w:r w:rsidRPr="009B2484">
        <w:t xml:space="preserve">parts:  (i) </w:t>
      </w:r>
      <w:del w:id="108" w:author="Campbell, Greg J." w:date="2022-12-01T16:00:00Z">
        <w:r w:rsidRPr="009B2484">
          <w:delText xml:space="preserve">the net of </w:delText>
        </w:r>
      </w:del>
      <w:r w:rsidRPr="009B2484">
        <w:t>E</w:t>
      </w:r>
      <w:r w:rsidRPr="009B2484">
        <w:t>nergy injections</w:t>
      </w:r>
      <w:ins w:id="109" w:author="Campbell, Greg J." w:date="2022-12-01T16:00:00Z">
        <w:r w:rsidRPr="002B6EAC">
          <w:t xml:space="preserve">, (ii) </w:t>
        </w:r>
      </w:ins>
      <w:del w:id="110" w:author="Campbell, Greg J." w:date="2022-12-01T16:00:00Z">
        <w:r w:rsidRPr="002B6EAC">
          <w:delText xml:space="preserve"> and</w:delText>
        </w:r>
        <w:r w:rsidRPr="009B2484">
          <w:delText xml:space="preserve"> </w:delText>
        </w:r>
      </w:del>
      <w:r w:rsidRPr="009B2484">
        <w:t>Energy withdrawals by Withdrawal Eligible Generators, (ii</w:t>
      </w:r>
      <w:ins w:id="111" w:author="Campbell, Greg J." w:date="2022-12-01T16:01:00Z">
        <w:r w:rsidRPr="002B6EAC">
          <w:t>i</w:t>
        </w:r>
      </w:ins>
      <w:r w:rsidRPr="009B2484">
        <w:t>) Demand Reductions</w:t>
      </w:r>
      <w:ins w:id="112" w:author="Campbell, Greg J." w:date="2022-12-01T16:01:00Z">
        <w:r w:rsidRPr="002B6EAC">
          <w:t>,</w:t>
        </w:r>
      </w:ins>
      <w:del w:id="113" w:author="Campbell, Greg J." w:date="2022-12-01T16:01:00Z">
        <w:r w:rsidRPr="002B6EAC">
          <w:delText>;</w:delText>
        </w:r>
      </w:del>
      <w:r w:rsidRPr="009B2484">
        <w:t xml:space="preserve"> and (</w:t>
      </w:r>
      <w:del w:id="114" w:author="Campbell, Greg J." w:date="2022-12-01T16:01:00Z">
        <w:r w:rsidRPr="009B2484">
          <w:delText>iii</w:delText>
        </w:r>
      </w:del>
      <w:ins w:id="115" w:author="Campbell, Greg J." w:date="2022-12-01T16:01:00Z">
        <w:r w:rsidRPr="009B2484">
          <w:t>iv</w:t>
        </w:r>
      </w:ins>
      <w:r w:rsidRPr="009B2484">
        <w:t xml:space="preserve">) the sum of </w:t>
      </w:r>
      <w:del w:id="116" w:author="Campbell, Greg J." w:date="2022-12-01T16:01:00Z">
        <w:r w:rsidRPr="009B2484">
          <w:delText xml:space="preserve">both </w:delText>
        </w:r>
      </w:del>
      <w:r w:rsidRPr="009B2484">
        <w:t>(i)</w:t>
      </w:r>
      <w:ins w:id="117" w:author="Campbell, Greg J." w:date="2022-12-01T16:01:00Z">
        <w:r w:rsidRPr="002B6EAC">
          <w:t>, (ii)</w:t>
        </w:r>
      </w:ins>
      <w:r w:rsidRPr="009B2484">
        <w:t xml:space="preserve"> and (ii</w:t>
      </w:r>
      <w:ins w:id="118" w:author="Campbell, Greg J." w:date="2022-12-01T16:01:00Z">
        <w:r w:rsidRPr="002B6EAC">
          <w:t>i</w:t>
        </w:r>
      </w:ins>
      <w:r w:rsidRPr="009B2484">
        <w:t>).  Revenue-quality meter data for</w:t>
      </w:r>
      <w:r>
        <w:t xml:space="preserve"> each DER Aggregation shall consist of three parts:  (i) Energy inje</w:t>
      </w:r>
      <w:r>
        <w:t>ctions; (ii) Energy withdrawals by Withdrawal-Eligible Generators; and (iii) Demand Reductions.  Aggregations of other Resource types shall submit meter data in accordance with Services Tariff Section 13 and the ISO Procedures.</w:t>
      </w:r>
    </w:p>
    <w:p w:rsidR="00EB0FB5" w:rsidRDefault="009A3956" w:rsidP="00C83761">
      <w:pPr>
        <w:pStyle w:val="subhead"/>
      </w:pPr>
      <w:r>
        <w:t>4.1.10.5</w:t>
      </w:r>
      <w:r>
        <w:tab/>
        <w:t>Qualification Requi</w:t>
      </w:r>
      <w:r>
        <w:t>rements for Aggregators</w:t>
      </w:r>
    </w:p>
    <w:p w:rsidR="00FA1474" w:rsidRDefault="009A3956" w:rsidP="00C83761">
      <w:pPr>
        <w:pStyle w:val="Bodypara"/>
        <w:rPr>
          <w:b/>
        </w:rPr>
      </w:pPr>
      <w:r>
        <w:t xml:space="preserve">Aggregators must be Customers.  Aggregators must (i) comply with the registration requirements set forth in </w:t>
      </w:r>
      <w:r w:rsidRPr="00C83761">
        <w:t>Services Tariff Section 9, and</w:t>
      </w:r>
      <w:r>
        <w:t xml:space="preserve"> the ISO Procedures; (ii) designate one or more contact persons to receive ISO communications; and (iii) comply with the metering requirements set forth in Services Tariff Section 13 and the associated ISO Procedures. </w:t>
      </w:r>
      <w:r>
        <w:rPr>
          <w:b/>
        </w:rPr>
        <w:t xml:space="preserve">  </w:t>
      </w:r>
    </w:p>
    <w:p w:rsidR="00FA1474" w:rsidRDefault="009A3956">
      <w:pPr>
        <w:keepNext/>
        <w:keepLines/>
        <w:tabs>
          <w:tab w:val="left" w:pos="1080"/>
        </w:tabs>
        <w:spacing w:before="240" w:after="240"/>
        <w:ind w:left="1080" w:right="634" w:hanging="1080"/>
        <w:outlineLvl w:val="2"/>
        <w:rPr>
          <w:b/>
        </w:rPr>
      </w:pPr>
      <w:r>
        <w:rPr>
          <w:b/>
        </w:rPr>
        <w:t>4.1.11</w:t>
      </w:r>
      <w:r>
        <w:rPr>
          <w:b/>
        </w:rPr>
        <w:tab/>
        <w:t xml:space="preserve">Dual Participation </w:t>
      </w:r>
    </w:p>
    <w:p w:rsidR="00FA1474" w:rsidRDefault="009A3956">
      <w:pPr>
        <w:widowControl/>
        <w:spacing w:line="480" w:lineRule="auto"/>
        <w:ind w:firstLine="720"/>
      </w:pPr>
      <w:r>
        <w:t>Effectiv</w:t>
      </w:r>
      <w:r>
        <w:t>e May 1, 2020, Generators</w:t>
      </w:r>
      <w:r>
        <w:t>,</w:t>
      </w:r>
      <w:r>
        <w:t xml:space="preserve"> Demand Side Resources</w:t>
      </w:r>
      <w:r>
        <w:t>, and Distributed Energy Resources</w:t>
      </w:r>
      <w:r>
        <w:t xml:space="preserve"> electrically located in the NYCA may simultaneously participate in the ISO-administered wholesale markets and in programs or markets operated to meet the needs of distributi</w:t>
      </w:r>
      <w:r>
        <w:t>on systems located in the NYCA.  Generators, Demand Side Resources</w:t>
      </w:r>
      <w:r>
        <w:t>, and Distributed Energy Resources</w:t>
      </w:r>
      <w:r>
        <w:t xml:space="preserve"> engaged in dual participation must meet all applicable rules and obligations set forth in the ISO Tariffs.  </w:t>
      </w:r>
    </w:p>
    <w:p w:rsidR="00FA1474" w:rsidRDefault="009A3956">
      <w:pPr>
        <w:widowControl/>
        <w:spacing w:line="480" w:lineRule="auto"/>
        <w:ind w:firstLine="720"/>
      </w:pPr>
      <w:r>
        <w:t>Generators, Demand Side Resources</w:t>
      </w:r>
      <w:r>
        <w:t>, and Distrib</w:t>
      </w:r>
      <w:r>
        <w:t>uted Energy Resources</w:t>
      </w:r>
      <w:r>
        <w:t xml:space="preserve"> operating to meet an obligation outside of the ISO-administered wholesale markets must Bid in a manner that ensures they will be dispatched by the ISO for the market intervals consistent with the manner in which the Resource operates </w:t>
      </w:r>
      <w:r>
        <w:t>to meet such obligation(s).  The ISO and Transmission Owners shall coordinate scheduling and dispatch for all Generators, Demand Side Resources</w:t>
      </w:r>
      <w:r>
        <w:t>, and Distributed Energy Resources</w:t>
      </w:r>
      <w:r>
        <w:t xml:space="preserve"> engaged in Dual Participation in accordance with ISO Procedures.  The ISO has </w:t>
      </w:r>
      <w:r>
        <w:t>the authority to determine schedules for these resources.</w:t>
      </w:r>
    </w:p>
    <w:p w:rsidR="00FA1474" w:rsidRDefault="009A3956">
      <w:pPr>
        <w:pStyle w:val="Bodypara"/>
        <w:ind w:firstLine="0"/>
      </w:pPr>
    </w:p>
    <w:sectPr w:rsidR="00FA147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A3956">
      <w:r>
        <w:separator/>
      </w:r>
    </w:p>
  </w:endnote>
  <w:endnote w:type="continuationSeparator" w:id="0">
    <w:p w:rsidR="00000000" w:rsidRDefault="009A3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3F5" w:rsidRDefault="009A3956">
    <w:pPr>
      <w:jc w:val="right"/>
    </w:pPr>
    <w:r>
      <w:rPr>
        <w:rFonts w:ascii="Arial" w:eastAsia="Arial" w:hAnsi="Arial" w:cs="Arial"/>
        <w:color w:val="000000"/>
        <w:sz w:val="16"/>
      </w:rPr>
      <w:t>Effective Date: 12/31/9998 - Docket</w:t>
    </w:r>
    <w:r>
      <w:rPr>
        <w:rFonts w:ascii="Arial" w:eastAsia="Arial" w:hAnsi="Arial" w:cs="Arial"/>
        <w:color w:val="000000"/>
        <w:sz w:val="16"/>
      </w:rPr>
      <w:t xml:space="preserve"> #: ER23-2040-000 -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3F5" w:rsidRDefault="009A3956">
    <w:pPr>
      <w:jc w:val="right"/>
    </w:pPr>
    <w:r>
      <w:rPr>
        <w:rFonts w:ascii="Arial" w:eastAsia="Arial" w:hAnsi="Arial" w:cs="Arial"/>
        <w:color w:val="000000"/>
        <w:sz w:val="16"/>
      </w:rPr>
      <w:t xml:space="preserve">Effective Date: 12/31/9998 - Docket #: ER23-2040-000 -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3F5" w:rsidRDefault="009A3956">
    <w:pPr>
      <w:jc w:val="right"/>
    </w:pPr>
    <w:r>
      <w:rPr>
        <w:rFonts w:ascii="Arial" w:eastAsia="Arial" w:hAnsi="Arial" w:cs="Arial"/>
        <w:color w:val="000000"/>
        <w:sz w:val="16"/>
      </w:rPr>
      <w:t xml:space="preserve">Effective Date: 12/31/9998 - Docket #: ER23-2040-000 -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A3956">
      <w:r>
        <w:separator/>
      </w:r>
    </w:p>
  </w:footnote>
  <w:footnote w:type="continuationSeparator" w:id="0">
    <w:p w:rsidR="00000000" w:rsidRDefault="009A39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3F5" w:rsidRDefault="009A3956">
    <w:r>
      <w:rPr>
        <w:rFonts w:ascii="Arial" w:eastAsia="Arial" w:hAnsi="Arial" w:cs="Arial"/>
        <w:color w:val="000000"/>
        <w:sz w:val="16"/>
      </w:rPr>
      <w:t>NYISO Tariffs --&gt; Market Administration and Control Area Services Tariff (MST) --&gt; 4 MST Market Services:  Rights and Obligatio</w:t>
    </w:r>
    <w:r>
      <w:rPr>
        <w:rFonts w:ascii="Arial" w:eastAsia="Arial" w:hAnsi="Arial" w:cs="Arial"/>
        <w:color w:val="000000"/>
        <w:sz w:val="16"/>
      </w:rPr>
      <w:t>ns --&gt; 4.1 MST Market Services - General Rules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3F5" w:rsidRDefault="009A3956">
    <w:r>
      <w:rPr>
        <w:rFonts w:ascii="Arial" w:eastAsia="Arial" w:hAnsi="Arial" w:cs="Arial"/>
        <w:color w:val="000000"/>
        <w:sz w:val="16"/>
      </w:rPr>
      <w:t>NYISO Tariffs --&gt; Market Administration and Control Area Services Tariff (MST) --&gt; 4 MST Market Services:  Rights and Obligations --&gt; 4.1 MST Market Services - General Rules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3F5" w:rsidRDefault="009A3956">
    <w:r>
      <w:rPr>
        <w:rFonts w:ascii="Arial" w:eastAsia="Arial" w:hAnsi="Arial" w:cs="Arial"/>
        <w:color w:val="000000"/>
        <w:sz w:val="16"/>
      </w:rPr>
      <w:t>NYISO Tariffs --&gt; Market Administration and Control Area Services Tariff (MST) --&gt; 4 MST Market Services:  Rights and Obligations --&gt; 4.1 MST Market Services</w:t>
    </w:r>
    <w:r>
      <w:rPr>
        <w:rFonts w:ascii="Arial" w:eastAsia="Arial" w:hAnsi="Arial" w:cs="Arial"/>
        <w:color w:val="000000"/>
        <w:sz w:val="16"/>
      </w:rPr>
      <w:t xml:space="preserve"> - General Rules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57D85612">
      <w:start w:val="1"/>
      <w:numFmt w:val="bullet"/>
      <w:lvlText w:val=""/>
      <w:lvlJc w:val="left"/>
      <w:pPr>
        <w:tabs>
          <w:tab w:val="num" w:pos="720"/>
        </w:tabs>
        <w:ind w:left="720" w:hanging="360"/>
      </w:pPr>
      <w:rPr>
        <w:rFonts w:ascii="Symbol" w:hAnsi="Symbol" w:hint="default"/>
      </w:rPr>
    </w:lvl>
    <w:lvl w:ilvl="1" w:tplc="7018C25E" w:tentative="1">
      <w:start w:val="1"/>
      <w:numFmt w:val="bullet"/>
      <w:lvlText w:val="o"/>
      <w:lvlJc w:val="left"/>
      <w:pPr>
        <w:tabs>
          <w:tab w:val="num" w:pos="1440"/>
        </w:tabs>
        <w:ind w:left="1440" w:hanging="360"/>
      </w:pPr>
      <w:rPr>
        <w:rFonts w:ascii="Courier New" w:hAnsi="Courier New" w:cs="Courier New" w:hint="default"/>
      </w:rPr>
    </w:lvl>
    <w:lvl w:ilvl="2" w:tplc="15AEFD24" w:tentative="1">
      <w:start w:val="1"/>
      <w:numFmt w:val="bullet"/>
      <w:lvlText w:val=""/>
      <w:lvlJc w:val="left"/>
      <w:pPr>
        <w:tabs>
          <w:tab w:val="num" w:pos="2160"/>
        </w:tabs>
        <w:ind w:left="2160" w:hanging="360"/>
      </w:pPr>
      <w:rPr>
        <w:rFonts w:ascii="Wingdings" w:hAnsi="Wingdings" w:hint="default"/>
      </w:rPr>
    </w:lvl>
    <w:lvl w:ilvl="3" w:tplc="F6DAB318" w:tentative="1">
      <w:start w:val="1"/>
      <w:numFmt w:val="bullet"/>
      <w:lvlText w:val=""/>
      <w:lvlJc w:val="left"/>
      <w:pPr>
        <w:tabs>
          <w:tab w:val="num" w:pos="2880"/>
        </w:tabs>
        <w:ind w:left="2880" w:hanging="360"/>
      </w:pPr>
      <w:rPr>
        <w:rFonts w:ascii="Symbol" w:hAnsi="Symbol" w:hint="default"/>
      </w:rPr>
    </w:lvl>
    <w:lvl w:ilvl="4" w:tplc="2A207E56" w:tentative="1">
      <w:start w:val="1"/>
      <w:numFmt w:val="bullet"/>
      <w:lvlText w:val="o"/>
      <w:lvlJc w:val="left"/>
      <w:pPr>
        <w:tabs>
          <w:tab w:val="num" w:pos="3600"/>
        </w:tabs>
        <w:ind w:left="3600" w:hanging="360"/>
      </w:pPr>
      <w:rPr>
        <w:rFonts w:ascii="Courier New" w:hAnsi="Courier New" w:cs="Courier New" w:hint="default"/>
      </w:rPr>
    </w:lvl>
    <w:lvl w:ilvl="5" w:tplc="454A99A4" w:tentative="1">
      <w:start w:val="1"/>
      <w:numFmt w:val="bullet"/>
      <w:lvlText w:val=""/>
      <w:lvlJc w:val="left"/>
      <w:pPr>
        <w:tabs>
          <w:tab w:val="num" w:pos="4320"/>
        </w:tabs>
        <w:ind w:left="4320" w:hanging="360"/>
      </w:pPr>
      <w:rPr>
        <w:rFonts w:ascii="Wingdings" w:hAnsi="Wingdings" w:hint="default"/>
      </w:rPr>
    </w:lvl>
    <w:lvl w:ilvl="6" w:tplc="98D244BA" w:tentative="1">
      <w:start w:val="1"/>
      <w:numFmt w:val="bullet"/>
      <w:lvlText w:val=""/>
      <w:lvlJc w:val="left"/>
      <w:pPr>
        <w:tabs>
          <w:tab w:val="num" w:pos="5040"/>
        </w:tabs>
        <w:ind w:left="5040" w:hanging="360"/>
      </w:pPr>
      <w:rPr>
        <w:rFonts w:ascii="Symbol" w:hAnsi="Symbol" w:hint="default"/>
      </w:rPr>
    </w:lvl>
    <w:lvl w:ilvl="7" w:tplc="E718015C" w:tentative="1">
      <w:start w:val="1"/>
      <w:numFmt w:val="bullet"/>
      <w:lvlText w:val="o"/>
      <w:lvlJc w:val="left"/>
      <w:pPr>
        <w:tabs>
          <w:tab w:val="num" w:pos="5760"/>
        </w:tabs>
        <w:ind w:left="5760" w:hanging="360"/>
      </w:pPr>
      <w:rPr>
        <w:rFonts w:ascii="Courier New" w:hAnsi="Courier New" w:cs="Courier New" w:hint="default"/>
      </w:rPr>
    </w:lvl>
    <w:lvl w:ilvl="8" w:tplc="7B9A4D72" w:tentative="1">
      <w:start w:val="1"/>
      <w:numFmt w:val="bullet"/>
      <w:lvlText w:val=""/>
      <w:lvlJc w:val="left"/>
      <w:pPr>
        <w:tabs>
          <w:tab w:val="num" w:pos="6480"/>
        </w:tabs>
        <w:ind w:left="6480" w:hanging="360"/>
      </w:pPr>
      <w:rPr>
        <w:rFonts w:ascii="Wingdings" w:hAnsi="Wingdings" w:hint="default"/>
      </w:rPr>
    </w:lvl>
  </w:abstractNum>
  <w:abstractNum w:abstractNumId="2">
    <w:nsid w:val="04AE4758"/>
    <w:multiLevelType w:val="hybridMultilevel"/>
    <w:tmpl w:val="265CE594"/>
    <w:lvl w:ilvl="0" w:tplc="9B023EC8">
      <w:start w:val="1"/>
      <w:numFmt w:val="lowerLetter"/>
      <w:lvlText w:val="(%1)"/>
      <w:lvlJc w:val="left"/>
      <w:pPr>
        <w:ind w:left="1080" w:hanging="360"/>
      </w:pPr>
      <w:rPr>
        <w:rFonts w:hint="default"/>
      </w:rPr>
    </w:lvl>
    <w:lvl w:ilvl="1" w:tplc="071635C4" w:tentative="1">
      <w:start w:val="1"/>
      <w:numFmt w:val="lowerLetter"/>
      <w:lvlText w:val="%2."/>
      <w:lvlJc w:val="left"/>
      <w:pPr>
        <w:ind w:left="1800" w:hanging="360"/>
      </w:pPr>
    </w:lvl>
    <w:lvl w:ilvl="2" w:tplc="EC1A64C4" w:tentative="1">
      <w:start w:val="1"/>
      <w:numFmt w:val="lowerRoman"/>
      <w:lvlText w:val="%3."/>
      <w:lvlJc w:val="right"/>
      <w:pPr>
        <w:ind w:left="2520" w:hanging="180"/>
      </w:pPr>
    </w:lvl>
    <w:lvl w:ilvl="3" w:tplc="257662E6" w:tentative="1">
      <w:start w:val="1"/>
      <w:numFmt w:val="decimal"/>
      <w:lvlText w:val="%4."/>
      <w:lvlJc w:val="left"/>
      <w:pPr>
        <w:ind w:left="3240" w:hanging="360"/>
      </w:pPr>
    </w:lvl>
    <w:lvl w:ilvl="4" w:tplc="7A22F34E" w:tentative="1">
      <w:start w:val="1"/>
      <w:numFmt w:val="lowerLetter"/>
      <w:lvlText w:val="%5."/>
      <w:lvlJc w:val="left"/>
      <w:pPr>
        <w:ind w:left="3960" w:hanging="360"/>
      </w:pPr>
    </w:lvl>
    <w:lvl w:ilvl="5" w:tplc="947CDB0C" w:tentative="1">
      <w:start w:val="1"/>
      <w:numFmt w:val="lowerRoman"/>
      <w:lvlText w:val="%6."/>
      <w:lvlJc w:val="right"/>
      <w:pPr>
        <w:ind w:left="4680" w:hanging="180"/>
      </w:pPr>
    </w:lvl>
    <w:lvl w:ilvl="6" w:tplc="E048C39E" w:tentative="1">
      <w:start w:val="1"/>
      <w:numFmt w:val="decimal"/>
      <w:lvlText w:val="%7."/>
      <w:lvlJc w:val="left"/>
      <w:pPr>
        <w:ind w:left="5400" w:hanging="360"/>
      </w:pPr>
    </w:lvl>
    <w:lvl w:ilvl="7" w:tplc="02585C90" w:tentative="1">
      <w:start w:val="1"/>
      <w:numFmt w:val="lowerLetter"/>
      <w:lvlText w:val="%8."/>
      <w:lvlJc w:val="left"/>
      <w:pPr>
        <w:ind w:left="6120" w:hanging="360"/>
      </w:pPr>
    </w:lvl>
    <w:lvl w:ilvl="8" w:tplc="5CB4C172" w:tentative="1">
      <w:start w:val="1"/>
      <w:numFmt w:val="lowerRoman"/>
      <w:lvlText w:val="%9."/>
      <w:lvlJc w:val="right"/>
      <w:pPr>
        <w:ind w:left="6840" w:hanging="180"/>
      </w:pPr>
    </w:lvl>
  </w:abstractNum>
  <w:abstractNum w:abstractNumId="3">
    <w:nsid w:val="05F82582"/>
    <w:multiLevelType w:val="hybridMultilevel"/>
    <w:tmpl w:val="7B1A2A46"/>
    <w:lvl w:ilvl="0" w:tplc="2512AC6A">
      <w:start w:val="1"/>
      <w:numFmt w:val="upperLetter"/>
      <w:lvlText w:val="%1."/>
      <w:lvlJc w:val="left"/>
      <w:pPr>
        <w:tabs>
          <w:tab w:val="num" w:pos="1440"/>
        </w:tabs>
        <w:ind w:left="1440" w:hanging="720"/>
      </w:pPr>
      <w:rPr>
        <w:rFonts w:hint="default"/>
      </w:rPr>
    </w:lvl>
    <w:lvl w:ilvl="1" w:tplc="FB1E3198" w:tentative="1">
      <w:start w:val="1"/>
      <w:numFmt w:val="lowerLetter"/>
      <w:lvlText w:val="%2."/>
      <w:lvlJc w:val="left"/>
      <w:pPr>
        <w:tabs>
          <w:tab w:val="num" w:pos="1800"/>
        </w:tabs>
        <w:ind w:left="1800" w:hanging="360"/>
      </w:pPr>
    </w:lvl>
    <w:lvl w:ilvl="2" w:tplc="0A34ED0A" w:tentative="1">
      <w:start w:val="1"/>
      <w:numFmt w:val="lowerRoman"/>
      <w:lvlText w:val="%3."/>
      <w:lvlJc w:val="right"/>
      <w:pPr>
        <w:tabs>
          <w:tab w:val="num" w:pos="2520"/>
        </w:tabs>
        <w:ind w:left="2520" w:hanging="180"/>
      </w:pPr>
    </w:lvl>
    <w:lvl w:ilvl="3" w:tplc="1A2C9130" w:tentative="1">
      <w:start w:val="1"/>
      <w:numFmt w:val="decimal"/>
      <w:lvlText w:val="%4."/>
      <w:lvlJc w:val="left"/>
      <w:pPr>
        <w:tabs>
          <w:tab w:val="num" w:pos="3240"/>
        </w:tabs>
        <w:ind w:left="3240" w:hanging="360"/>
      </w:pPr>
    </w:lvl>
    <w:lvl w:ilvl="4" w:tplc="540EF014" w:tentative="1">
      <w:start w:val="1"/>
      <w:numFmt w:val="lowerLetter"/>
      <w:lvlText w:val="%5."/>
      <w:lvlJc w:val="left"/>
      <w:pPr>
        <w:tabs>
          <w:tab w:val="num" w:pos="3960"/>
        </w:tabs>
        <w:ind w:left="3960" w:hanging="360"/>
      </w:pPr>
    </w:lvl>
    <w:lvl w:ilvl="5" w:tplc="B1C461EA" w:tentative="1">
      <w:start w:val="1"/>
      <w:numFmt w:val="lowerRoman"/>
      <w:lvlText w:val="%6."/>
      <w:lvlJc w:val="right"/>
      <w:pPr>
        <w:tabs>
          <w:tab w:val="num" w:pos="4680"/>
        </w:tabs>
        <w:ind w:left="4680" w:hanging="180"/>
      </w:pPr>
    </w:lvl>
    <w:lvl w:ilvl="6" w:tplc="EC66C9C8" w:tentative="1">
      <w:start w:val="1"/>
      <w:numFmt w:val="decimal"/>
      <w:lvlText w:val="%7."/>
      <w:lvlJc w:val="left"/>
      <w:pPr>
        <w:tabs>
          <w:tab w:val="num" w:pos="5400"/>
        </w:tabs>
        <w:ind w:left="5400" w:hanging="360"/>
      </w:pPr>
    </w:lvl>
    <w:lvl w:ilvl="7" w:tplc="B78ADC22" w:tentative="1">
      <w:start w:val="1"/>
      <w:numFmt w:val="lowerLetter"/>
      <w:lvlText w:val="%8."/>
      <w:lvlJc w:val="left"/>
      <w:pPr>
        <w:tabs>
          <w:tab w:val="num" w:pos="6120"/>
        </w:tabs>
        <w:ind w:left="6120" w:hanging="360"/>
      </w:pPr>
    </w:lvl>
    <w:lvl w:ilvl="8" w:tplc="846A732A" w:tentative="1">
      <w:start w:val="1"/>
      <w:numFmt w:val="lowerRoman"/>
      <w:lvlText w:val="%9."/>
      <w:lvlJc w:val="right"/>
      <w:pPr>
        <w:tabs>
          <w:tab w:val="num" w:pos="6840"/>
        </w:tabs>
        <w:ind w:left="6840" w:hanging="180"/>
      </w:pPr>
    </w:lvl>
  </w:abstractNum>
  <w:abstractNum w:abstractNumId="4">
    <w:nsid w:val="06A06813"/>
    <w:multiLevelType w:val="hybridMultilevel"/>
    <w:tmpl w:val="2174E468"/>
    <w:lvl w:ilvl="0" w:tplc="9BA22414">
      <w:start w:val="3"/>
      <w:numFmt w:val="upperLetter"/>
      <w:lvlText w:val="%1."/>
      <w:lvlJc w:val="left"/>
      <w:pPr>
        <w:tabs>
          <w:tab w:val="num" w:pos="1080"/>
        </w:tabs>
        <w:ind w:left="1080" w:hanging="360"/>
      </w:pPr>
      <w:rPr>
        <w:rFonts w:hint="default"/>
      </w:rPr>
    </w:lvl>
    <w:lvl w:ilvl="1" w:tplc="6D1647C0" w:tentative="1">
      <w:start w:val="1"/>
      <w:numFmt w:val="lowerLetter"/>
      <w:lvlText w:val="%2."/>
      <w:lvlJc w:val="left"/>
      <w:pPr>
        <w:tabs>
          <w:tab w:val="num" w:pos="1800"/>
        </w:tabs>
        <w:ind w:left="1800" w:hanging="360"/>
      </w:pPr>
    </w:lvl>
    <w:lvl w:ilvl="2" w:tplc="123C013E" w:tentative="1">
      <w:start w:val="1"/>
      <w:numFmt w:val="lowerRoman"/>
      <w:lvlText w:val="%3."/>
      <w:lvlJc w:val="right"/>
      <w:pPr>
        <w:tabs>
          <w:tab w:val="num" w:pos="2520"/>
        </w:tabs>
        <w:ind w:left="2520" w:hanging="180"/>
      </w:pPr>
    </w:lvl>
    <w:lvl w:ilvl="3" w:tplc="F80455FC" w:tentative="1">
      <w:start w:val="1"/>
      <w:numFmt w:val="decimal"/>
      <w:lvlText w:val="%4."/>
      <w:lvlJc w:val="left"/>
      <w:pPr>
        <w:tabs>
          <w:tab w:val="num" w:pos="3240"/>
        </w:tabs>
        <w:ind w:left="3240" w:hanging="360"/>
      </w:pPr>
    </w:lvl>
    <w:lvl w:ilvl="4" w:tplc="1B34F748" w:tentative="1">
      <w:start w:val="1"/>
      <w:numFmt w:val="lowerLetter"/>
      <w:lvlText w:val="%5."/>
      <w:lvlJc w:val="left"/>
      <w:pPr>
        <w:tabs>
          <w:tab w:val="num" w:pos="3960"/>
        </w:tabs>
        <w:ind w:left="3960" w:hanging="360"/>
      </w:pPr>
    </w:lvl>
    <w:lvl w:ilvl="5" w:tplc="21448376" w:tentative="1">
      <w:start w:val="1"/>
      <w:numFmt w:val="lowerRoman"/>
      <w:lvlText w:val="%6."/>
      <w:lvlJc w:val="right"/>
      <w:pPr>
        <w:tabs>
          <w:tab w:val="num" w:pos="4680"/>
        </w:tabs>
        <w:ind w:left="4680" w:hanging="180"/>
      </w:pPr>
    </w:lvl>
    <w:lvl w:ilvl="6" w:tplc="BBA66140" w:tentative="1">
      <w:start w:val="1"/>
      <w:numFmt w:val="decimal"/>
      <w:lvlText w:val="%7."/>
      <w:lvlJc w:val="left"/>
      <w:pPr>
        <w:tabs>
          <w:tab w:val="num" w:pos="5400"/>
        </w:tabs>
        <w:ind w:left="5400" w:hanging="360"/>
      </w:pPr>
    </w:lvl>
    <w:lvl w:ilvl="7" w:tplc="70AE46CA" w:tentative="1">
      <w:start w:val="1"/>
      <w:numFmt w:val="lowerLetter"/>
      <w:lvlText w:val="%8."/>
      <w:lvlJc w:val="left"/>
      <w:pPr>
        <w:tabs>
          <w:tab w:val="num" w:pos="6120"/>
        </w:tabs>
        <w:ind w:left="6120" w:hanging="360"/>
      </w:pPr>
    </w:lvl>
    <w:lvl w:ilvl="8" w:tplc="2F2AC25E" w:tentative="1">
      <w:start w:val="1"/>
      <w:numFmt w:val="lowerRoman"/>
      <w:lvlText w:val="%9."/>
      <w:lvlJc w:val="right"/>
      <w:pPr>
        <w:tabs>
          <w:tab w:val="num" w:pos="6840"/>
        </w:tabs>
        <w:ind w:left="6840" w:hanging="180"/>
      </w:pPr>
    </w:lvl>
  </w:abstractNum>
  <w:abstractNum w:abstractNumId="5">
    <w:nsid w:val="0775374A"/>
    <w:multiLevelType w:val="hybridMultilevel"/>
    <w:tmpl w:val="F5EC19CC"/>
    <w:lvl w:ilvl="0" w:tplc="3D86B3FA">
      <w:start w:val="1"/>
      <w:numFmt w:val="bullet"/>
      <w:pStyle w:val="Bulletpara"/>
      <w:lvlText w:val=""/>
      <w:lvlJc w:val="left"/>
      <w:pPr>
        <w:tabs>
          <w:tab w:val="num" w:pos="720"/>
        </w:tabs>
        <w:ind w:left="720" w:hanging="360"/>
      </w:pPr>
      <w:rPr>
        <w:rFonts w:ascii="Symbol" w:hAnsi="Symbol" w:hint="default"/>
      </w:rPr>
    </w:lvl>
    <w:lvl w:ilvl="1" w:tplc="2C24DC98" w:tentative="1">
      <w:start w:val="1"/>
      <w:numFmt w:val="bullet"/>
      <w:lvlText w:val="o"/>
      <w:lvlJc w:val="left"/>
      <w:pPr>
        <w:tabs>
          <w:tab w:val="num" w:pos="1440"/>
        </w:tabs>
        <w:ind w:left="1440" w:hanging="360"/>
      </w:pPr>
      <w:rPr>
        <w:rFonts w:ascii="Courier New" w:hAnsi="Courier New" w:cs="Courier New" w:hint="default"/>
      </w:rPr>
    </w:lvl>
    <w:lvl w:ilvl="2" w:tplc="61068F1C" w:tentative="1">
      <w:start w:val="1"/>
      <w:numFmt w:val="bullet"/>
      <w:lvlText w:val=""/>
      <w:lvlJc w:val="left"/>
      <w:pPr>
        <w:tabs>
          <w:tab w:val="num" w:pos="2160"/>
        </w:tabs>
        <w:ind w:left="2160" w:hanging="360"/>
      </w:pPr>
      <w:rPr>
        <w:rFonts w:ascii="Wingdings" w:hAnsi="Wingdings" w:hint="default"/>
      </w:rPr>
    </w:lvl>
    <w:lvl w:ilvl="3" w:tplc="8782302A" w:tentative="1">
      <w:start w:val="1"/>
      <w:numFmt w:val="bullet"/>
      <w:lvlText w:val=""/>
      <w:lvlJc w:val="left"/>
      <w:pPr>
        <w:tabs>
          <w:tab w:val="num" w:pos="2880"/>
        </w:tabs>
        <w:ind w:left="2880" w:hanging="360"/>
      </w:pPr>
      <w:rPr>
        <w:rFonts w:ascii="Symbol" w:hAnsi="Symbol" w:hint="default"/>
      </w:rPr>
    </w:lvl>
    <w:lvl w:ilvl="4" w:tplc="41A4C498" w:tentative="1">
      <w:start w:val="1"/>
      <w:numFmt w:val="bullet"/>
      <w:lvlText w:val="o"/>
      <w:lvlJc w:val="left"/>
      <w:pPr>
        <w:tabs>
          <w:tab w:val="num" w:pos="3600"/>
        </w:tabs>
        <w:ind w:left="3600" w:hanging="360"/>
      </w:pPr>
      <w:rPr>
        <w:rFonts w:ascii="Courier New" w:hAnsi="Courier New" w:cs="Courier New" w:hint="default"/>
      </w:rPr>
    </w:lvl>
    <w:lvl w:ilvl="5" w:tplc="A80437AE" w:tentative="1">
      <w:start w:val="1"/>
      <w:numFmt w:val="bullet"/>
      <w:lvlText w:val=""/>
      <w:lvlJc w:val="left"/>
      <w:pPr>
        <w:tabs>
          <w:tab w:val="num" w:pos="4320"/>
        </w:tabs>
        <w:ind w:left="4320" w:hanging="360"/>
      </w:pPr>
      <w:rPr>
        <w:rFonts w:ascii="Wingdings" w:hAnsi="Wingdings" w:hint="default"/>
      </w:rPr>
    </w:lvl>
    <w:lvl w:ilvl="6" w:tplc="6CDCCE14" w:tentative="1">
      <w:start w:val="1"/>
      <w:numFmt w:val="bullet"/>
      <w:lvlText w:val=""/>
      <w:lvlJc w:val="left"/>
      <w:pPr>
        <w:tabs>
          <w:tab w:val="num" w:pos="5040"/>
        </w:tabs>
        <w:ind w:left="5040" w:hanging="360"/>
      </w:pPr>
      <w:rPr>
        <w:rFonts w:ascii="Symbol" w:hAnsi="Symbol" w:hint="default"/>
      </w:rPr>
    </w:lvl>
    <w:lvl w:ilvl="7" w:tplc="70BC3990" w:tentative="1">
      <w:start w:val="1"/>
      <w:numFmt w:val="bullet"/>
      <w:lvlText w:val="o"/>
      <w:lvlJc w:val="left"/>
      <w:pPr>
        <w:tabs>
          <w:tab w:val="num" w:pos="5760"/>
        </w:tabs>
        <w:ind w:left="5760" w:hanging="360"/>
      </w:pPr>
      <w:rPr>
        <w:rFonts w:ascii="Courier New" w:hAnsi="Courier New" w:cs="Courier New" w:hint="default"/>
      </w:rPr>
    </w:lvl>
    <w:lvl w:ilvl="8" w:tplc="AAF4D310" w:tentative="1">
      <w:start w:val="1"/>
      <w:numFmt w:val="bullet"/>
      <w:lvlText w:val=""/>
      <w:lvlJc w:val="left"/>
      <w:pPr>
        <w:tabs>
          <w:tab w:val="num" w:pos="6480"/>
        </w:tabs>
        <w:ind w:left="6480" w:hanging="360"/>
      </w:pPr>
      <w:rPr>
        <w:rFonts w:ascii="Wingdings" w:hAnsi="Wingdings" w:hint="default"/>
      </w:rPr>
    </w:lvl>
  </w:abstractNum>
  <w:abstractNum w:abstractNumId="6">
    <w:nsid w:val="120327CC"/>
    <w:multiLevelType w:val="hybridMultilevel"/>
    <w:tmpl w:val="41F49058"/>
    <w:lvl w:ilvl="0" w:tplc="BB320394">
      <w:start w:val="2"/>
      <w:numFmt w:val="decimal"/>
      <w:lvlText w:val="(%1)"/>
      <w:lvlJc w:val="left"/>
      <w:pPr>
        <w:tabs>
          <w:tab w:val="num" w:pos="1800"/>
        </w:tabs>
        <w:ind w:left="1800" w:hanging="360"/>
      </w:pPr>
      <w:rPr>
        <w:rFonts w:hint="default"/>
        <w:b w:val="0"/>
        <w:sz w:val="24"/>
      </w:rPr>
    </w:lvl>
    <w:lvl w:ilvl="1" w:tplc="B57603E8" w:tentative="1">
      <w:start w:val="1"/>
      <w:numFmt w:val="lowerLetter"/>
      <w:lvlText w:val="%2."/>
      <w:lvlJc w:val="left"/>
      <w:pPr>
        <w:tabs>
          <w:tab w:val="num" w:pos="2520"/>
        </w:tabs>
        <w:ind w:left="2520" w:hanging="360"/>
      </w:pPr>
    </w:lvl>
    <w:lvl w:ilvl="2" w:tplc="1DA490C2" w:tentative="1">
      <w:start w:val="1"/>
      <w:numFmt w:val="lowerRoman"/>
      <w:lvlText w:val="%3."/>
      <w:lvlJc w:val="right"/>
      <w:pPr>
        <w:tabs>
          <w:tab w:val="num" w:pos="3240"/>
        </w:tabs>
        <w:ind w:left="3240" w:hanging="180"/>
      </w:pPr>
    </w:lvl>
    <w:lvl w:ilvl="3" w:tplc="EF3C8322" w:tentative="1">
      <w:start w:val="1"/>
      <w:numFmt w:val="decimal"/>
      <w:lvlText w:val="%4."/>
      <w:lvlJc w:val="left"/>
      <w:pPr>
        <w:tabs>
          <w:tab w:val="num" w:pos="3960"/>
        </w:tabs>
        <w:ind w:left="3960" w:hanging="360"/>
      </w:pPr>
    </w:lvl>
    <w:lvl w:ilvl="4" w:tplc="54EC575C" w:tentative="1">
      <w:start w:val="1"/>
      <w:numFmt w:val="lowerLetter"/>
      <w:lvlText w:val="%5."/>
      <w:lvlJc w:val="left"/>
      <w:pPr>
        <w:tabs>
          <w:tab w:val="num" w:pos="4680"/>
        </w:tabs>
        <w:ind w:left="4680" w:hanging="360"/>
      </w:pPr>
    </w:lvl>
    <w:lvl w:ilvl="5" w:tplc="CEE48304" w:tentative="1">
      <w:start w:val="1"/>
      <w:numFmt w:val="lowerRoman"/>
      <w:lvlText w:val="%6."/>
      <w:lvlJc w:val="right"/>
      <w:pPr>
        <w:tabs>
          <w:tab w:val="num" w:pos="5400"/>
        </w:tabs>
        <w:ind w:left="5400" w:hanging="180"/>
      </w:pPr>
    </w:lvl>
    <w:lvl w:ilvl="6" w:tplc="CAA2403C" w:tentative="1">
      <w:start w:val="1"/>
      <w:numFmt w:val="decimal"/>
      <w:lvlText w:val="%7."/>
      <w:lvlJc w:val="left"/>
      <w:pPr>
        <w:tabs>
          <w:tab w:val="num" w:pos="6120"/>
        </w:tabs>
        <w:ind w:left="6120" w:hanging="360"/>
      </w:pPr>
    </w:lvl>
    <w:lvl w:ilvl="7" w:tplc="BAD04420" w:tentative="1">
      <w:start w:val="1"/>
      <w:numFmt w:val="lowerLetter"/>
      <w:lvlText w:val="%8."/>
      <w:lvlJc w:val="left"/>
      <w:pPr>
        <w:tabs>
          <w:tab w:val="num" w:pos="6840"/>
        </w:tabs>
        <w:ind w:left="6840" w:hanging="360"/>
      </w:pPr>
    </w:lvl>
    <w:lvl w:ilvl="8" w:tplc="1146FF6A" w:tentative="1">
      <w:start w:val="1"/>
      <w:numFmt w:val="lowerRoman"/>
      <w:lvlText w:val="%9."/>
      <w:lvlJc w:val="right"/>
      <w:pPr>
        <w:tabs>
          <w:tab w:val="num" w:pos="7560"/>
        </w:tabs>
        <w:ind w:left="7560" w:hanging="180"/>
      </w:pPr>
    </w:lvl>
  </w:abstractNum>
  <w:abstractNum w:abstractNumId="7">
    <w:nsid w:val="142D2A7E"/>
    <w:multiLevelType w:val="hybridMultilevel"/>
    <w:tmpl w:val="EA94F316"/>
    <w:lvl w:ilvl="0" w:tplc="E01C20F8">
      <w:start w:val="1"/>
      <w:numFmt w:val="lowerLetter"/>
      <w:lvlText w:val="(%1)"/>
      <w:lvlJc w:val="left"/>
      <w:pPr>
        <w:ind w:left="1080" w:hanging="360"/>
      </w:pPr>
      <w:rPr>
        <w:rFonts w:hint="default"/>
      </w:rPr>
    </w:lvl>
    <w:lvl w:ilvl="1" w:tplc="1518B640" w:tentative="1">
      <w:start w:val="1"/>
      <w:numFmt w:val="lowerLetter"/>
      <w:lvlText w:val="%2."/>
      <w:lvlJc w:val="left"/>
      <w:pPr>
        <w:ind w:left="1800" w:hanging="360"/>
      </w:pPr>
    </w:lvl>
    <w:lvl w:ilvl="2" w:tplc="5DBA43B6" w:tentative="1">
      <w:start w:val="1"/>
      <w:numFmt w:val="lowerRoman"/>
      <w:lvlText w:val="%3."/>
      <w:lvlJc w:val="right"/>
      <w:pPr>
        <w:ind w:left="2520" w:hanging="180"/>
      </w:pPr>
    </w:lvl>
    <w:lvl w:ilvl="3" w:tplc="215AD0FE" w:tentative="1">
      <w:start w:val="1"/>
      <w:numFmt w:val="decimal"/>
      <w:lvlText w:val="%4."/>
      <w:lvlJc w:val="left"/>
      <w:pPr>
        <w:ind w:left="3240" w:hanging="360"/>
      </w:pPr>
    </w:lvl>
    <w:lvl w:ilvl="4" w:tplc="316EA076" w:tentative="1">
      <w:start w:val="1"/>
      <w:numFmt w:val="lowerLetter"/>
      <w:lvlText w:val="%5."/>
      <w:lvlJc w:val="left"/>
      <w:pPr>
        <w:ind w:left="3960" w:hanging="360"/>
      </w:pPr>
    </w:lvl>
    <w:lvl w:ilvl="5" w:tplc="5C208C32" w:tentative="1">
      <w:start w:val="1"/>
      <w:numFmt w:val="lowerRoman"/>
      <w:lvlText w:val="%6."/>
      <w:lvlJc w:val="right"/>
      <w:pPr>
        <w:ind w:left="4680" w:hanging="180"/>
      </w:pPr>
    </w:lvl>
    <w:lvl w:ilvl="6" w:tplc="EE2223EC" w:tentative="1">
      <w:start w:val="1"/>
      <w:numFmt w:val="decimal"/>
      <w:lvlText w:val="%7."/>
      <w:lvlJc w:val="left"/>
      <w:pPr>
        <w:ind w:left="5400" w:hanging="360"/>
      </w:pPr>
    </w:lvl>
    <w:lvl w:ilvl="7" w:tplc="8E749246" w:tentative="1">
      <w:start w:val="1"/>
      <w:numFmt w:val="lowerLetter"/>
      <w:lvlText w:val="%8."/>
      <w:lvlJc w:val="left"/>
      <w:pPr>
        <w:ind w:left="6120" w:hanging="360"/>
      </w:pPr>
    </w:lvl>
    <w:lvl w:ilvl="8" w:tplc="008404BA" w:tentative="1">
      <w:start w:val="1"/>
      <w:numFmt w:val="lowerRoman"/>
      <w:lvlText w:val="%9."/>
      <w:lvlJc w:val="right"/>
      <w:pPr>
        <w:ind w:left="6840" w:hanging="180"/>
      </w:pPr>
    </w:lvl>
  </w:abstractNum>
  <w:abstractNum w:abstractNumId="8">
    <w:nsid w:val="14CA4272"/>
    <w:multiLevelType w:val="hybridMultilevel"/>
    <w:tmpl w:val="CD6A0404"/>
    <w:lvl w:ilvl="0" w:tplc="E220A9B4">
      <w:start w:val="1"/>
      <w:numFmt w:val="decimal"/>
      <w:lvlText w:val="(%1)"/>
      <w:lvlJc w:val="left"/>
      <w:pPr>
        <w:tabs>
          <w:tab w:val="num" w:pos="2160"/>
        </w:tabs>
        <w:ind w:left="2160" w:hanging="720"/>
      </w:pPr>
      <w:rPr>
        <w:rFonts w:hint="default"/>
      </w:rPr>
    </w:lvl>
    <w:lvl w:ilvl="1" w:tplc="0D18B8B4" w:tentative="1">
      <w:start w:val="1"/>
      <w:numFmt w:val="lowerLetter"/>
      <w:lvlText w:val="%2."/>
      <w:lvlJc w:val="left"/>
      <w:pPr>
        <w:tabs>
          <w:tab w:val="num" w:pos="2520"/>
        </w:tabs>
        <w:ind w:left="2520" w:hanging="360"/>
      </w:pPr>
    </w:lvl>
    <w:lvl w:ilvl="2" w:tplc="59D81644" w:tentative="1">
      <w:start w:val="1"/>
      <w:numFmt w:val="lowerRoman"/>
      <w:lvlText w:val="%3."/>
      <w:lvlJc w:val="right"/>
      <w:pPr>
        <w:tabs>
          <w:tab w:val="num" w:pos="3240"/>
        </w:tabs>
        <w:ind w:left="3240" w:hanging="180"/>
      </w:pPr>
    </w:lvl>
    <w:lvl w:ilvl="3" w:tplc="82C89A2E" w:tentative="1">
      <w:start w:val="1"/>
      <w:numFmt w:val="decimal"/>
      <w:lvlText w:val="%4."/>
      <w:lvlJc w:val="left"/>
      <w:pPr>
        <w:tabs>
          <w:tab w:val="num" w:pos="3960"/>
        </w:tabs>
        <w:ind w:left="3960" w:hanging="360"/>
      </w:pPr>
    </w:lvl>
    <w:lvl w:ilvl="4" w:tplc="61BCE6D2" w:tentative="1">
      <w:start w:val="1"/>
      <w:numFmt w:val="lowerLetter"/>
      <w:lvlText w:val="%5."/>
      <w:lvlJc w:val="left"/>
      <w:pPr>
        <w:tabs>
          <w:tab w:val="num" w:pos="4680"/>
        </w:tabs>
        <w:ind w:left="4680" w:hanging="360"/>
      </w:pPr>
    </w:lvl>
    <w:lvl w:ilvl="5" w:tplc="AAA27552" w:tentative="1">
      <w:start w:val="1"/>
      <w:numFmt w:val="lowerRoman"/>
      <w:lvlText w:val="%6."/>
      <w:lvlJc w:val="right"/>
      <w:pPr>
        <w:tabs>
          <w:tab w:val="num" w:pos="5400"/>
        </w:tabs>
        <w:ind w:left="5400" w:hanging="180"/>
      </w:pPr>
    </w:lvl>
    <w:lvl w:ilvl="6" w:tplc="3078CF0A" w:tentative="1">
      <w:start w:val="1"/>
      <w:numFmt w:val="decimal"/>
      <w:lvlText w:val="%7."/>
      <w:lvlJc w:val="left"/>
      <w:pPr>
        <w:tabs>
          <w:tab w:val="num" w:pos="6120"/>
        </w:tabs>
        <w:ind w:left="6120" w:hanging="360"/>
      </w:pPr>
    </w:lvl>
    <w:lvl w:ilvl="7" w:tplc="4170E3F0" w:tentative="1">
      <w:start w:val="1"/>
      <w:numFmt w:val="lowerLetter"/>
      <w:lvlText w:val="%8."/>
      <w:lvlJc w:val="left"/>
      <w:pPr>
        <w:tabs>
          <w:tab w:val="num" w:pos="6840"/>
        </w:tabs>
        <w:ind w:left="6840" w:hanging="360"/>
      </w:pPr>
    </w:lvl>
    <w:lvl w:ilvl="8" w:tplc="23F02B38" w:tentative="1">
      <w:start w:val="1"/>
      <w:numFmt w:val="lowerRoman"/>
      <w:lvlText w:val="%9."/>
      <w:lvlJc w:val="right"/>
      <w:pPr>
        <w:tabs>
          <w:tab w:val="num" w:pos="7560"/>
        </w:tabs>
        <w:ind w:left="7560" w:hanging="180"/>
      </w:pPr>
    </w:lvl>
  </w:abstractNum>
  <w:abstractNum w:abstractNumId="9">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8F03D66"/>
    <w:multiLevelType w:val="hybridMultilevel"/>
    <w:tmpl w:val="7A8AA0A2"/>
    <w:lvl w:ilvl="0" w:tplc="EF0C63BE">
      <w:start w:val="1"/>
      <w:numFmt w:val="bullet"/>
      <w:lvlText w:val="­"/>
      <w:lvlJc w:val="left"/>
      <w:pPr>
        <w:tabs>
          <w:tab w:val="num" w:pos="720"/>
        </w:tabs>
        <w:ind w:left="720" w:hanging="360"/>
      </w:pPr>
      <w:rPr>
        <w:rFonts w:ascii="Courier New" w:hAnsi="Courier New" w:hint="default"/>
      </w:rPr>
    </w:lvl>
    <w:lvl w:ilvl="1" w:tplc="EBD8775E" w:tentative="1">
      <w:start w:val="1"/>
      <w:numFmt w:val="bullet"/>
      <w:lvlText w:val="o"/>
      <w:lvlJc w:val="left"/>
      <w:pPr>
        <w:tabs>
          <w:tab w:val="num" w:pos="1440"/>
        </w:tabs>
        <w:ind w:left="1440" w:hanging="360"/>
      </w:pPr>
      <w:rPr>
        <w:rFonts w:ascii="Courier New" w:hAnsi="Courier New" w:cs="Courier New" w:hint="default"/>
      </w:rPr>
    </w:lvl>
    <w:lvl w:ilvl="2" w:tplc="C9AA112E" w:tentative="1">
      <w:start w:val="1"/>
      <w:numFmt w:val="bullet"/>
      <w:lvlText w:val=""/>
      <w:lvlJc w:val="left"/>
      <w:pPr>
        <w:tabs>
          <w:tab w:val="num" w:pos="2160"/>
        </w:tabs>
        <w:ind w:left="2160" w:hanging="360"/>
      </w:pPr>
      <w:rPr>
        <w:rFonts w:ascii="Wingdings" w:hAnsi="Wingdings" w:hint="default"/>
      </w:rPr>
    </w:lvl>
    <w:lvl w:ilvl="3" w:tplc="62A600C4" w:tentative="1">
      <w:start w:val="1"/>
      <w:numFmt w:val="bullet"/>
      <w:lvlText w:val=""/>
      <w:lvlJc w:val="left"/>
      <w:pPr>
        <w:tabs>
          <w:tab w:val="num" w:pos="2880"/>
        </w:tabs>
        <w:ind w:left="2880" w:hanging="360"/>
      </w:pPr>
      <w:rPr>
        <w:rFonts w:ascii="Symbol" w:hAnsi="Symbol" w:hint="default"/>
      </w:rPr>
    </w:lvl>
    <w:lvl w:ilvl="4" w:tplc="A956ED86" w:tentative="1">
      <w:start w:val="1"/>
      <w:numFmt w:val="bullet"/>
      <w:lvlText w:val="o"/>
      <w:lvlJc w:val="left"/>
      <w:pPr>
        <w:tabs>
          <w:tab w:val="num" w:pos="3600"/>
        </w:tabs>
        <w:ind w:left="3600" w:hanging="360"/>
      </w:pPr>
      <w:rPr>
        <w:rFonts w:ascii="Courier New" w:hAnsi="Courier New" w:cs="Courier New" w:hint="default"/>
      </w:rPr>
    </w:lvl>
    <w:lvl w:ilvl="5" w:tplc="E31A1BE8" w:tentative="1">
      <w:start w:val="1"/>
      <w:numFmt w:val="bullet"/>
      <w:lvlText w:val=""/>
      <w:lvlJc w:val="left"/>
      <w:pPr>
        <w:tabs>
          <w:tab w:val="num" w:pos="4320"/>
        </w:tabs>
        <w:ind w:left="4320" w:hanging="360"/>
      </w:pPr>
      <w:rPr>
        <w:rFonts w:ascii="Wingdings" w:hAnsi="Wingdings" w:hint="default"/>
      </w:rPr>
    </w:lvl>
    <w:lvl w:ilvl="6" w:tplc="01321D62" w:tentative="1">
      <w:start w:val="1"/>
      <w:numFmt w:val="bullet"/>
      <w:lvlText w:val=""/>
      <w:lvlJc w:val="left"/>
      <w:pPr>
        <w:tabs>
          <w:tab w:val="num" w:pos="5040"/>
        </w:tabs>
        <w:ind w:left="5040" w:hanging="360"/>
      </w:pPr>
      <w:rPr>
        <w:rFonts w:ascii="Symbol" w:hAnsi="Symbol" w:hint="default"/>
      </w:rPr>
    </w:lvl>
    <w:lvl w:ilvl="7" w:tplc="9B2C6766" w:tentative="1">
      <w:start w:val="1"/>
      <w:numFmt w:val="bullet"/>
      <w:lvlText w:val="o"/>
      <w:lvlJc w:val="left"/>
      <w:pPr>
        <w:tabs>
          <w:tab w:val="num" w:pos="5760"/>
        </w:tabs>
        <w:ind w:left="5760" w:hanging="360"/>
      </w:pPr>
      <w:rPr>
        <w:rFonts w:ascii="Courier New" w:hAnsi="Courier New" w:cs="Courier New" w:hint="default"/>
      </w:rPr>
    </w:lvl>
    <w:lvl w:ilvl="8" w:tplc="4022B0DE" w:tentative="1">
      <w:start w:val="1"/>
      <w:numFmt w:val="bullet"/>
      <w:lvlText w:val=""/>
      <w:lvlJc w:val="left"/>
      <w:pPr>
        <w:tabs>
          <w:tab w:val="num" w:pos="6480"/>
        </w:tabs>
        <w:ind w:left="6480" w:hanging="360"/>
      </w:pPr>
      <w:rPr>
        <w:rFonts w:ascii="Wingdings" w:hAnsi="Wingdings" w:hint="default"/>
      </w:rPr>
    </w:lvl>
  </w:abstractNum>
  <w:abstractNum w:abstractNumId="12">
    <w:nsid w:val="2E3C74FD"/>
    <w:multiLevelType w:val="hybridMultilevel"/>
    <w:tmpl w:val="63120864"/>
    <w:lvl w:ilvl="0" w:tplc="A13AD58A">
      <w:start w:val="1"/>
      <w:numFmt w:val="lowerRoman"/>
      <w:lvlText w:val="(%1)"/>
      <w:lvlJc w:val="left"/>
      <w:pPr>
        <w:tabs>
          <w:tab w:val="num" w:pos="1440"/>
        </w:tabs>
        <w:ind w:left="1440" w:hanging="720"/>
      </w:pPr>
      <w:rPr>
        <w:rFonts w:hint="default"/>
      </w:rPr>
    </w:lvl>
    <w:lvl w:ilvl="1" w:tplc="88F0C8D2" w:tentative="1">
      <w:start w:val="1"/>
      <w:numFmt w:val="lowerLetter"/>
      <w:lvlText w:val="%2."/>
      <w:lvlJc w:val="left"/>
      <w:pPr>
        <w:tabs>
          <w:tab w:val="num" w:pos="1800"/>
        </w:tabs>
        <w:ind w:left="1800" w:hanging="360"/>
      </w:pPr>
    </w:lvl>
    <w:lvl w:ilvl="2" w:tplc="AB100AEE" w:tentative="1">
      <w:start w:val="1"/>
      <w:numFmt w:val="lowerRoman"/>
      <w:lvlText w:val="%3."/>
      <w:lvlJc w:val="right"/>
      <w:pPr>
        <w:tabs>
          <w:tab w:val="num" w:pos="2520"/>
        </w:tabs>
        <w:ind w:left="2520" w:hanging="180"/>
      </w:pPr>
    </w:lvl>
    <w:lvl w:ilvl="3" w:tplc="8A484C14" w:tentative="1">
      <w:start w:val="1"/>
      <w:numFmt w:val="decimal"/>
      <w:lvlText w:val="%4."/>
      <w:lvlJc w:val="left"/>
      <w:pPr>
        <w:tabs>
          <w:tab w:val="num" w:pos="3240"/>
        </w:tabs>
        <w:ind w:left="3240" w:hanging="360"/>
      </w:pPr>
    </w:lvl>
    <w:lvl w:ilvl="4" w:tplc="0BF4EF50" w:tentative="1">
      <w:start w:val="1"/>
      <w:numFmt w:val="lowerLetter"/>
      <w:lvlText w:val="%5."/>
      <w:lvlJc w:val="left"/>
      <w:pPr>
        <w:tabs>
          <w:tab w:val="num" w:pos="3960"/>
        </w:tabs>
        <w:ind w:left="3960" w:hanging="360"/>
      </w:pPr>
    </w:lvl>
    <w:lvl w:ilvl="5" w:tplc="7E201F6C" w:tentative="1">
      <w:start w:val="1"/>
      <w:numFmt w:val="lowerRoman"/>
      <w:lvlText w:val="%6."/>
      <w:lvlJc w:val="right"/>
      <w:pPr>
        <w:tabs>
          <w:tab w:val="num" w:pos="4680"/>
        </w:tabs>
        <w:ind w:left="4680" w:hanging="180"/>
      </w:pPr>
    </w:lvl>
    <w:lvl w:ilvl="6" w:tplc="EA12778A" w:tentative="1">
      <w:start w:val="1"/>
      <w:numFmt w:val="decimal"/>
      <w:lvlText w:val="%7."/>
      <w:lvlJc w:val="left"/>
      <w:pPr>
        <w:tabs>
          <w:tab w:val="num" w:pos="5400"/>
        </w:tabs>
        <w:ind w:left="5400" w:hanging="360"/>
      </w:pPr>
    </w:lvl>
    <w:lvl w:ilvl="7" w:tplc="48F0A9A0" w:tentative="1">
      <w:start w:val="1"/>
      <w:numFmt w:val="lowerLetter"/>
      <w:lvlText w:val="%8."/>
      <w:lvlJc w:val="left"/>
      <w:pPr>
        <w:tabs>
          <w:tab w:val="num" w:pos="6120"/>
        </w:tabs>
        <w:ind w:left="6120" w:hanging="360"/>
      </w:pPr>
    </w:lvl>
    <w:lvl w:ilvl="8" w:tplc="102CCC50" w:tentative="1">
      <w:start w:val="1"/>
      <w:numFmt w:val="lowerRoman"/>
      <w:lvlText w:val="%9."/>
      <w:lvlJc w:val="right"/>
      <w:pPr>
        <w:tabs>
          <w:tab w:val="num" w:pos="6840"/>
        </w:tabs>
        <w:ind w:left="6840" w:hanging="180"/>
      </w:pPr>
    </w:lvl>
  </w:abstractNum>
  <w:abstractNum w:abstractNumId="13">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4">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6">
    <w:nsid w:val="372A749B"/>
    <w:multiLevelType w:val="hybridMultilevel"/>
    <w:tmpl w:val="EBD879C0"/>
    <w:lvl w:ilvl="0" w:tplc="1D989922">
      <w:start w:val="1"/>
      <w:numFmt w:val="lowerRoman"/>
      <w:lvlText w:val="(%1)"/>
      <w:lvlJc w:val="left"/>
      <w:pPr>
        <w:tabs>
          <w:tab w:val="num" w:pos="2448"/>
        </w:tabs>
        <w:ind w:left="2448" w:hanging="648"/>
      </w:pPr>
      <w:rPr>
        <w:rFonts w:hint="default"/>
        <w:b w:val="0"/>
        <w:i w:val="0"/>
        <w:u w:val="none"/>
      </w:rPr>
    </w:lvl>
    <w:lvl w:ilvl="1" w:tplc="1D1E7712" w:tentative="1">
      <w:start w:val="1"/>
      <w:numFmt w:val="lowerLetter"/>
      <w:lvlText w:val="%2."/>
      <w:lvlJc w:val="left"/>
      <w:pPr>
        <w:tabs>
          <w:tab w:val="num" w:pos="1440"/>
        </w:tabs>
        <w:ind w:left="1440" w:hanging="360"/>
      </w:pPr>
    </w:lvl>
    <w:lvl w:ilvl="2" w:tplc="4A947CCE" w:tentative="1">
      <w:start w:val="1"/>
      <w:numFmt w:val="lowerRoman"/>
      <w:lvlText w:val="%3."/>
      <w:lvlJc w:val="right"/>
      <w:pPr>
        <w:tabs>
          <w:tab w:val="num" w:pos="2160"/>
        </w:tabs>
        <w:ind w:left="2160" w:hanging="180"/>
      </w:pPr>
    </w:lvl>
    <w:lvl w:ilvl="3" w:tplc="488C8AA6" w:tentative="1">
      <w:start w:val="1"/>
      <w:numFmt w:val="decimal"/>
      <w:lvlText w:val="%4."/>
      <w:lvlJc w:val="left"/>
      <w:pPr>
        <w:tabs>
          <w:tab w:val="num" w:pos="2880"/>
        </w:tabs>
        <w:ind w:left="2880" w:hanging="360"/>
      </w:pPr>
    </w:lvl>
    <w:lvl w:ilvl="4" w:tplc="8132B92A" w:tentative="1">
      <w:start w:val="1"/>
      <w:numFmt w:val="lowerLetter"/>
      <w:lvlText w:val="%5."/>
      <w:lvlJc w:val="left"/>
      <w:pPr>
        <w:tabs>
          <w:tab w:val="num" w:pos="3600"/>
        </w:tabs>
        <w:ind w:left="3600" w:hanging="360"/>
      </w:pPr>
    </w:lvl>
    <w:lvl w:ilvl="5" w:tplc="3266E5B6" w:tentative="1">
      <w:start w:val="1"/>
      <w:numFmt w:val="lowerRoman"/>
      <w:lvlText w:val="%6."/>
      <w:lvlJc w:val="right"/>
      <w:pPr>
        <w:tabs>
          <w:tab w:val="num" w:pos="4320"/>
        </w:tabs>
        <w:ind w:left="4320" w:hanging="180"/>
      </w:pPr>
    </w:lvl>
    <w:lvl w:ilvl="6" w:tplc="168C4FDA" w:tentative="1">
      <w:start w:val="1"/>
      <w:numFmt w:val="decimal"/>
      <w:lvlText w:val="%7."/>
      <w:lvlJc w:val="left"/>
      <w:pPr>
        <w:tabs>
          <w:tab w:val="num" w:pos="5040"/>
        </w:tabs>
        <w:ind w:left="5040" w:hanging="360"/>
      </w:pPr>
    </w:lvl>
    <w:lvl w:ilvl="7" w:tplc="BAFCEF8A" w:tentative="1">
      <w:start w:val="1"/>
      <w:numFmt w:val="lowerLetter"/>
      <w:lvlText w:val="%8."/>
      <w:lvlJc w:val="left"/>
      <w:pPr>
        <w:tabs>
          <w:tab w:val="num" w:pos="5760"/>
        </w:tabs>
        <w:ind w:left="5760" w:hanging="360"/>
      </w:pPr>
    </w:lvl>
    <w:lvl w:ilvl="8" w:tplc="461282A4" w:tentative="1">
      <w:start w:val="1"/>
      <w:numFmt w:val="lowerRoman"/>
      <w:lvlText w:val="%9."/>
      <w:lvlJc w:val="right"/>
      <w:pPr>
        <w:tabs>
          <w:tab w:val="num" w:pos="6480"/>
        </w:tabs>
        <w:ind w:left="648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1301D75"/>
    <w:multiLevelType w:val="hybridMultilevel"/>
    <w:tmpl w:val="66320138"/>
    <w:lvl w:ilvl="0" w:tplc="2B748822">
      <w:start w:val="1"/>
      <w:numFmt w:val="lowerLetter"/>
      <w:lvlText w:val="%1."/>
      <w:lvlJc w:val="left"/>
      <w:pPr>
        <w:tabs>
          <w:tab w:val="num" w:pos="2160"/>
        </w:tabs>
        <w:ind w:left="2160" w:hanging="720"/>
      </w:pPr>
      <w:rPr>
        <w:rFonts w:hint="default"/>
      </w:rPr>
    </w:lvl>
    <w:lvl w:ilvl="1" w:tplc="F92EDEEC" w:tentative="1">
      <w:start w:val="1"/>
      <w:numFmt w:val="lowerLetter"/>
      <w:lvlText w:val="%2."/>
      <w:lvlJc w:val="left"/>
      <w:pPr>
        <w:tabs>
          <w:tab w:val="num" w:pos="2520"/>
        </w:tabs>
        <w:ind w:left="2520" w:hanging="360"/>
      </w:pPr>
    </w:lvl>
    <w:lvl w:ilvl="2" w:tplc="8EC6BD00" w:tentative="1">
      <w:start w:val="1"/>
      <w:numFmt w:val="lowerRoman"/>
      <w:lvlText w:val="%3."/>
      <w:lvlJc w:val="right"/>
      <w:pPr>
        <w:tabs>
          <w:tab w:val="num" w:pos="3240"/>
        </w:tabs>
        <w:ind w:left="3240" w:hanging="180"/>
      </w:pPr>
    </w:lvl>
    <w:lvl w:ilvl="3" w:tplc="554823D2" w:tentative="1">
      <w:start w:val="1"/>
      <w:numFmt w:val="decimal"/>
      <w:lvlText w:val="%4."/>
      <w:lvlJc w:val="left"/>
      <w:pPr>
        <w:tabs>
          <w:tab w:val="num" w:pos="3960"/>
        </w:tabs>
        <w:ind w:left="3960" w:hanging="360"/>
      </w:pPr>
    </w:lvl>
    <w:lvl w:ilvl="4" w:tplc="94225238" w:tentative="1">
      <w:start w:val="1"/>
      <w:numFmt w:val="lowerLetter"/>
      <w:lvlText w:val="%5."/>
      <w:lvlJc w:val="left"/>
      <w:pPr>
        <w:tabs>
          <w:tab w:val="num" w:pos="4680"/>
        </w:tabs>
        <w:ind w:left="4680" w:hanging="360"/>
      </w:pPr>
    </w:lvl>
    <w:lvl w:ilvl="5" w:tplc="AB4867CC" w:tentative="1">
      <w:start w:val="1"/>
      <w:numFmt w:val="lowerRoman"/>
      <w:lvlText w:val="%6."/>
      <w:lvlJc w:val="right"/>
      <w:pPr>
        <w:tabs>
          <w:tab w:val="num" w:pos="5400"/>
        </w:tabs>
        <w:ind w:left="5400" w:hanging="180"/>
      </w:pPr>
    </w:lvl>
    <w:lvl w:ilvl="6" w:tplc="5A10A402" w:tentative="1">
      <w:start w:val="1"/>
      <w:numFmt w:val="decimal"/>
      <w:lvlText w:val="%7."/>
      <w:lvlJc w:val="left"/>
      <w:pPr>
        <w:tabs>
          <w:tab w:val="num" w:pos="6120"/>
        </w:tabs>
        <w:ind w:left="6120" w:hanging="360"/>
      </w:pPr>
    </w:lvl>
    <w:lvl w:ilvl="7" w:tplc="71124B22" w:tentative="1">
      <w:start w:val="1"/>
      <w:numFmt w:val="lowerLetter"/>
      <w:lvlText w:val="%8."/>
      <w:lvlJc w:val="left"/>
      <w:pPr>
        <w:tabs>
          <w:tab w:val="num" w:pos="6840"/>
        </w:tabs>
        <w:ind w:left="6840" w:hanging="360"/>
      </w:pPr>
    </w:lvl>
    <w:lvl w:ilvl="8" w:tplc="A7BEB68A"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71739E9"/>
    <w:multiLevelType w:val="hybridMultilevel"/>
    <w:tmpl w:val="B29C98A0"/>
    <w:lvl w:ilvl="0" w:tplc="782EF068">
      <w:start w:val="1"/>
      <w:numFmt w:val="bullet"/>
      <w:lvlText w:val=""/>
      <w:lvlJc w:val="left"/>
      <w:pPr>
        <w:tabs>
          <w:tab w:val="num" w:pos="5760"/>
        </w:tabs>
        <w:ind w:left="5760" w:hanging="360"/>
      </w:pPr>
      <w:rPr>
        <w:rFonts w:ascii="Symbol" w:hAnsi="Symbol" w:hint="default"/>
        <w:color w:val="auto"/>
        <w:u w:val="none"/>
      </w:rPr>
    </w:lvl>
    <w:lvl w:ilvl="1" w:tplc="7E5C29AE" w:tentative="1">
      <w:start w:val="1"/>
      <w:numFmt w:val="bullet"/>
      <w:lvlText w:val="o"/>
      <w:lvlJc w:val="left"/>
      <w:pPr>
        <w:tabs>
          <w:tab w:val="num" w:pos="3600"/>
        </w:tabs>
        <w:ind w:left="3600" w:hanging="360"/>
      </w:pPr>
      <w:rPr>
        <w:rFonts w:ascii="Courier New" w:hAnsi="Courier New" w:hint="default"/>
      </w:rPr>
    </w:lvl>
    <w:lvl w:ilvl="2" w:tplc="7BF83DAE" w:tentative="1">
      <w:start w:val="1"/>
      <w:numFmt w:val="bullet"/>
      <w:lvlText w:val=""/>
      <w:lvlJc w:val="left"/>
      <w:pPr>
        <w:tabs>
          <w:tab w:val="num" w:pos="4320"/>
        </w:tabs>
        <w:ind w:left="4320" w:hanging="360"/>
      </w:pPr>
      <w:rPr>
        <w:rFonts w:ascii="Wingdings" w:hAnsi="Wingdings" w:hint="default"/>
      </w:rPr>
    </w:lvl>
    <w:lvl w:ilvl="3" w:tplc="AF945B8E">
      <w:start w:val="1"/>
      <w:numFmt w:val="bullet"/>
      <w:lvlText w:val=""/>
      <w:lvlJc w:val="left"/>
      <w:pPr>
        <w:tabs>
          <w:tab w:val="num" w:pos="5040"/>
        </w:tabs>
        <w:ind w:left="5040" w:hanging="360"/>
      </w:pPr>
      <w:rPr>
        <w:rFonts w:ascii="Symbol" w:hAnsi="Symbol" w:hint="default"/>
      </w:rPr>
    </w:lvl>
    <w:lvl w:ilvl="4" w:tplc="B08CA1B8" w:tentative="1">
      <w:start w:val="1"/>
      <w:numFmt w:val="bullet"/>
      <w:lvlText w:val="o"/>
      <w:lvlJc w:val="left"/>
      <w:pPr>
        <w:tabs>
          <w:tab w:val="num" w:pos="5760"/>
        </w:tabs>
        <w:ind w:left="5760" w:hanging="360"/>
      </w:pPr>
      <w:rPr>
        <w:rFonts w:ascii="Courier New" w:hAnsi="Courier New" w:hint="default"/>
      </w:rPr>
    </w:lvl>
    <w:lvl w:ilvl="5" w:tplc="BAC47C28" w:tentative="1">
      <w:start w:val="1"/>
      <w:numFmt w:val="bullet"/>
      <w:lvlText w:val=""/>
      <w:lvlJc w:val="left"/>
      <w:pPr>
        <w:tabs>
          <w:tab w:val="num" w:pos="6480"/>
        </w:tabs>
        <w:ind w:left="6480" w:hanging="360"/>
      </w:pPr>
      <w:rPr>
        <w:rFonts w:ascii="Wingdings" w:hAnsi="Wingdings" w:hint="default"/>
      </w:rPr>
    </w:lvl>
    <w:lvl w:ilvl="6" w:tplc="7BC83D6E" w:tentative="1">
      <w:start w:val="1"/>
      <w:numFmt w:val="bullet"/>
      <w:lvlText w:val=""/>
      <w:lvlJc w:val="left"/>
      <w:pPr>
        <w:tabs>
          <w:tab w:val="num" w:pos="7200"/>
        </w:tabs>
        <w:ind w:left="7200" w:hanging="360"/>
      </w:pPr>
      <w:rPr>
        <w:rFonts w:ascii="Symbol" w:hAnsi="Symbol" w:hint="default"/>
      </w:rPr>
    </w:lvl>
    <w:lvl w:ilvl="7" w:tplc="072EE59C" w:tentative="1">
      <w:start w:val="1"/>
      <w:numFmt w:val="bullet"/>
      <w:lvlText w:val="o"/>
      <w:lvlJc w:val="left"/>
      <w:pPr>
        <w:tabs>
          <w:tab w:val="num" w:pos="7920"/>
        </w:tabs>
        <w:ind w:left="7920" w:hanging="360"/>
      </w:pPr>
      <w:rPr>
        <w:rFonts w:ascii="Courier New" w:hAnsi="Courier New" w:hint="default"/>
      </w:rPr>
    </w:lvl>
    <w:lvl w:ilvl="8" w:tplc="563EDF9E" w:tentative="1">
      <w:start w:val="1"/>
      <w:numFmt w:val="bullet"/>
      <w:lvlText w:val=""/>
      <w:lvlJc w:val="left"/>
      <w:pPr>
        <w:tabs>
          <w:tab w:val="num" w:pos="8640"/>
        </w:tabs>
        <w:ind w:left="8640" w:hanging="360"/>
      </w:pPr>
      <w:rPr>
        <w:rFonts w:ascii="Wingdings" w:hAnsi="Wingdings" w:hint="default"/>
      </w:rPr>
    </w:lvl>
  </w:abstractNum>
  <w:abstractNum w:abstractNumId="28">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481A94A6">
      <w:start w:val="1"/>
      <w:numFmt w:val="bullet"/>
      <w:lvlText w:val=""/>
      <w:lvlJc w:val="left"/>
      <w:pPr>
        <w:tabs>
          <w:tab w:val="num" w:pos="720"/>
        </w:tabs>
        <w:ind w:left="720" w:hanging="360"/>
      </w:pPr>
      <w:rPr>
        <w:rFonts w:ascii="Symbol" w:hAnsi="Symbol" w:hint="default"/>
      </w:rPr>
    </w:lvl>
    <w:lvl w:ilvl="1" w:tplc="12F0D6A4" w:tentative="1">
      <w:start w:val="1"/>
      <w:numFmt w:val="bullet"/>
      <w:lvlText w:val="o"/>
      <w:lvlJc w:val="left"/>
      <w:pPr>
        <w:tabs>
          <w:tab w:val="num" w:pos="1440"/>
        </w:tabs>
        <w:ind w:left="1440" w:hanging="360"/>
      </w:pPr>
      <w:rPr>
        <w:rFonts w:ascii="Courier New" w:hAnsi="Courier New" w:hint="default"/>
      </w:rPr>
    </w:lvl>
    <w:lvl w:ilvl="2" w:tplc="EFA89476" w:tentative="1">
      <w:start w:val="1"/>
      <w:numFmt w:val="bullet"/>
      <w:lvlText w:val=""/>
      <w:lvlJc w:val="left"/>
      <w:pPr>
        <w:tabs>
          <w:tab w:val="num" w:pos="2160"/>
        </w:tabs>
        <w:ind w:left="2160" w:hanging="360"/>
      </w:pPr>
      <w:rPr>
        <w:rFonts w:ascii="Wingdings" w:hAnsi="Wingdings" w:hint="default"/>
      </w:rPr>
    </w:lvl>
    <w:lvl w:ilvl="3" w:tplc="E028175E" w:tentative="1">
      <w:start w:val="1"/>
      <w:numFmt w:val="bullet"/>
      <w:lvlText w:val=""/>
      <w:lvlJc w:val="left"/>
      <w:pPr>
        <w:tabs>
          <w:tab w:val="num" w:pos="2880"/>
        </w:tabs>
        <w:ind w:left="2880" w:hanging="360"/>
      </w:pPr>
      <w:rPr>
        <w:rFonts w:ascii="Symbol" w:hAnsi="Symbol" w:hint="default"/>
      </w:rPr>
    </w:lvl>
    <w:lvl w:ilvl="4" w:tplc="E01660FE" w:tentative="1">
      <w:start w:val="1"/>
      <w:numFmt w:val="bullet"/>
      <w:lvlText w:val="o"/>
      <w:lvlJc w:val="left"/>
      <w:pPr>
        <w:tabs>
          <w:tab w:val="num" w:pos="3600"/>
        </w:tabs>
        <w:ind w:left="3600" w:hanging="360"/>
      </w:pPr>
      <w:rPr>
        <w:rFonts w:ascii="Courier New" w:hAnsi="Courier New" w:hint="default"/>
      </w:rPr>
    </w:lvl>
    <w:lvl w:ilvl="5" w:tplc="7E004316" w:tentative="1">
      <w:start w:val="1"/>
      <w:numFmt w:val="bullet"/>
      <w:lvlText w:val=""/>
      <w:lvlJc w:val="left"/>
      <w:pPr>
        <w:tabs>
          <w:tab w:val="num" w:pos="4320"/>
        </w:tabs>
        <w:ind w:left="4320" w:hanging="360"/>
      </w:pPr>
      <w:rPr>
        <w:rFonts w:ascii="Wingdings" w:hAnsi="Wingdings" w:hint="default"/>
      </w:rPr>
    </w:lvl>
    <w:lvl w:ilvl="6" w:tplc="12D2889E" w:tentative="1">
      <w:start w:val="1"/>
      <w:numFmt w:val="bullet"/>
      <w:lvlText w:val=""/>
      <w:lvlJc w:val="left"/>
      <w:pPr>
        <w:tabs>
          <w:tab w:val="num" w:pos="5040"/>
        </w:tabs>
        <w:ind w:left="5040" w:hanging="360"/>
      </w:pPr>
      <w:rPr>
        <w:rFonts w:ascii="Symbol" w:hAnsi="Symbol" w:hint="default"/>
      </w:rPr>
    </w:lvl>
    <w:lvl w:ilvl="7" w:tplc="7F903F8E" w:tentative="1">
      <w:start w:val="1"/>
      <w:numFmt w:val="bullet"/>
      <w:lvlText w:val="o"/>
      <w:lvlJc w:val="left"/>
      <w:pPr>
        <w:tabs>
          <w:tab w:val="num" w:pos="5760"/>
        </w:tabs>
        <w:ind w:left="5760" w:hanging="360"/>
      </w:pPr>
      <w:rPr>
        <w:rFonts w:ascii="Courier New" w:hAnsi="Courier New" w:hint="default"/>
      </w:rPr>
    </w:lvl>
    <w:lvl w:ilvl="8" w:tplc="98DCA7F4"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B81240D2">
      <w:start w:val="6"/>
      <w:numFmt w:val="lowerRoman"/>
      <w:lvlText w:val="(%1)"/>
      <w:lvlJc w:val="left"/>
      <w:pPr>
        <w:tabs>
          <w:tab w:val="num" w:pos="1440"/>
        </w:tabs>
        <w:ind w:left="1440" w:hanging="720"/>
      </w:pPr>
      <w:rPr>
        <w:rFonts w:hint="default"/>
        <w:u w:val="double"/>
      </w:rPr>
    </w:lvl>
    <w:lvl w:ilvl="1" w:tplc="1D222690" w:tentative="1">
      <w:start w:val="1"/>
      <w:numFmt w:val="lowerLetter"/>
      <w:lvlText w:val="%2."/>
      <w:lvlJc w:val="left"/>
      <w:pPr>
        <w:tabs>
          <w:tab w:val="num" w:pos="1800"/>
        </w:tabs>
        <w:ind w:left="1800" w:hanging="360"/>
      </w:pPr>
    </w:lvl>
    <w:lvl w:ilvl="2" w:tplc="A800ADFE" w:tentative="1">
      <w:start w:val="1"/>
      <w:numFmt w:val="lowerRoman"/>
      <w:lvlText w:val="%3."/>
      <w:lvlJc w:val="right"/>
      <w:pPr>
        <w:tabs>
          <w:tab w:val="num" w:pos="2520"/>
        </w:tabs>
        <w:ind w:left="2520" w:hanging="180"/>
      </w:pPr>
    </w:lvl>
    <w:lvl w:ilvl="3" w:tplc="914ECAAA" w:tentative="1">
      <w:start w:val="1"/>
      <w:numFmt w:val="decimal"/>
      <w:lvlText w:val="%4."/>
      <w:lvlJc w:val="left"/>
      <w:pPr>
        <w:tabs>
          <w:tab w:val="num" w:pos="3240"/>
        </w:tabs>
        <w:ind w:left="3240" w:hanging="360"/>
      </w:pPr>
    </w:lvl>
    <w:lvl w:ilvl="4" w:tplc="92CC0DC6" w:tentative="1">
      <w:start w:val="1"/>
      <w:numFmt w:val="lowerLetter"/>
      <w:lvlText w:val="%5."/>
      <w:lvlJc w:val="left"/>
      <w:pPr>
        <w:tabs>
          <w:tab w:val="num" w:pos="3960"/>
        </w:tabs>
        <w:ind w:left="3960" w:hanging="360"/>
      </w:pPr>
    </w:lvl>
    <w:lvl w:ilvl="5" w:tplc="D070F25E" w:tentative="1">
      <w:start w:val="1"/>
      <w:numFmt w:val="lowerRoman"/>
      <w:lvlText w:val="%6."/>
      <w:lvlJc w:val="right"/>
      <w:pPr>
        <w:tabs>
          <w:tab w:val="num" w:pos="4680"/>
        </w:tabs>
        <w:ind w:left="4680" w:hanging="180"/>
      </w:pPr>
    </w:lvl>
    <w:lvl w:ilvl="6" w:tplc="A6EC3B5A" w:tentative="1">
      <w:start w:val="1"/>
      <w:numFmt w:val="decimal"/>
      <w:lvlText w:val="%7."/>
      <w:lvlJc w:val="left"/>
      <w:pPr>
        <w:tabs>
          <w:tab w:val="num" w:pos="5400"/>
        </w:tabs>
        <w:ind w:left="5400" w:hanging="360"/>
      </w:pPr>
    </w:lvl>
    <w:lvl w:ilvl="7" w:tplc="71F64EE4" w:tentative="1">
      <w:start w:val="1"/>
      <w:numFmt w:val="lowerLetter"/>
      <w:lvlText w:val="%8."/>
      <w:lvlJc w:val="left"/>
      <w:pPr>
        <w:tabs>
          <w:tab w:val="num" w:pos="6120"/>
        </w:tabs>
        <w:ind w:left="6120" w:hanging="360"/>
      </w:pPr>
    </w:lvl>
    <w:lvl w:ilvl="8" w:tplc="0412AA60"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3"/>
  </w:num>
  <w:num w:numId="3">
    <w:abstractNumId w:val="15"/>
  </w:num>
  <w:num w:numId="4">
    <w:abstractNumId w:val="28"/>
  </w:num>
  <w:num w:numId="5">
    <w:abstractNumId w:val="10"/>
  </w:num>
  <w:num w:numId="6">
    <w:abstractNumId w:val="14"/>
  </w:num>
  <w:num w:numId="7">
    <w:abstractNumId w:val="18"/>
  </w:num>
  <w:num w:numId="8">
    <w:abstractNumId w:val="3"/>
  </w:num>
  <w:num w:numId="9">
    <w:abstractNumId w:val="9"/>
  </w:num>
  <w:num w:numId="10">
    <w:abstractNumId w:val="4"/>
  </w:num>
  <w:num w:numId="11">
    <w:abstractNumId w:val="22"/>
  </w:num>
  <w:num w:numId="12">
    <w:abstractNumId w:val="33"/>
  </w:num>
  <w:num w:numId="13">
    <w:abstractNumId w:val="12"/>
  </w:num>
  <w:num w:numId="14">
    <w:abstractNumId w:val="8"/>
  </w:num>
  <w:num w:numId="15">
    <w:abstractNumId w:val="6"/>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5"/>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9"/>
  </w:num>
  <w:num w:numId="24">
    <w:abstractNumId w:val="20"/>
  </w:num>
  <w:num w:numId="25">
    <w:abstractNumId w:val="30"/>
  </w:num>
  <w:num w:numId="26">
    <w:abstractNumId w:val="17"/>
  </w:num>
  <w:num w:numId="27">
    <w:abstractNumId w:val="31"/>
  </w:num>
  <w:num w:numId="28">
    <w:abstractNumId w:val="26"/>
  </w:num>
  <w:num w:numId="29">
    <w:abstractNumId w:val="24"/>
  </w:num>
  <w:num w:numId="30">
    <w:abstractNumId w:val="21"/>
  </w:num>
  <w:num w:numId="31">
    <w:abstractNumId w:val="16"/>
  </w:num>
  <w:num w:numId="32">
    <w:abstractNumId w:val="27"/>
  </w:num>
  <w:num w:numId="33">
    <w:abstractNumId w:val="23"/>
  </w:num>
  <w:num w:numId="34">
    <w:abstractNumId w:val="25"/>
  </w:num>
  <w:num w:numId="35">
    <w:abstractNumId w:val="35"/>
  </w:num>
  <w:num w:numId="36">
    <w:abstractNumId w:val="11"/>
  </w:num>
  <w:num w:numId="37">
    <w:abstractNumId w:val="2"/>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F5"/>
    <w:rsid w:val="009A3956"/>
    <w:rsid w:val="00CF7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pPr>
    <w:rPr>
      <w:snapToGrid/>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customStyle="1" w:styleId="DeltaViewTableHeading">
    <w:name w:val="DeltaView Table Heading"/>
    <w:basedOn w:val="Normal"/>
    <w:pPr>
      <w:spacing w:after="120"/>
    </w:pPr>
    <w:rPr>
      <w:rFonts w:ascii="Arial" w:hAnsi="Arial"/>
      <w:b/>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B0FB5"/>
    <w:rPr>
      <w:snapToGrid w:val="0"/>
      <w:sz w:val="24"/>
    </w:rPr>
  </w:style>
  <w:style w:type="paragraph" w:customStyle="1" w:styleId="Bodypara0">
    <w:name w:val="Body para_0"/>
    <w:basedOn w:val="Normal"/>
    <w:rsid w:val="00EB0FB5"/>
    <w:pPr>
      <w:spacing w:line="480" w:lineRule="auto"/>
      <w:ind w:firstLin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pPr>
    <w:rPr>
      <w:snapToGrid/>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customStyle="1" w:styleId="DeltaViewTableHeading">
    <w:name w:val="DeltaView Table Heading"/>
    <w:basedOn w:val="Normal"/>
    <w:pPr>
      <w:spacing w:after="120"/>
    </w:pPr>
    <w:rPr>
      <w:rFonts w:ascii="Arial" w:hAnsi="Arial"/>
      <w:b/>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B0FB5"/>
    <w:rPr>
      <w:snapToGrid w:val="0"/>
      <w:sz w:val="24"/>
    </w:rPr>
  </w:style>
  <w:style w:type="paragraph" w:customStyle="1" w:styleId="Bodypara0">
    <w:name w:val="Body para_0"/>
    <w:basedOn w:val="Normal"/>
    <w:rsid w:val="00EB0FB5"/>
    <w:pPr>
      <w:spacing w:line="480" w:lineRule="auto"/>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324D4-B852-42AC-AD7C-8242AD365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5169</Words>
  <Characters>29468</Characters>
  <Application>Microsoft Office Word</Application>
  <DocSecurity>4</DocSecurity>
  <Lines>245</Lines>
  <Paragraphs>69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34568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Schnell, Alex</dc:creator>
  <cp:lastModifiedBy>TMS IIS</cp:lastModifiedBy>
  <cp:revision>2</cp:revision>
  <cp:lastPrinted>2018-08-17T14:56:00Z</cp:lastPrinted>
  <dcterms:created xsi:type="dcterms:W3CDTF">2024-04-17T16:05:00Z</dcterms:created>
  <dcterms:modified xsi:type="dcterms:W3CDTF">2024-04-17T16:05:00Z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45cfd10d-e419-4d7d-a355-f369b20e9c95</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2022-12-01T20:55:49Z</vt:lpwstr>
  </property>
  <property fmtid="{D5CDD505-2E9C-101B-9397-08002B2CF9AE}" pid="8" name="MSIP_Label_5bf193d9-c1cf-45e0-8fa7-a9bc86b7f5dd_SiteId">
    <vt:lpwstr>7658602a-f7b9-4209-bc62-d2bfc30dea0d</vt:lpwstr>
  </property>
</Properties>
</file>