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0D5277" w:rsidRDefault="00F110B3" w:rsidP="0089050C">
      <w:pPr>
        <w:pStyle w:val="Heading2"/>
      </w:pPr>
      <w:bookmarkStart w:id="0" w:name="_Toc260339038"/>
      <w:bookmarkStart w:id="1" w:name="_Toc262653025"/>
      <w:r>
        <w:t>25.</w:t>
      </w:r>
      <w:r>
        <w:t>7</w:t>
      </w:r>
      <w:r w:rsidRPr="000D5277">
        <w:tab/>
        <w:t>Cost Allocation Methodology for CRIS.</w:t>
      </w:r>
      <w:bookmarkEnd w:id="0"/>
      <w:bookmarkEnd w:id="1"/>
    </w:p>
    <w:p w:rsidR="00E269E7" w:rsidRPr="000D5277" w:rsidRDefault="00F110B3" w:rsidP="0089050C">
      <w:pPr>
        <w:pStyle w:val="Heading3"/>
        <w:rPr>
          <w:bCs/>
        </w:rPr>
      </w:pPr>
      <w:bookmarkStart w:id="2" w:name="_Toc260339039"/>
      <w:bookmarkStart w:id="3" w:name="_Toc262653026"/>
      <w:r>
        <w:t>25.</w:t>
      </w:r>
      <w:r>
        <w:t>7.1</w:t>
      </w:r>
      <w:r w:rsidRPr="000D5277">
        <w:rPr>
          <w:bCs/>
        </w:rPr>
        <w:tab/>
        <w:t>Cost Allocation Among Developers in a Class Year.</w:t>
      </w:r>
      <w:bookmarkEnd w:id="2"/>
      <w:bookmarkEnd w:id="3"/>
    </w:p>
    <w:p w:rsidR="00B051CE" w:rsidRPr="00560206" w:rsidRDefault="00F110B3" w:rsidP="0089050C">
      <w:pPr>
        <w:pStyle w:val="Bodypara"/>
        <w:rPr>
          <w:color w:val="000000"/>
        </w:rPr>
      </w:pPr>
      <w:r w:rsidRPr="00C11086">
        <w:t>Each project in a Class Year will share in the then currently available</w:t>
      </w:r>
      <w:r w:rsidRPr="000D5277">
        <w:t xml:space="preserve"> </w:t>
      </w:r>
      <w:r w:rsidRPr="000D5277">
        <w:t xml:space="preserve">deliverability capability of the New York State Transmission System, </w:t>
      </w:r>
      <w:r w:rsidRPr="000D5277">
        <w:rPr>
          <w:color w:val="000000"/>
        </w:rPr>
        <w:t xml:space="preserve">and will also share in the cost of any System Deliverability Upgrades required for its project to qualify for CRIS at the requested level.  The total cost of the System Deliverability Upgrades required for </w:t>
      </w:r>
      <w:r w:rsidRPr="00560206">
        <w:rPr>
          <w:color w:val="000000"/>
        </w:rPr>
        <w:t>all the projects in the Class Year will be allocat</w:t>
      </w:r>
      <w:r w:rsidRPr="00560206">
        <w:rPr>
          <w:color w:val="000000"/>
        </w:rPr>
        <w:t xml:space="preserve">ed among the projects in the Class Year based on the pro rata impact of each Class Year </w:t>
      </w:r>
      <w:ins w:id="4" w:author="Author" w:date="2012-08-14T18:57:00Z">
        <w:r>
          <w:rPr>
            <w:color w:val="000000"/>
          </w:rPr>
          <w:t>P</w:t>
        </w:r>
      </w:ins>
      <w:del w:id="5" w:author="Author" w:date="2012-08-14T18:57:00Z">
        <w:r w:rsidRPr="00560206">
          <w:rPr>
            <w:color w:val="000000"/>
          </w:rPr>
          <w:delText>p</w:delText>
        </w:r>
      </w:del>
      <w:r w:rsidRPr="00560206">
        <w:rPr>
          <w:color w:val="000000"/>
        </w:rPr>
        <w:t>roject on the deliverability of the New York State Transmission System, that is, the pro rata contribution of each project in the Class Year to the total cost of each</w:t>
      </w:r>
      <w:r w:rsidRPr="00560206">
        <w:rPr>
          <w:color w:val="000000"/>
        </w:rPr>
        <w:t xml:space="preserve"> of the System Deliverability Upgrades identified in the Class Year Deliverability Study.  In addition to this allocation of cost responsibility for System Deliverability Upgrades among the projects in a Class Year, the cost of certain Highway </w:t>
      </w:r>
      <w:r w:rsidRPr="00B11548">
        <w:rPr>
          <w:color w:val="000000"/>
        </w:rPr>
        <w:t>System Deliv</w:t>
      </w:r>
      <w:r w:rsidRPr="00B11548">
        <w:rPr>
          <w:color w:val="000000"/>
        </w:rPr>
        <w:t>erability U</w:t>
      </w:r>
      <w:r w:rsidRPr="00560206">
        <w:rPr>
          <w:color w:val="000000"/>
        </w:rPr>
        <w:t xml:space="preserve">pgrades will be shared with Load Serving Entities and subsequent Developers, as described below in Section </w:t>
      </w:r>
      <w:r>
        <w:rPr>
          <w:color w:val="000000"/>
        </w:rPr>
        <w:t>25.7.12</w:t>
      </w:r>
      <w:r w:rsidRPr="00560206">
        <w:rPr>
          <w:color w:val="000000"/>
        </w:rPr>
        <w:t xml:space="preserve"> of these rules.</w:t>
      </w:r>
    </w:p>
    <w:p w:rsidR="00B051CE" w:rsidRPr="0089050C" w:rsidRDefault="00F110B3" w:rsidP="0089050C">
      <w:pPr>
        <w:pStyle w:val="Heading3"/>
      </w:pPr>
      <w:bookmarkStart w:id="6" w:name="_Toc260339040"/>
      <w:bookmarkStart w:id="7" w:name="_Toc262653027"/>
      <w:r>
        <w:t>25.</w:t>
      </w:r>
      <w:r>
        <w:t>7.2</w:t>
      </w:r>
      <w:r w:rsidRPr="0089050C">
        <w:tab/>
        <w:t>Categories of transmission facilities.</w:t>
      </w:r>
      <w:bookmarkEnd w:id="6"/>
      <w:bookmarkEnd w:id="7"/>
    </w:p>
    <w:p w:rsidR="00B051CE" w:rsidRPr="00560206" w:rsidRDefault="00F110B3" w:rsidP="00B051CE">
      <w:pPr>
        <w:spacing w:line="480" w:lineRule="auto"/>
        <w:ind w:firstLine="720"/>
        <w:rPr>
          <w:color w:val="000000"/>
        </w:rPr>
      </w:pPr>
      <w:r w:rsidRPr="00560206">
        <w:rPr>
          <w:color w:val="000000"/>
        </w:rPr>
        <w:t>For purposes of applying the NYISO Deliverability Interconnection St</w:t>
      </w:r>
      <w:r w:rsidRPr="00560206">
        <w:rPr>
          <w:color w:val="000000"/>
        </w:rPr>
        <w:t>andard, transmission facilities comprising the New York State Transmission System will be categorized as either Byways or Highways or Other Interfaces.</w:t>
      </w:r>
    </w:p>
    <w:p w:rsidR="00B051CE" w:rsidRPr="00560206" w:rsidRDefault="00F110B3" w:rsidP="00DC4CA6">
      <w:pPr>
        <w:pStyle w:val="alphapara"/>
      </w:pPr>
      <w:bookmarkStart w:id="8" w:name="_Toc260339041"/>
      <w:r w:rsidRPr="00D50CFB">
        <w:rPr>
          <w:b/>
        </w:rPr>
        <w:t>25.7.2.</w:t>
      </w:r>
      <w:r w:rsidRPr="00D50CFB">
        <w:rPr>
          <w:b/>
          <w:color w:val="000000"/>
        </w:rPr>
        <w:t>1</w:t>
      </w:r>
      <w:r w:rsidRPr="00560206">
        <w:rPr>
          <w:b/>
        </w:rPr>
        <w:tab/>
      </w:r>
      <w:r w:rsidRPr="00560206">
        <w:rPr>
          <w:b/>
          <w:bCs/>
        </w:rPr>
        <w:t>Byways.</w:t>
      </w:r>
      <w:r w:rsidRPr="00560206">
        <w:t xml:space="preserve">  The Developer of a </w:t>
      </w:r>
      <w:del w:id="9" w:author="Author" w:date="2012-09-12T10:06:00Z">
        <w:r w:rsidRPr="00560206">
          <w:delText xml:space="preserve">proposed generation or merchant transmission </w:delText>
        </w:r>
      </w:del>
      <w:ins w:id="10" w:author="Author" w:date="2012-09-12T18:26:00Z">
        <w:r>
          <w:t xml:space="preserve">Class Year </w:t>
        </w:r>
      </w:ins>
      <w:del w:id="11" w:author="Author" w:date="2012-09-12T18:26:00Z">
        <w:r w:rsidRPr="00560206">
          <w:delText>p</w:delText>
        </w:r>
      </w:del>
      <w:ins w:id="12" w:author="Author" w:date="2012-09-12T10:06:00Z">
        <w:r>
          <w:t>P</w:t>
        </w:r>
      </w:ins>
      <w:r w:rsidRPr="00560206">
        <w:t xml:space="preserve">roject will pay its pro rata share of one hundred percent (100%) of the cost of the System Deliverability Upgrades to any Byway needed to make the </w:t>
      </w:r>
      <w:del w:id="13" w:author="Author" w:date="2012-09-12T10:06:00Z">
        <w:r w:rsidRPr="00560206">
          <w:delText xml:space="preserve">Developer’s </w:delText>
        </w:r>
      </w:del>
      <w:ins w:id="14" w:author="Author" w:date="2012-09-12T18:26:00Z">
        <w:r>
          <w:t xml:space="preserve">Class Year </w:t>
        </w:r>
      </w:ins>
      <w:del w:id="15" w:author="Author" w:date="2012-09-12T10:06:00Z">
        <w:r w:rsidRPr="00560206">
          <w:delText>p</w:delText>
        </w:r>
      </w:del>
      <w:ins w:id="16" w:author="Author" w:date="2012-09-12T10:06:00Z">
        <w:r>
          <w:t>P</w:t>
        </w:r>
      </w:ins>
      <w:r w:rsidRPr="00560206">
        <w:t>roject deliverable in accordance with these rules.  The System Deliverability Upgrad</w:t>
      </w:r>
      <w:r w:rsidRPr="00560206">
        <w:t xml:space="preserve">es on the Byway or Byways </w:t>
      </w:r>
      <w:r w:rsidRPr="00560206">
        <w:lastRenderedPageBreak/>
        <w:t>will be identified by the NYISO, with input from the Connecting</w:t>
      </w:r>
      <w:bookmarkEnd w:id="8"/>
      <w:r w:rsidRPr="00560206">
        <w:t xml:space="preserve"> </w:t>
      </w:r>
      <w:bookmarkStart w:id="17" w:name="_Toc260339042"/>
      <w:r w:rsidRPr="00560206">
        <w:t>Transmission Owner and from the Affected Transmission Owner(s), in the Class Year Deliverability Study.  A Developer paying to upgrade a Byway will be eligible to rec</w:t>
      </w:r>
      <w:r w:rsidRPr="00560206">
        <w:t>eive Headroom payments in accordance with these rules.  A Developer paying to upgrade a Byway will receive any Incremental TCCs created.  A subsequent Developer paying for use of Headroom on System Deliverability Upgrades will receive the corresponding Inc</w:t>
      </w:r>
      <w:r w:rsidRPr="00560206">
        <w:t>remental TCCs.</w:t>
      </w:r>
      <w:bookmarkEnd w:id="17"/>
    </w:p>
    <w:p w:rsidR="00B051CE" w:rsidRPr="00560206" w:rsidRDefault="00F110B3" w:rsidP="00DC4CA6">
      <w:pPr>
        <w:pStyle w:val="alphapara"/>
      </w:pPr>
      <w:bookmarkStart w:id="18" w:name="_Toc260339043"/>
      <w:r w:rsidRPr="00D50CFB">
        <w:rPr>
          <w:b/>
        </w:rPr>
        <w:t>25.7.2.</w:t>
      </w:r>
      <w:r w:rsidRPr="00D50CFB">
        <w:rPr>
          <w:b/>
          <w:color w:val="000000"/>
        </w:rPr>
        <w:t>2</w:t>
      </w:r>
      <w:r w:rsidRPr="00560206">
        <w:rPr>
          <w:b/>
        </w:rPr>
        <w:tab/>
      </w:r>
      <w:r w:rsidRPr="00560206">
        <w:rPr>
          <w:b/>
          <w:bCs/>
        </w:rPr>
        <w:t>Highways.</w:t>
      </w:r>
      <w:r w:rsidRPr="00560206">
        <w:t xml:space="preserve">  The Developer of a </w:t>
      </w:r>
      <w:del w:id="19" w:author="Author" w:date="2012-09-12T10:07:00Z">
        <w:r w:rsidRPr="00560206">
          <w:delText>proposed generation or merchant</w:delText>
        </w:r>
        <w:r w:rsidRPr="00560206">
          <w:rPr>
            <w:u w:val="double"/>
          </w:rPr>
          <w:delText xml:space="preserve"> </w:delText>
        </w:r>
        <w:r w:rsidRPr="00560206">
          <w:delText xml:space="preserve">transmission </w:delText>
        </w:r>
      </w:del>
      <w:ins w:id="20" w:author="Author" w:date="2012-09-12T10:07:00Z">
        <w:r>
          <w:t>Class Year P</w:t>
        </w:r>
      </w:ins>
      <w:del w:id="21" w:author="Author" w:date="2012-09-12T10:07:00Z">
        <w:r w:rsidRPr="00560206">
          <w:delText>p</w:delText>
        </w:r>
      </w:del>
      <w:r w:rsidRPr="00560206">
        <w:t xml:space="preserve">roject will pay an allocated share of the cost of the System Deliverability Upgrades to any Highway needed to make the </w:t>
      </w:r>
      <w:del w:id="22" w:author="Author" w:date="2012-09-12T10:07:00Z">
        <w:r w:rsidRPr="00560206">
          <w:delText>Developer’s p</w:delText>
        </w:r>
      </w:del>
      <w:ins w:id="23" w:author="Author" w:date="2012-09-12T10:07:00Z">
        <w:r>
          <w:t>Class Year P</w:t>
        </w:r>
      </w:ins>
      <w:r w:rsidRPr="00560206">
        <w:t>roject deliverable in accordance with these rules.  The System Deliverability Upgrades on the Highway or Highways, and the Developer’s allocated share of the cost of those System Deliverability Upgrades, will be identified by the NYISO, with input from the</w:t>
      </w:r>
      <w:r w:rsidRPr="00560206">
        <w:t xml:space="preserve"> Connecting Transmission Owner and from the Affected Transmission Owner(s), in the Class Year Deliverability Study.  A Developer paying </w:t>
      </w:r>
      <w:r w:rsidRPr="00B11548">
        <w:t>for Highway System Deliverability Upgrades w</w:t>
      </w:r>
      <w:r w:rsidRPr="00560206">
        <w:t xml:space="preserve">ill be eligible to receive Headroom payments in accordance with these rules </w:t>
      </w:r>
      <w:r w:rsidRPr="00560206">
        <w:t>to the extent that it pays for System</w:t>
      </w:r>
      <w:bookmarkEnd w:id="18"/>
      <w:r w:rsidRPr="0049476A">
        <w:t xml:space="preserve"> </w:t>
      </w:r>
      <w:bookmarkStart w:id="24" w:name="_Toc260339044"/>
      <w:r w:rsidRPr="00560206">
        <w:t xml:space="preserve">Deliverability Upgrade capacity in excess of that required to provide the requested level of CRIS.  A Developer paying </w:t>
      </w:r>
      <w:r w:rsidRPr="00B11548">
        <w:t>for Highway System Deliverability Upgrades w</w:t>
      </w:r>
      <w:r w:rsidRPr="00560206">
        <w:t>ill receive a share of any incremental TCCs created, in</w:t>
      </w:r>
      <w:r w:rsidRPr="00560206">
        <w:t xml:space="preserve"> accordance with these rules.  A subsequent Developer paying for use of Headroom on System Deliverability Upgrades will receive the </w:t>
      </w:r>
      <w:r w:rsidRPr="00560206">
        <w:lastRenderedPageBreak/>
        <w:t>corresponding Incremental TCCs, if any, based on its share of the System Deliverability Upgrade costs.</w:t>
      </w:r>
      <w:bookmarkEnd w:id="24"/>
    </w:p>
    <w:p w:rsidR="00B051CE" w:rsidRPr="00560206" w:rsidRDefault="00F110B3" w:rsidP="00DC4CA6">
      <w:pPr>
        <w:pStyle w:val="alphapara"/>
      </w:pPr>
      <w:bookmarkStart w:id="25" w:name="_Toc260339045"/>
      <w:r w:rsidRPr="00D50CFB">
        <w:rPr>
          <w:b/>
        </w:rPr>
        <w:t>25.7.2.</w:t>
      </w:r>
      <w:r w:rsidRPr="00D50CFB">
        <w:rPr>
          <w:b/>
          <w:color w:val="000000"/>
        </w:rPr>
        <w:t>3</w:t>
      </w:r>
      <w:r w:rsidRPr="00560206">
        <w:rPr>
          <w:b/>
        </w:rPr>
        <w:tab/>
        <w:t>Other Interf</w:t>
      </w:r>
      <w:r w:rsidRPr="00560206">
        <w:rPr>
          <w:b/>
        </w:rPr>
        <w:t>aces.</w:t>
      </w:r>
      <w:r w:rsidRPr="00560206">
        <w:t xml:space="preserve">  If the proposed generation or merchant transmission project degrades the transfer capability of any one of the Other Interfaces below the transfer capability identified in the current ATBA, then the</w:t>
      </w:r>
      <w:del w:id="26" w:author="Author" w:date="2012-09-12T18:28:00Z">
        <w:r w:rsidRPr="00560206">
          <w:rPr>
            <w:u w:val="double"/>
          </w:rPr>
          <w:delText xml:space="preserve"> </w:delText>
        </w:r>
      </w:del>
      <w:ins w:id="27" w:author="Author" w:date="2012-09-12T18:28:00Z">
        <w:r>
          <w:rPr>
            <w:u w:val="double"/>
          </w:rPr>
          <w:t xml:space="preserve"> </w:t>
        </w:r>
      </w:ins>
      <w:r w:rsidRPr="00560206">
        <w:t>Developer will pay its pro rata share of one hund</w:t>
      </w:r>
      <w:r w:rsidRPr="00560206">
        <w:t>red percent (100%) of the cost of the System Deliverability Upgrades needed to restore the transfer capability of the Other Interfaces degraded by its proposed project to what the transfer capability of those Other Interfaces would have been without its pr</w:t>
      </w:r>
      <w:r w:rsidRPr="00560206">
        <w:t xml:space="preserve">oject, as that transfer capability was measured in the current ATBA.  Where two or more projects would cause degradation of an Other Interface’s transfer capability, the cost of the necessary System Deliverability Upgrades to restore the original transfer </w:t>
      </w:r>
      <w:r w:rsidRPr="00560206">
        <w:t>capability of the interface shall be shared on a pro rata basis, based on the MW of degradation that each project would cause.</w:t>
      </w:r>
      <w:bookmarkEnd w:id="25"/>
      <w:r w:rsidRPr="00560206">
        <w:t xml:space="preserve"> </w:t>
      </w:r>
    </w:p>
    <w:p w:rsidR="00E269E7" w:rsidRPr="0089050C" w:rsidRDefault="00F110B3" w:rsidP="0089050C">
      <w:pPr>
        <w:pStyle w:val="Heading3"/>
      </w:pPr>
      <w:bookmarkStart w:id="28" w:name="_Toc260339046"/>
      <w:bookmarkStart w:id="29" w:name="_Toc262653028"/>
      <w:r>
        <w:t>25.</w:t>
      </w:r>
      <w:r>
        <w:t>7.3</w:t>
      </w:r>
      <w:r w:rsidRPr="0089050C">
        <w:tab/>
      </w:r>
      <w:smartTag w:uri="urn:schemas-microsoft-com:office:smarttags" w:element="place">
        <w:smartTag w:uri="urn:schemas-microsoft-com:office:smarttags" w:element="State">
          <w:r w:rsidRPr="0089050C">
            <w:t>New York</w:t>
          </w:r>
        </w:smartTag>
      </w:smartTag>
      <w:r w:rsidRPr="0089050C">
        <w:t xml:space="preserve"> Capacity Regions.</w:t>
      </w:r>
      <w:bookmarkEnd w:id="28"/>
      <w:bookmarkEnd w:id="29"/>
    </w:p>
    <w:p w:rsidR="00E269E7" w:rsidRPr="000D5277" w:rsidRDefault="00F110B3" w:rsidP="00E269E7">
      <w:pPr>
        <w:spacing w:line="480" w:lineRule="auto"/>
        <w:ind w:firstLine="720"/>
      </w:pPr>
      <w:r w:rsidRPr="000D5277">
        <w:t xml:space="preserve">The deliverability test will be applied within each of the three (3) New York Capacity Regions:  Rest of State, Long Island and </w:t>
      </w:r>
      <w:smartTag w:uri="urn:schemas-microsoft-com:office:smarttags" w:element="place">
        <w:smartTag w:uri="urn:schemas-microsoft-com:office:smarttags" w:element="City">
          <w:r w:rsidRPr="000D5277">
            <w:t>New York City</w:t>
          </w:r>
        </w:smartTag>
      </w:smartTag>
      <w:r w:rsidRPr="000D5277">
        <w:t>.  To be declared deliverable a generator or merchant transmission project must be deliverable throughout the NYISO</w:t>
      </w:r>
      <w:r w:rsidRPr="000D5277">
        <w:t xml:space="preserve"> Capacity Region in which the project is interconnected.  For example, a proposed generator or merchant transmission project interconnecting in the Rest of State Capacity Region will be required to demonstrate deliverability throughout the Rest of State Ca</w:t>
      </w:r>
      <w:r w:rsidRPr="000D5277">
        <w:t>pacity Region, but will not be required to demonstrate deliverability to or within either the Long Island Capacity Region or the New York City Capacity Region.</w:t>
      </w:r>
    </w:p>
    <w:p w:rsidR="00E269E7" w:rsidRPr="0089050C" w:rsidRDefault="00F110B3" w:rsidP="0089050C">
      <w:pPr>
        <w:pStyle w:val="Heading3"/>
      </w:pPr>
      <w:bookmarkStart w:id="30" w:name="_Toc260339047"/>
      <w:bookmarkStart w:id="31" w:name="_Toc262653029"/>
      <w:r>
        <w:t>25.</w:t>
      </w:r>
      <w:r>
        <w:t>7.4</w:t>
      </w:r>
      <w:r w:rsidRPr="0089050C">
        <w:tab/>
        <w:t>Participation in Capacity Markets.</w:t>
      </w:r>
      <w:bookmarkEnd w:id="30"/>
      <w:bookmarkEnd w:id="31"/>
    </w:p>
    <w:p w:rsidR="00E269E7" w:rsidRPr="000D5277" w:rsidRDefault="00F110B3" w:rsidP="004530DD">
      <w:pPr>
        <w:spacing w:line="480" w:lineRule="auto"/>
        <w:ind w:firstLine="720"/>
      </w:pPr>
      <w:r w:rsidRPr="000D5277">
        <w:t>A Developer, in order to be eligible to become an Inst</w:t>
      </w:r>
      <w:r w:rsidRPr="000D5277">
        <w:t>alled Capacity Supplier or receive Unforced Capacity Deliverability Rights, must elect CRIS.  The MW amount of CRIS requested by a Developer, stated in MWs of Installed Capacity, cannot exceed the name plate capacity of its generation or merchant transmiss</w:t>
      </w:r>
      <w:r w:rsidRPr="000D5277">
        <w:t xml:space="preserve">ion project.  The NYISO will perform the Class Year Deliverability Study in accordance with these rules and with input of Market Participants, to determine the deliverability of each of the </w:t>
      </w:r>
      <w:del w:id="32" w:author="Author" w:date="2012-08-14T19:00:00Z">
        <w:r w:rsidRPr="000D5277">
          <w:delText>members</w:delText>
        </w:r>
      </w:del>
      <w:del w:id="33" w:author="Author" w:date="2012-09-12T18:28:00Z">
        <w:r w:rsidRPr="000D5277">
          <w:delText xml:space="preserve"> of the </w:delText>
        </w:r>
      </w:del>
      <w:r w:rsidRPr="000D5277">
        <w:t>Class Year</w:t>
      </w:r>
      <w:ins w:id="34" w:author="Author" w:date="2012-09-12T18:28:00Z">
        <w:r>
          <w:t xml:space="preserve"> </w:t>
        </w:r>
      </w:ins>
      <w:ins w:id="35" w:author="Author" w:date="2012-08-14T19:00:00Z">
        <w:r>
          <w:t>Projects</w:t>
        </w:r>
      </w:ins>
      <w:r w:rsidRPr="000D5277">
        <w:t xml:space="preserve"> that have requested some level </w:t>
      </w:r>
      <w:r w:rsidRPr="000D5277">
        <w:t xml:space="preserve">of CRIS.  The Class Year Deliverability Study will identify and allocate the cost of the System Deliverability Upgrades needed to make deliverable each Class Year </w:t>
      </w:r>
      <w:del w:id="36" w:author="Author" w:date="2012-09-12T09:20:00Z">
        <w:r w:rsidRPr="000D5277">
          <w:delText>member</w:delText>
        </w:r>
      </w:del>
      <w:ins w:id="37" w:author="Author" w:date="2012-08-14T19:00:00Z">
        <w:r>
          <w:t>Project</w:t>
        </w:r>
      </w:ins>
      <w:r w:rsidRPr="000D5277">
        <w:t xml:space="preserve"> that has</w:t>
      </w:r>
      <w:r>
        <w:t xml:space="preserve"> </w:t>
      </w:r>
      <w:r w:rsidRPr="000D5277">
        <w:t>requested CRIS.  In order to be eligible to become an Installed Capaci</w:t>
      </w:r>
      <w:r w:rsidRPr="000D5277">
        <w:t>ty Supplier or receive Unforced Capacity Deliverability Rights, a Developer must fund or commit to fund, in accordance with these rules, the System Deliverability Upgrades needed for its project to be deliverable at the requested level of CRIS.</w:t>
      </w:r>
    </w:p>
    <w:p w:rsidR="00E269E7" w:rsidRPr="0089050C" w:rsidRDefault="00F110B3" w:rsidP="0089050C">
      <w:pPr>
        <w:pStyle w:val="Heading3"/>
      </w:pPr>
      <w:bookmarkStart w:id="38" w:name="_Toc260339048"/>
      <w:bookmarkStart w:id="39" w:name="_Toc262653030"/>
      <w:r>
        <w:t>25.</w:t>
      </w:r>
      <w:r>
        <w:t>7.5</w:t>
      </w:r>
      <w:r w:rsidRPr="0089050C">
        <w:tab/>
        <w:t xml:space="preserve">The </w:t>
      </w:r>
      <w:r w:rsidRPr="0089050C">
        <w:t>Pre-Existing System.</w:t>
      </w:r>
      <w:bookmarkEnd w:id="38"/>
      <w:bookmarkEnd w:id="39"/>
    </w:p>
    <w:p w:rsidR="00E269E7" w:rsidRPr="000D5277" w:rsidRDefault="00F110B3" w:rsidP="00E269E7">
      <w:pPr>
        <w:spacing w:line="480" w:lineRule="auto"/>
        <w:ind w:firstLine="720"/>
      </w:pPr>
      <w:r w:rsidRPr="000D5277">
        <w:t>Where the Existing System Representation demonstrates deliverability issues, a Developer electing CRIS need only address the incremental deliverability of its inter-connecting generator or merchant transmission project, not the deliver</w:t>
      </w:r>
      <w:r w:rsidRPr="000D5277">
        <w:t>ability of the pre-existing system depicted in the Existing System Representation.  Likewise, Transmission Owners will not be responsible for curing any pre-existing issues related to the deliverability of generators.</w:t>
      </w:r>
    </w:p>
    <w:p w:rsidR="00E269E7" w:rsidRPr="0089050C" w:rsidRDefault="00F110B3" w:rsidP="0089050C">
      <w:pPr>
        <w:pStyle w:val="Heading3"/>
      </w:pPr>
      <w:bookmarkStart w:id="40" w:name="_Toc260339049"/>
      <w:bookmarkStart w:id="41" w:name="_Toc262653031"/>
      <w:r>
        <w:t>25.</w:t>
      </w:r>
      <w:r>
        <w:t>7.6</w:t>
      </w:r>
      <w:r w:rsidRPr="0089050C">
        <w:tab/>
        <w:t>CRIS Values.</w:t>
      </w:r>
      <w:bookmarkEnd w:id="40"/>
      <w:bookmarkEnd w:id="41"/>
    </w:p>
    <w:p w:rsidR="00E269E7" w:rsidRPr="000D5277" w:rsidRDefault="00F110B3" w:rsidP="00E269E7">
      <w:pPr>
        <w:spacing w:line="480" w:lineRule="auto"/>
        <w:ind w:firstLine="720"/>
      </w:pPr>
      <w:r w:rsidRPr="000D5277">
        <w:t>A Developer may el</w:t>
      </w:r>
      <w:r w:rsidRPr="000D5277">
        <w:t xml:space="preserve">ect partial CRIS for its project.  Generators qualifying for CRIS will have two CRIS values:  one for the </w:t>
      </w:r>
      <w:r w:rsidRPr="000D5277">
        <w:t>S</w:t>
      </w:r>
      <w:r w:rsidRPr="000D5277">
        <w:t xml:space="preserve">ummer </w:t>
      </w:r>
      <w:r w:rsidRPr="000D5277">
        <w:t>C</w:t>
      </w:r>
      <w:r w:rsidRPr="000D5277">
        <w:t xml:space="preserve">apability </w:t>
      </w:r>
      <w:r w:rsidRPr="000D5277">
        <w:t>P</w:t>
      </w:r>
      <w:r w:rsidRPr="000D5277">
        <w:t xml:space="preserve">eriod and one for the winter capability period.  The CRIS value for the </w:t>
      </w:r>
      <w:r w:rsidRPr="000D5277">
        <w:t>S</w:t>
      </w:r>
      <w:r w:rsidRPr="000D5277">
        <w:t xml:space="preserve">ummer </w:t>
      </w:r>
      <w:r w:rsidRPr="000D5277">
        <w:t>C</w:t>
      </w:r>
      <w:r w:rsidRPr="000D5277">
        <w:t xml:space="preserve">apability </w:t>
      </w:r>
      <w:r w:rsidRPr="000D5277">
        <w:t>P</w:t>
      </w:r>
      <w:r w:rsidRPr="000D5277">
        <w:t>eriod will be set using the deliverabili</w:t>
      </w:r>
      <w:r w:rsidRPr="000D5277">
        <w:t xml:space="preserve">ty test methodology and procedures described below.  The CRIS value for the </w:t>
      </w:r>
      <w:r w:rsidRPr="000D5277">
        <w:t>W</w:t>
      </w:r>
      <w:r w:rsidRPr="000D5277">
        <w:t xml:space="preserve">inter </w:t>
      </w:r>
      <w:r w:rsidRPr="000D5277">
        <w:t>C</w:t>
      </w:r>
      <w:r w:rsidRPr="000D5277">
        <w:t xml:space="preserve">apability </w:t>
      </w:r>
      <w:r w:rsidRPr="000D5277">
        <w:t>P</w:t>
      </w:r>
      <w:r w:rsidRPr="000D5277">
        <w:t xml:space="preserve">eriod will be set at a value that will maintain the same proportion of CRIS to ERIS as for the </w:t>
      </w:r>
      <w:r w:rsidRPr="000D5277">
        <w:t>S</w:t>
      </w:r>
      <w:r w:rsidRPr="000D5277">
        <w:t xml:space="preserve">ummer </w:t>
      </w:r>
      <w:r w:rsidRPr="000D5277">
        <w:t>C</w:t>
      </w:r>
      <w:r w:rsidRPr="000D5277">
        <w:t xml:space="preserve">apability </w:t>
      </w:r>
      <w:r w:rsidRPr="000D5277">
        <w:t>P</w:t>
      </w:r>
      <w:r w:rsidRPr="000D5277">
        <w:t>eriod.</w:t>
      </w:r>
    </w:p>
    <w:p w:rsidR="00E269E7" w:rsidRPr="0089050C" w:rsidRDefault="00F110B3" w:rsidP="0089050C">
      <w:pPr>
        <w:pStyle w:val="Heading3"/>
      </w:pPr>
      <w:bookmarkStart w:id="42" w:name="_Toc260339050"/>
      <w:bookmarkStart w:id="43" w:name="_Toc262653032"/>
      <w:r>
        <w:t>25.</w:t>
      </w:r>
      <w:r>
        <w:t>7.7</w:t>
      </w:r>
      <w:r w:rsidRPr="0089050C">
        <w:tab/>
        <w:t>Class Year Deliverability Study P</w:t>
      </w:r>
      <w:r w:rsidRPr="0089050C">
        <w:t>rocedures.</w:t>
      </w:r>
      <w:bookmarkEnd w:id="42"/>
      <w:bookmarkEnd w:id="43"/>
    </w:p>
    <w:p w:rsidR="00E269E7" w:rsidRDefault="00F110B3" w:rsidP="00A27903">
      <w:pPr>
        <w:spacing w:line="480" w:lineRule="auto"/>
        <w:ind w:firstLine="720"/>
        <w:rPr>
          <w:ins w:id="44" w:author="Author" w:date="2012-08-14T19:02:00Z"/>
        </w:rPr>
      </w:pPr>
      <w:r w:rsidRPr="000D5277">
        <w:t>The NYISO staff will conduct the Class Year Deliverability Study, as described in these rules, in cooperation with Market Participants.  No Market Participant wil</w:t>
      </w:r>
      <w:r>
        <w:t xml:space="preserve">l have decisional </w:t>
      </w:r>
      <w:r w:rsidRPr="000D5277">
        <w:t xml:space="preserve">control over any determinative aspect of the Class Year </w:t>
      </w:r>
      <w:r w:rsidRPr="000D5277">
        <w:t>Deliverability Study.  The NYISO and its staff will have decisional control over the entire Class Year Deliverability Study.  If, at any time, the NYISO staff decides that it needs specific expert services from entities such as Market Participants, consult</w:t>
      </w:r>
      <w:r w:rsidRPr="000D5277">
        <w:t>ants or engineering firms for it to conduct the Class Year Deliverability Study, then the NYISO will enter into appropriate contracts with such entities for such input.  As it conducts each Class Year Deliverability Study, the NYISO staff will provide regu</w:t>
      </w:r>
      <w:r w:rsidRPr="000D5277">
        <w:t>larly</w:t>
      </w:r>
      <w:r w:rsidRPr="00531289">
        <w:rPr>
          <w:u w:val="double"/>
        </w:rPr>
        <w:t xml:space="preserve"> </w:t>
      </w:r>
      <w:r w:rsidRPr="000D5277">
        <w:t>scheduled status reports and working drafts, with supporting data, to the Operating Committee to ensure that all affected Market Participants have an opportunity to contribute whatever information and input they believe might be helpful to the proces</w:t>
      </w:r>
      <w:r w:rsidRPr="000D5277">
        <w:t>s.  Each completed Class Year Deliverability Study will be reviewed and approved by the Operating Committee, when the Operating Committee approves the ATRA for the same Class Year.  Each Class Year Deliverability Study is reviewable by the NYISO Board of D</w:t>
      </w:r>
      <w:r w:rsidRPr="000D5277">
        <w:t>irectors in accordance with the provisions of the Commission-approved ISO Agreement.</w:t>
      </w:r>
    </w:p>
    <w:p w:rsidR="003215BC" w:rsidRPr="000D5277" w:rsidRDefault="00F110B3" w:rsidP="009C5DEC">
      <w:pPr>
        <w:pStyle w:val="alphapara"/>
      </w:pPr>
      <w:ins w:id="45" w:author="Author" w:date="2012-08-14T19:02:00Z">
        <w:r>
          <w:t>25.7.7.1</w:t>
        </w:r>
      </w:ins>
      <w:ins w:id="46" w:author="Author" w:date="2012-08-14T19:03:00Z">
        <w:r>
          <w:tab/>
        </w:r>
      </w:ins>
      <w:ins w:id="47" w:author="Author" w:date="2012-10-15T09:44:00Z">
        <w:r w:rsidRPr="00EC6961">
          <w:t>Starting with Class Year 2012</w:t>
        </w:r>
      </w:ins>
      <w:ins w:id="48" w:author="Author" w:date="2012-10-15T09:45:00Z">
        <w:r w:rsidRPr="00EC6961">
          <w:t>, i</w:t>
        </w:r>
      </w:ins>
      <w:ins w:id="49" w:author="Author" w:date="2012-08-14T19:03:00Z">
        <w:del w:id="50" w:author="Author" w:date="2012-10-15T09:45:00Z">
          <w:r w:rsidRPr="00EC6961">
            <w:delText>I</w:delText>
          </w:r>
        </w:del>
        <w:r w:rsidRPr="00EC6961">
          <w:t>f the NYISO determines that additional System Deliverability Upgrade</w:t>
        </w:r>
      </w:ins>
      <w:ins w:id="51" w:author="Author" w:date="2012-08-28T12:15:00Z">
        <w:r w:rsidRPr="00EC6961">
          <w:t xml:space="preserve"> studies </w:t>
        </w:r>
      </w:ins>
      <w:ins w:id="52" w:author="Author" w:date="2012-08-14T19:03:00Z">
        <w:r w:rsidRPr="00EC6961">
          <w:t>are required</w:t>
        </w:r>
        <w:r>
          <w:t xml:space="preserve"> </w:t>
        </w:r>
      </w:ins>
      <w:ins w:id="53" w:author="Author" w:date="2012-08-28T12:15:00Z">
        <w:r>
          <w:t xml:space="preserve">pursuant to Section </w:t>
        </w:r>
        <w:r w:rsidRPr="00667902">
          <w:t>25.</w:t>
        </w:r>
      </w:ins>
      <w:ins w:id="54" w:author="Author" w:date="2012-09-18T13:47:00Z">
        <w:r w:rsidRPr="00667902">
          <w:t>5.9</w:t>
        </w:r>
      </w:ins>
      <w:ins w:id="55" w:author="Author" w:date="2012-08-28T12:15:00Z">
        <w:r>
          <w:t xml:space="preserve"> of this Atta</w:t>
        </w:r>
        <w:r>
          <w:t>chment S</w:t>
        </w:r>
      </w:ins>
      <w:ins w:id="56" w:author="Author" w:date="2012-08-14T19:03:00Z">
        <w:r>
          <w:t xml:space="preserve">, NYISO will notify all Class </w:t>
        </w:r>
      </w:ins>
      <w:ins w:id="57" w:author="Author" w:date="2012-09-12T09:21:00Z">
        <w:r>
          <w:t xml:space="preserve">Year </w:t>
        </w:r>
      </w:ins>
      <w:ins w:id="58" w:author="Author" w:date="2012-08-14T19:03:00Z">
        <w:r>
          <w:t>P</w:t>
        </w:r>
      </w:ins>
      <w:ins w:id="59" w:author="Author" w:date="2012-08-28T12:16:00Z">
        <w:r>
          <w:t>ro</w:t>
        </w:r>
      </w:ins>
      <w:ins w:id="60" w:author="Author" w:date="2012-08-14T19:03:00Z">
        <w:r>
          <w:t xml:space="preserve">jects that such additional </w:t>
        </w:r>
      </w:ins>
      <w:ins w:id="61" w:author="Author" w:date="2012-08-28T12:16:00Z">
        <w:r>
          <w:t>System Deliverability Upgrade</w:t>
        </w:r>
      </w:ins>
      <w:ins w:id="62" w:author="Author" w:date="2012-08-14T19:03:00Z">
        <w:r>
          <w:t xml:space="preserve"> studies will be conducted</w:t>
        </w:r>
      </w:ins>
      <w:ins w:id="63" w:author="Author" w:date="2012-08-28T12:16:00Z">
        <w:r>
          <w:t xml:space="preserve">, such notice to be provided </w:t>
        </w:r>
      </w:ins>
      <w:ins w:id="64" w:author="Author" w:date="2012-09-12T18:29:00Z">
        <w:r>
          <w:t>as soon as practicable</w:t>
        </w:r>
      </w:ins>
      <w:ins w:id="65" w:author="Author" w:date="2012-08-28T12:16:00Z">
        <w:r>
          <w:t xml:space="preserve"> after the NYISO presents the results of the Class </w:t>
        </w:r>
      </w:ins>
      <w:ins w:id="66" w:author="Author" w:date="2012-09-12T09:21:00Z">
        <w:r>
          <w:t xml:space="preserve">Year </w:t>
        </w:r>
      </w:ins>
      <w:ins w:id="67" w:author="Author" w:date="2012-08-28T12:16:00Z">
        <w:r>
          <w:t>Deliverabil</w:t>
        </w:r>
      </w:ins>
      <w:ins w:id="68" w:author="Author" w:date="2012-08-28T12:17:00Z">
        <w:r>
          <w:t>i</w:t>
        </w:r>
      </w:ins>
      <w:ins w:id="69" w:author="Author" w:date="2012-08-28T12:16:00Z">
        <w:r>
          <w:t>ty Study</w:t>
        </w:r>
      </w:ins>
      <w:ins w:id="70" w:author="Author" w:date="2012-08-28T12:17:00Z">
        <w:r>
          <w:t xml:space="preserve"> to stakeholders</w:t>
        </w:r>
      </w:ins>
      <w:ins w:id="71" w:author="Author" w:date="2012-08-14T19:03:00Z">
        <w:r>
          <w:t xml:space="preserve">.  Within 10 business days from such notification, any Class </w:t>
        </w:r>
      </w:ins>
      <w:ins w:id="72" w:author="Author" w:date="2012-09-12T09:21:00Z">
        <w:r>
          <w:t xml:space="preserve">Year </w:t>
        </w:r>
      </w:ins>
      <w:ins w:id="73" w:author="Author" w:date="2012-08-14T19:04:00Z">
        <w:r>
          <w:t>P</w:t>
        </w:r>
      </w:ins>
      <w:ins w:id="74" w:author="Author" w:date="2012-08-14T19:03:00Z">
        <w:r>
          <w:t xml:space="preserve">roject may elect to (1) </w:t>
        </w:r>
      </w:ins>
      <w:ins w:id="75" w:author="Author" w:date="2012-08-28T14:36:00Z">
        <w:r>
          <w:t xml:space="preserve">withdraw from </w:t>
        </w:r>
      </w:ins>
      <w:ins w:id="76" w:author="Author" w:date="2012-08-14T19:03:00Z">
        <w:r>
          <w:t>the Class Year; (2) withdraw its CRIS request</w:t>
        </w:r>
      </w:ins>
      <w:ins w:id="77" w:author="Author" w:date="2012-09-12T18:29:00Z">
        <w:r>
          <w:t xml:space="preserve"> and remain in the Class Year for ERIS</w:t>
        </w:r>
      </w:ins>
      <w:ins w:id="78" w:author="Author" w:date="2012-08-14T19:03:00Z">
        <w:r>
          <w:t>; or (3) keep its CRIS request, but elect to have no</w:t>
        </w:r>
        <w:r>
          <w:t xml:space="preserve"> S</w:t>
        </w:r>
      </w:ins>
      <w:ins w:id="79" w:author="Author" w:date="2012-08-14T19:04:00Z">
        <w:r>
          <w:t xml:space="preserve">ystem Deliverability Upgrade </w:t>
        </w:r>
      </w:ins>
      <w:ins w:id="80" w:author="Author" w:date="2012-08-14T19:03:00Z">
        <w:r>
          <w:t>identified to make the project deliverable at its level of requested CRIS.</w:t>
        </w:r>
      </w:ins>
      <w:ins w:id="81" w:author="Author" w:date="2012-08-14T19:04:00Z">
        <w:r>
          <w:t xml:space="preserve">  </w:t>
        </w:r>
      </w:ins>
      <w:ins w:id="82" w:author="Author" w:date="2012-08-14T19:03:00Z">
        <w:r>
          <w:t xml:space="preserve">If a Class </w:t>
        </w:r>
      </w:ins>
      <w:ins w:id="83" w:author="Author" w:date="2012-09-12T09:22:00Z">
        <w:r>
          <w:t xml:space="preserve">Year </w:t>
        </w:r>
      </w:ins>
      <w:ins w:id="84" w:author="Author" w:date="2012-08-14T19:05:00Z">
        <w:r>
          <w:t>P</w:t>
        </w:r>
      </w:ins>
      <w:ins w:id="85" w:author="Author" w:date="2012-08-14T19:03:00Z">
        <w:r>
          <w:t>roject elects to keep its CRIS request, but with no S</w:t>
        </w:r>
      </w:ins>
      <w:ins w:id="86" w:author="Author" w:date="2012-08-14T19:05:00Z">
        <w:r>
          <w:t xml:space="preserve">ystem Deliverability Upgrade </w:t>
        </w:r>
      </w:ins>
      <w:ins w:id="87" w:author="Author" w:date="2012-08-14T19:03:00Z">
        <w:r>
          <w:t xml:space="preserve">identified to make the project fully deliverable, </w:t>
        </w:r>
        <w:r>
          <w:t xml:space="preserve">the project has the option of accepting </w:t>
        </w:r>
      </w:ins>
      <w:ins w:id="88" w:author="Author" w:date="2012-08-28T12:18:00Z">
        <w:r>
          <w:t xml:space="preserve">or not accepting </w:t>
        </w:r>
      </w:ins>
      <w:ins w:id="89" w:author="Author" w:date="2012-08-14T19:03:00Z">
        <w:r>
          <w:t xml:space="preserve">its </w:t>
        </w:r>
      </w:ins>
      <w:ins w:id="90" w:author="Author" w:date="2012-09-12T18:42:00Z">
        <w:r>
          <w:t>D</w:t>
        </w:r>
      </w:ins>
      <w:ins w:id="91" w:author="Author" w:date="2012-08-14T19:03:00Z">
        <w:r>
          <w:t xml:space="preserve">eliverable </w:t>
        </w:r>
      </w:ins>
      <w:ins w:id="92" w:author="Author" w:date="2012-08-28T12:27:00Z">
        <w:r>
          <w:t>MWs</w:t>
        </w:r>
      </w:ins>
      <w:ins w:id="93" w:author="Author" w:date="2012-08-14T19:03:00Z">
        <w:r>
          <w:t xml:space="preserve">, as specified in the Class </w:t>
        </w:r>
      </w:ins>
      <w:ins w:id="94" w:author="Author" w:date="2012-09-12T09:22:00Z">
        <w:r>
          <w:t xml:space="preserve">Year Interconnection </w:t>
        </w:r>
      </w:ins>
      <w:ins w:id="95" w:author="Author" w:date="2012-08-14T19:03:00Z">
        <w:r>
          <w:t>Facilities Study report.</w:t>
        </w:r>
      </w:ins>
      <w:ins w:id="96" w:author="Author" w:date="2012-08-14T19:05:00Z">
        <w:r>
          <w:t xml:space="preserve">  If a Class </w:t>
        </w:r>
      </w:ins>
      <w:ins w:id="97" w:author="Author" w:date="2012-09-12T09:22:00Z">
        <w:r>
          <w:t xml:space="preserve">Year </w:t>
        </w:r>
      </w:ins>
      <w:ins w:id="98" w:author="Author" w:date="2012-08-14T19:05:00Z">
        <w:r>
          <w:t xml:space="preserve">Project elects to </w:t>
        </w:r>
      </w:ins>
      <w:ins w:id="99" w:author="Author" w:date="2012-09-12T18:31:00Z">
        <w:r>
          <w:t>withdraw entirely from</w:t>
        </w:r>
      </w:ins>
      <w:ins w:id="100" w:author="Author" w:date="2012-08-14T19:05:00Z">
        <w:r>
          <w:t xml:space="preserve"> the Class Year at this juncture, the Class Year </w:t>
        </w:r>
        <w:r>
          <w:t>from which the project drops out will still count as one of the two Class</w:t>
        </w:r>
      </w:ins>
      <w:ins w:id="101" w:author="Author" w:date="2012-09-12T09:22:00Z">
        <w:r>
          <w:t xml:space="preserve"> Years</w:t>
        </w:r>
      </w:ins>
      <w:ins w:id="102" w:author="Author" w:date="2012-08-14T19:05:00Z">
        <w:r>
          <w:t xml:space="preserve"> a project may enter under Section 25.6.2.3.4 of Attachment S.  </w:t>
        </w:r>
      </w:ins>
    </w:p>
    <w:p w:rsidR="00E269E7" w:rsidRPr="0089050C" w:rsidRDefault="00F110B3" w:rsidP="0089050C">
      <w:pPr>
        <w:pStyle w:val="Heading3"/>
      </w:pPr>
      <w:bookmarkStart w:id="103" w:name="_Toc260339051"/>
      <w:bookmarkStart w:id="104" w:name="_Toc262653033"/>
      <w:r>
        <w:t>25.</w:t>
      </w:r>
      <w:r>
        <w:t>7.8</w:t>
      </w:r>
      <w:r w:rsidRPr="0089050C">
        <w:tab/>
        <w:t>Deliverability Test Methodology for Highways and Byways.</w:t>
      </w:r>
      <w:bookmarkEnd w:id="103"/>
      <w:bookmarkEnd w:id="104"/>
    </w:p>
    <w:p w:rsidR="00E269E7" w:rsidRPr="000D5277" w:rsidRDefault="00F110B3" w:rsidP="009C5DEC">
      <w:pPr>
        <w:pStyle w:val="alphapara"/>
      </w:pPr>
      <w:r>
        <w:t>25.</w:t>
      </w:r>
      <w:r w:rsidRPr="00677507">
        <w:t>7.8</w:t>
      </w:r>
      <w:r>
        <w:t>.1</w:t>
      </w:r>
      <w:r w:rsidRPr="000D5277">
        <w:tab/>
      </w:r>
      <w:r w:rsidRPr="000D5277">
        <w:t xml:space="preserve">Definition of NYCA Deliverability.  The NYCA </w:t>
      </w:r>
      <w:r w:rsidRPr="002D000B">
        <w:t>transmission system</w:t>
      </w:r>
      <w:r w:rsidRPr="000D5277">
        <w:t xml:space="preserve"> shall be able to deliver the aggregate of NYCA capacity resources to the aggregate of the NYCA load under summer peak load conditions.  This is accomplished through ensuring the deliverabilit</w:t>
      </w:r>
      <w:r w:rsidRPr="000D5277">
        <w:t xml:space="preserve">y of new Large Facilities, new Small Generators larger than 2 MWs, and any existing facility increasing its capacity by more than the 2 MWs allowed by Section </w:t>
      </w:r>
      <w:r>
        <w:t>30.</w:t>
      </w:r>
      <w:r w:rsidRPr="000D5277">
        <w:t>3</w:t>
      </w:r>
      <w:r w:rsidRPr="000D5277">
        <w:t>.2.6</w:t>
      </w:r>
      <w:r w:rsidRPr="000D5277">
        <w:t xml:space="preserve"> of </w:t>
      </w:r>
      <w:r w:rsidRPr="000D5277">
        <w:t xml:space="preserve">the Large Facility Interconnection Procedures contained in OATT </w:t>
      </w:r>
      <w:r w:rsidRPr="000D5277">
        <w:t xml:space="preserve">Attachment </w:t>
      </w:r>
      <w:r w:rsidRPr="000D5277">
        <w:t>X</w:t>
      </w:r>
      <w:r w:rsidRPr="000D5277">
        <w:t xml:space="preserve">, in the </w:t>
      </w:r>
      <w:r w:rsidRPr="000D5277">
        <w:t>Capacity Region</w:t>
      </w:r>
      <w:r w:rsidRPr="000D5277">
        <w:t>(</w:t>
      </w:r>
      <w:r w:rsidRPr="000D5277">
        <w:t>s</w:t>
      </w:r>
      <w:r w:rsidRPr="000D5277">
        <w:t>)</w:t>
      </w:r>
      <w:r w:rsidRPr="000D5277">
        <w:t xml:space="preserve"> </w:t>
      </w:r>
      <w:r w:rsidRPr="000D5277">
        <w:t>where the facility interconnects</w:t>
      </w:r>
      <w:r w:rsidRPr="000D5277">
        <w:t>.</w:t>
      </w:r>
    </w:p>
    <w:p w:rsidR="00230DAD" w:rsidRPr="00792EC9" w:rsidRDefault="00F110B3" w:rsidP="00D50CFB">
      <w:pPr>
        <w:pStyle w:val="alphapara"/>
      </w:pPr>
      <w:r>
        <w:t>25.</w:t>
      </w:r>
      <w:r w:rsidRPr="00677507">
        <w:t>7.8</w:t>
      </w:r>
      <w:r>
        <w:t>.2</w:t>
      </w:r>
      <w:r w:rsidRPr="00792EC9">
        <w:tab/>
        <w:t xml:space="preserve">NYCA Deliverability Testing Methodology.  The current Class Year ATBA, developed in accordance with ISO Procedures, will serve as the starting point for the deliverability baseline for testing </w:t>
      </w:r>
      <w:r w:rsidRPr="00792EC9">
        <w:t>under summer peak system conditions, subject to ISO Procedures and the following:</w:t>
      </w:r>
    </w:p>
    <w:p w:rsidR="00230DAD" w:rsidRPr="00792EC9" w:rsidRDefault="00F110B3" w:rsidP="00067235">
      <w:pPr>
        <w:pStyle w:val="alphapara"/>
      </w:pPr>
      <w:r>
        <w:t>25.</w:t>
      </w:r>
      <w:r w:rsidRPr="00677507">
        <w:t>7.8</w:t>
      </w:r>
      <w:r>
        <w:t>.2.1</w:t>
      </w:r>
      <w:r w:rsidRPr="00792EC9">
        <w:tab/>
        <w:t>All proposed projects seeking CRIS will be evaluated on an aggregate Class Year basis.  Deliverability will be determined through a shift from generation to genera</w:t>
      </w:r>
      <w:r w:rsidRPr="00792EC9">
        <w:t xml:space="preserve">tion within the Capacity Regions in </w:t>
      </w:r>
      <w:smartTag w:uri="urn:schemas-microsoft-com:office:smarttags" w:element="place">
        <w:smartTag w:uri="urn:schemas-microsoft-com:office:smarttags" w:element="PlaceName">
          <w:r w:rsidRPr="00792EC9">
            <w:t>New York</w:t>
          </w:r>
        </w:smartTag>
        <w:r w:rsidRPr="00792EC9">
          <w:t xml:space="preserve"> </w:t>
        </w:r>
        <w:smartTag w:uri="urn:schemas-microsoft-com:office:smarttags" w:element="PlaceType">
          <w:r w:rsidRPr="00792EC9">
            <w:t>State</w:t>
          </w:r>
        </w:smartTag>
      </w:smartTag>
      <w:r w:rsidRPr="00792EC9">
        <w:t>.  Each Capacity Region will be tested on an individual basis.</w:t>
      </w:r>
    </w:p>
    <w:p w:rsidR="00230DAD" w:rsidRPr="00962996" w:rsidRDefault="00F110B3" w:rsidP="00067235">
      <w:pPr>
        <w:pStyle w:val="alphapara"/>
      </w:pPr>
      <w:r>
        <w:t>25.</w:t>
      </w:r>
      <w:r w:rsidRPr="00677507">
        <w:t>7.8</w:t>
      </w:r>
      <w:r>
        <w:t>.2.2</w:t>
      </w:r>
      <w:r w:rsidRPr="00962996">
        <w:tab/>
        <w:t>Each entity requesting External CRIS Rights will request a</w:t>
      </w:r>
      <w:r w:rsidRPr="00962996">
        <w:rPr>
          <w:color w:val="000000"/>
        </w:rPr>
        <w:t xml:space="preserve"> certain number of MW to be evaluated for deliverability pursuant to </w:t>
      </w:r>
      <w:r w:rsidRPr="00962996">
        <w:t>Secti</w:t>
      </w:r>
      <w:r w:rsidRPr="00962996">
        <w:t xml:space="preserve">on </w:t>
      </w:r>
      <w:r>
        <w:t>25.7.11</w:t>
      </w:r>
      <w:r w:rsidRPr="00962996">
        <w:t xml:space="preserve"> of this Attachment S.  The MW of an entity requesting External CRIS Rights will not be derated for the deliverability analysis.  </w:t>
      </w:r>
    </w:p>
    <w:p w:rsidR="00230DAD" w:rsidRPr="00792EC9" w:rsidRDefault="00F110B3" w:rsidP="00067235">
      <w:pPr>
        <w:pStyle w:val="alphapara"/>
      </w:pPr>
      <w:r>
        <w:t>25.</w:t>
      </w:r>
      <w:r w:rsidRPr="00677507">
        <w:t>7.8</w:t>
      </w:r>
      <w:r>
        <w:t>.2.3</w:t>
      </w:r>
      <w:r w:rsidRPr="00962996">
        <w:tab/>
        <w:t>Each Developer requesting CRIS will request that a certain number of MW, not to exceed the name plate ra</w:t>
      </w:r>
      <w:r w:rsidRPr="00962996">
        <w:t>ting of its facility, be evaluated for</w:t>
      </w:r>
      <w:r w:rsidRPr="00792EC9">
        <w:t xml:space="preserve"> </w:t>
      </w:r>
      <w:r w:rsidRPr="00962996">
        <w:t>deliverability.  The MW requested by a Developer will represent</w:t>
      </w:r>
      <w:r w:rsidRPr="00792EC9">
        <w:t xml:space="preserve"> Installed Capacity, and will be derated for the deliverability analysis.  At the conclusion of the analysis, the NYISO will reconvert only the deliverabl</w:t>
      </w:r>
      <w:r w:rsidRPr="00792EC9">
        <w:t xml:space="preserve">e MW and report them in terms of MW of Installed Capacity using the same derating factor utilized at the beginning of the deliverability analysis. </w:t>
      </w:r>
    </w:p>
    <w:p w:rsidR="00E269E7" w:rsidRPr="000D5277" w:rsidRDefault="00F110B3" w:rsidP="00067235">
      <w:pPr>
        <w:pStyle w:val="alphaparasub"/>
      </w:pPr>
      <w:r w:rsidRPr="00792EC9">
        <w:t>A derated generator capacity incorporating availability is used.  This derated generator capacity is based o</w:t>
      </w:r>
      <w:r w:rsidRPr="00792EC9">
        <w:t xml:space="preserve">n the unforced capacity or “UCAP” of each resource and can be referred to as the UCAP Deration </w:t>
      </w:r>
      <w:r w:rsidRPr="000D5277">
        <w:t>Factor (“UCDF”).  The UCDF used is the average from historic ICAP to UCAP translations on a Capacity Region basis, as determined in accordance with ISO Procedure</w:t>
      </w:r>
      <w:r w:rsidRPr="000D5277">
        <w:t>s.  This is the average EFORd, which will be used for all non intermittent ICAP providers.  The UCDF for intermittent resources will be calculated based on their resource type in accordance with ISO Procedures.  The UCDF factor for proposed projects will b</w:t>
      </w:r>
      <w:r w:rsidRPr="000D5277">
        <w:t>e applied to the requested CRIS level.  For facilities modeled in the</w:t>
      </w:r>
      <w:r w:rsidRPr="0049476A">
        <w:t xml:space="preserve"> </w:t>
      </w:r>
      <w:r w:rsidRPr="000D5277">
        <w:t>ATBA, the UCDF will be applied to their CRIS level.</w:t>
      </w:r>
    </w:p>
    <w:p w:rsidR="00E269E7" w:rsidRPr="000D5277" w:rsidRDefault="00F110B3" w:rsidP="00067235">
      <w:pPr>
        <w:pStyle w:val="alphapara"/>
      </w:pPr>
      <w:r>
        <w:t>25.</w:t>
      </w:r>
      <w:r w:rsidRPr="00677507">
        <w:t>7.8</w:t>
      </w:r>
      <w:r>
        <w:t>.2.4</w:t>
      </w:r>
      <w:r w:rsidRPr="000D5277">
        <w:tab/>
        <w:t>Load uncertainties will be addressed in accordance with ISO Procedures by taking the impact of Load Forecast Uncertainty (“</w:t>
      </w:r>
      <w:r w:rsidRPr="000D5277">
        <w:t>LFU”) from the most recent base case IRM</w:t>
      </w:r>
      <w:r w:rsidRPr="000D5277">
        <w:t xml:space="preserve"> and applying it to load</w:t>
      </w:r>
      <w:r w:rsidRPr="000D5277">
        <w:t>.</w:t>
      </w:r>
    </w:p>
    <w:p w:rsidR="00E269E7" w:rsidRPr="000D5277" w:rsidRDefault="00F110B3" w:rsidP="00067235">
      <w:pPr>
        <w:pStyle w:val="alphapara"/>
      </w:pPr>
      <w:r>
        <w:t>25.</w:t>
      </w:r>
      <w:r w:rsidRPr="00677507">
        <w:t>7.8</w:t>
      </w:r>
      <w:r>
        <w:t>.2.5</w:t>
      </w:r>
      <w:r w:rsidRPr="000D5277">
        <w:tab/>
      </w:r>
      <w:r w:rsidRPr="000D5277">
        <w:t xml:space="preserve">Deliverability </w:t>
      </w:r>
      <w:r w:rsidRPr="000D5277">
        <w:t xml:space="preserve">base case conditioning steps will be consistent with those used for the </w:t>
      </w:r>
      <w:r w:rsidRPr="000D5277">
        <w:t>Comprehensive Reliability Planning Process and Area Transmission Review t</w:t>
      </w:r>
      <w:r w:rsidRPr="000D5277">
        <w:t>ransfer limit calcu</w:t>
      </w:r>
      <w:r w:rsidRPr="000D5277">
        <w:t xml:space="preserve">lation methodology.  </w:t>
      </w:r>
    </w:p>
    <w:p w:rsidR="000D5277" w:rsidRDefault="00F110B3" w:rsidP="00067235">
      <w:pPr>
        <w:pStyle w:val="alphapara"/>
      </w:pPr>
      <w:r>
        <w:t>25.</w:t>
      </w:r>
      <w:r w:rsidRPr="00677507">
        <w:t>7.8</w:t>
      </w:r>
      <w:r>
        <w:t>.2.6</w:t>
      </w:r>
      <w:r w:rsidRPr="000D5277">
        <w:tab/>
      </w:r>
      <w:r w:rsidRPr="000D5277">
        <w:t>In deliverability testing, E</w:t>
      </w:r>
      <w:r w:rsidRPr="000D5277">
        <w:t xml:space="preserve">mergency </w:t>
      </w:r>
      <w:r w:rsidRPr="000D5277">
        <w:t xml:space="preserve">transfer </w:t>
      </w:r>
      <w:r w:rsidRPr="000D5277">
        <w:t xml:space="preserve">criteria and contingency testing </w:t>
      </w:r>
      <w:r w:rsidRPr="000D5277">
        <w:t xml:space="preserve">will be in conformance with NYSRC rules and </w:t>
      </w:r>
      <w:r w:rsidRPr="000D5277">
        <w:t>correspond</w:t>
      </w:r>
      <w:r w:rsidRPr="000D5277">
        <w:rPr>
          <w:strike/>
        </w:rPr>
        <w:t>ing</w:t>
      </w:r>
      <w:r w:rsidRPr="000D5277">
        <w:t xml:space="preserve"> to that used in </w:t>
      </w:r>
      <w:r w:rsidRPr="000D5277">
        <w:t xml:space="preserve">the </w:t>
      </w:r>
      <w:r w:rsidRPr="000D5277">
        <w:t xml:space="preserve">NYISO </w:t>
      </w:r>
      <w:r w:rsidRPr="000D5277">
        <w:t>Comprehens</w:t>
      </w:r>
      <w:r w:rsidRPr="000D5277">
        <w:t xml:space="preserve">ive Reliability Planning Process </w:t>
      </w:r>
      <w:r w:rsidRPr="000D5277">
        <w:t>studies.</w:t>
      </w:r>
    </w:p>
    <w:p w:rsidR="000D5277" w:rsidRPr="00067235" w:rsidRDefault="00F110B3" w:rsidP="00067235">
      <w:pPr>
        <w:pStyle w:val="alphapara"/>
      </w:pPr>
      <w:r>
        <w:t>25.</w:t>
      </w:r>
      <w:r w:rsidRPr="00677507">
        <w:t>7.8</w:t>
      </w:r>
      <w:r>
        <w:t>.2.7</w:t>
      </w:r>
      <w:r w:rsidRPr="000D5277">
        <w:tab/>
        <w:t>The NYISO will monitor all transmission facilities that are part of the New Yo</w:t>
      </w:r>
      <w:r>
        <w:t xml:space="preserve">rk State Transmission System.  </w:t>
      </w:r>
    </w:p>
    <w:p w:rsidR="00E269E7" w:rsidRPr="000C3C04" w:rsidRDefault="00F110B3" w:rsidP="00067235">
      <w:pPr>
        <w:pStyle w:val="alphapara"/>
      </w:pPr>
      <w:r>
        <w:t>25.</w:t>
      </w:r>
      <w:r w:rsidRPr="00677507">
        <w:t>7.8</w:t>
      </w:r>
      <w:r>
        <w:t>.2.8</w:t>
      </w:r>
      <w:r w:rsidRPr="000C3C04">
        <w:tab/>
        <w:t>When either the voltage or stability transfer limit of an interface calculated in the ATBA is more binding than the calculated the</w:t>
      </w:r>
      <w:r w:rsidRPr="000C3C04">
        <w:t>rmal transfer limit, then the lower of the ATBA voltage or stability transfer limit will be included in the deliverability testing as a proxy limit.</w:t>
      </w:r>
    </w:p>
    <w:p w:rsidR="00230DAD" w:rsidRPr="00962996" w:rsidRDefault="00F110B3" w:rsidP="00067235">
      <w:pPr>
        <w:pStyle w:val="alphapara"/>
      </w:pPr>
      <w:r>
        <w:t>25.</w:t>
      </w:r>
      <w:r w:rsidRPr="00677507">
        <w:t>7.8</w:t>
      </w:r>
      <w:r>
        <w:t>.2.9</w:t>
      </w:r>
      <w:r w:rsidRPr="00792EC9">
        <w:tab/>
        <w:t xml:space="preserve">External system imports will be adjusted as necessary to eliminate or minimize overloads, other </w:t>
      </w:r>
      <w:r w:rsidRPr="00792EC9">
        <w:t>than the following external system imports: (i) the grandfathered import contract rights listed in Attachment E to the Installed Capacity Manual, (ii) the operating protocols set forth in Attachment M-1 of the Services Tariff, (iii) beginning with Class Ye</w:t>
      </w:r>
      <w:r w:rsidRPr="00792EC9">
        <w:t xml:space="preserve">ar 2008 and in subsequent Class Years, the Existing Transmission Capacity for Native Load listed for the New York State Electric &amp; Gas Corporation </w:t>
      </w:r>
      <w:r w:rsidRPr="00962996">
        <w:t>in Table 3 of Attachment L of the OATT, (iv) in Class Year 2008 and 2009, 1090 MW of imports made over the Qu</w:t>
      </w:r>
      <w:r w:rsidRPr="00962996">
        <w:t xml:space="preserve">ebec (via Chateauguay) interface, and (v) beginning with Class Year 2010 and in subsequent Class Years, any External CRIS Rights awarded pursuant to Section </w:t>
      </w:r>
      <w:r>
        <w:t>25.7.11</w:t>
      </w:r>
      <w:r w:rsidRPr="00962996">
        <w:t xml:space="preserve"> of this Attachment S, either as a result of the conversion of grandfathered rights over the</w:t>
      </w:r>
      <w:r w:rsidRPr="00962996">
        <w:t xml:space="preserve"> Quebec (via Chateauguay) Interface or as a result of a Class Year Deliverability Study, until, as of the </w:t>
      </w:r>
      <w:ins w:id="105" w:author="Author" w:date="2012-09-12T09:23:00Z">
        <w:r>
          <w:t xml:space="preserve">Class Year </w:t>
        </w:r>
      </w:ins>
      <w:del w:id="106" w:author="Author" w:date="2012-09-12T09:23:00Z">
        <w:r w:rsidRPr="00962996">
          <w:delText>study s</w:delText>
        </w:r>
      </w:del>
      <w:ins w:id="107" w:author="Author" w:date="2012-09-12T09:23:00Z">
        <w:r>
          <w:t>S</w:t>
        </w:r>
      </w:ins>
      <w:r w:rsidRPr="00962996">
        <w:t xml:space="preserve">tart </w:t>
      </w:r>
      <w:ins w:id="108" w:author="Author" w:date="2012-09-12T09:23:00Z">
        <w:r>
          <w:t>D</w:t>
        </w:r>
      </w:ins>
      <w:del w:id="109" w:author="Author" w:date="2012-09-12T09:23:00Z">
        <w:r w:rsidRPr="00962996">
          <w:delText>d</w:delText>
        </w:r>
      </w:del>
      <w:r w:rsidRPr="00962996">
        <w:t>ate</w:t>
      </w:r>
      <w:del w:id="110" w:author="Author" w:date="2012-09-12T09:23:00Z">
        <w:r w:rsidRPr="00962996">
          <w:delText xml:space="preserve"> for the Class Year ATRA</w:delText>
        </w:r>
      </w:del>
      <w:r w:rsidRPr="00962996">
        <w:t xml:space="preserve">, the time available to renew the External CRIS Rights has expired, as described in Section </w:t>
      </w:r>
      <w:r>
        <w:t>25.</w:t>
      </w:r>
      <w:r w:rsidRPr="00677507">
        <w:t>9.</w:t>
      </w:r>
      <w:r w:rsidRPr="00677507">
        <w:t>3.2</w:t>
      </w:r>
      <w:r>
        <w:t>.2</w:t>
      </w:r>
      <w:r w:rsidRPr="00962996">
        <w:t xml:space="preserve"> of this Attachment S.</w:t>
      </w:r>
    </w:p>
    <w:p w:rsidR="00230DAD" w:rsidRPr="00067235" w:rsidRDefault="00F110B3" w:rsidP="00067235">
      <w:pPr>
        <w:pStyle w:val="alphapara"/>
      </w:pPr>
      <w:r>
        <w:t>25.</w:t>
      </w:r>
      <w:r w:rsidRPr="00677507">
        <w:t>7.8</w:t>
      </w:r>
      <w:r>
        <w:t>.2.10</w:t>
      </w:r>
      <w:r w:rsidRPr="00962996">
        <w:tab/>
        <w:t>Flows associated with generators physically located in the NYCA but</w:t>
      </w:r>
      <w:r w:rsidRPr="00792EC9">
        <w:t xml:space="preserve"> selling capacity out of the market will be modeled as such in</w:t>
      </w:r>
      <w:r>
        <w:t xml:space="preserve"> the deliverability base cases.</w:t>
      </w:r>
    </w:p>
    <w:p w:rsidR="00230DAD" w:rsidRDefault="00F110B3" w:rsidP="00067235">
      <w:pPr>
        <w:pStyle w:val="alphapara"/>
      </w:pPr>
      <w:r>
        <w:t>25.</w:t>
      </w:r>
      <w:r w:rsidRPr="00677507">
        <w:t>7.8</w:t>
      </w:r>
      <w:r>
        <w:t>.2.11</w:t>
      </w:r>
      <w:r w:rsidRPr="00792EC9">
        <w:tab/>
        <w:t xml:space="preserve">Resources and demand are brought into </w:t>
      </w:r>
      <w:r w:rsidRPr="00792EC9">
        <w:t>balance in the baseline. If resources are greater than demand in the Capacity Region, existing generators within the Capacity Region are prorated down. If resources are lower than demand in the Capacity Region, additional external resources are included in</w:t>
      </w:r>
      <w:r w:rsidRPr="00792EC9">
        <w:t xml:space="preserve"> the model.</w:t>
      </w:r>
    </w:p>
    <w:p w:rsidR="00E269E7" w:rsidRPr="000C3C04" w:rsidRDefault="00F110B3" w:rsidP="00067235">
      <w:pPr>
        <w:pStyle w:val="alphapara"/>
      </w:pPr>
      <w:r>
        <w:t>25.</w:t>
      </w:r>
      <w:r w:rsidRPr="00677507">
        <w:t>7.8</w:t>
      </w:r>
      <w:r>
        <w:t>.2.12</w:t>
      </w:r>
      <w:r w:rsidRPr="000C3C04">
        <w:tab/>
        <w:t xml:space="preserve">PARs within the applicable Capacity Region will be adjusted as necessary, in either direction and within their angle capability, to eliminate or minimize overloads without creating new ones.  PARs controlling external ties and ties </w:t>
      </w:r>
      <w:r w:rsidRPr="000C3C04">
        <w:t xml:space="preserve">between the Capacity Regions will be modeled, within their angle capability, to hold the </w:t>
      </w:r>
      <w:r w:rsidRPr="000C3C04">
        <w:t xml:space="preserve">individual </w:t>
      </w:r>
      <w:r w:rsidRPr="000C3C04">
        <w:t xml:space="preserve">tie flows to their respective </w:t>
      </w:r>
      <w:r w:rsidRPr="000C3C04">
        <w:t xml:space="preserve">deliverability baseline </w:t>
      </w:r>
      <w:r w:rsidRPr="000C3C04">
        <w:t>schedules, which shall be set recognizing firm commitments and operating protocols set forth in Attach</w:t>
      </w:r>
      <w:r w:rsidRPr="000C3C04">
        <w:t>ment M-1 of the</w:t>
      </w:r>
      <w:r w:rsidRPr="008C0E50">
        <w:t xml:space="preserve"> </w:t>
      </w:r>
      <w:r w:rsidRPr="000C3C04">
        <w:t>Services Tariff.</w:t>
      </w:r>
    </w:p>
    <w:p w:rsidR="00A60249" w:rsidRPr="000C3C04" w:rsidRDefault="00F110B3" w:rsidP="00067235">
      <w:pPr>
        <w:pStyle w:val="alphapara"/>
      </w:pPr>
      <w:r>
        <w:t>25.</w:t>
      </w:r>
      <w:r w:rsidRPr="00677507">
        <w:t>7.8</w:t>
      </w:r>
      <w:r>
        <w:t>.2.13</w:t>
      </w:r>
      <w:r w:rsidRPr="000C3C04">
        <w:tab/>
      </w:r>
      <w:r w:rsidRPr="000C3C04">
        <w:t>Deliverability testing will proceed as follows - The generation/load mix is split into two groups of generation and load, one upstream and one downstream for each zone or sub-zone tested within the Capacity Regi</w:t>
      </w:r>
      <w:r w:rsidRPr="000C3C04">
        <w:t>on.  All elements that are part of the New York State Transmission System within the Capacity Region will be monitored.  If there is excess generation upstream (that is, more upstream generation than is necessary to serve the upstream load plus LFU) then t</w:t>
      </w:r>
      <w:r w:rsidRPr="000C3C04">
        <w:t xml:space="preserve">he generation excess, taking into account generator derate factors described in Section </w:t>
      </w:r>
      <w:r>
        <w:t>25.</w:t>
      </w:r>
      <w:r w:rsidRPr="00677507">
        <w:t>7.8</w:t>
      </w:r>
      <w:r>
        <w:t>.2.2</w:t>
      </w:r>
      <w:r w:rsidRPr="000C3C04">
        <w:t xml:space="preserve"> above, is assumed to displace downstream generation.  If the dispatch of the upstream excess generation causes an overload, this overload is flagged as a pot</w:t>
      </w:r>
      <w:r w:rsidRPr="000C3C04">
        <w:t>ential deliverability problem and will be used to determine the amount of capacity that is assigned CRIS status and the overload mitigation.</w:t>
      </w:r>
    </w:p>
    <w:p w:rsidR="00E269E7" w:rsidRPr="000C3C04" w:rsidRDefault="00F110B3" w:rsidP="00067235">
      <w:pPr>
        <w:pStyle w:val="alphapara"/>
      </w:pPr>
      <w:r>
        <w:t>25.</w:t>
      </w:r>
      <w:r w:rsidRPr="00677507">
        <w:t>7.8</w:t>
      </w:r>
      <w:r>
        <w:t>.2.14</w:t>
      </w:r>
      <w:r w:rsidRPr="000C3C04">
        <w:tab/>
      </w:r>
      <w:r w:rsidRPr="000C3C04">
        <w:t xml:space="preserve">For Highway interfaces in </w:t>
      </w:r>
      <w:r w:rsidRPr="000C3C04">
        <w:t xml:space="preserve">the </w:t>
      </w:r>
      <w:r w:rsidRPr="000C3C04">
        <w:t>Rest of State Capacity Region, the generator or merchant transmission pro</w:t>
      </w:r>
      <w:r w:rsidRPr="000C3C04">
        <w:t>jects in a Class Year, whether or not they are otherwise deliverable, will not be considered deliverable if their aggregate impact degrades the transfer capability of the interface more than the</w:t>
      </w:r>
      <w:r>
        <w:t xml:space="preserve"> </w:t>
      </w:r>
      <w:r w:rsidRPr="000C3C04">
        <w:t>lesser of 25 MW or 2 percent of the transfer capability ident</w:t>
      </w:r>
      <w:r w:rsidRPr="000C3C04">
        <w:t xml:space="preserve">ified in the ATBA and results in an increase to the NYCA LOLE determined for the ATBA of .01 or more.  The Class Year projects </w:t>
      </w:r>
      <w:r w:rsidRPr="000C3C04">
        <w:t xml:space="preserve">causing the degradation </w:t>
      </w:r>
      <w:r w:rsidRPr="000C3C04">
        <w:t>will be responsible, on a pro rata basis, for restoring transfer capability only to the extent their aggr</w:t>
      </w:r>
      <w:r w:rsidRPr="000C3C04">
        <w:t xml:space="preserve">egate  degradation of transfer capability, compared to that in the ATBA, would not occur but for the Class Year projects. </w:t>
      </w:r>
    </w:p>
    <w:p w:rsidR="00E269E7" w:rsidRPr="000C3C04" w:rsidRDefault="00F110B3" w:rsidP="0089050C">
      <w:pPr>
        <w:pStyle w:val="Heading3"/>
        <w:rPr>
          <w:bCs/>
        </w:rPr>
      </w:pPr>
      <w:bookmarkStart w:id="111" w:name="_Toc260339052"/>
      <w:bookmarkStart w:id="112" w:name="_Toc262653034"/>
      <w:r>
        <w:t>25.</w:t>
      </w:r>
      <w:r>
        <w:t>7.9</w:t>
      </w:r>
      <w:r w:rsidRPr="000C3C04">
        <w:rPr>
          <w:bCs/>
        </w:rPr>
        <w:tab/>
        <w:t>Deliverability Test Methodology for Other Interfaces.</w:t>
      </w:r>
      <w:bookmarkEnd w:id="111"/>
      <w:bookmarkEnd w:id="112"/>
    </w:p>
    <w:p w:rsidR="000C3C04" w:rsidRPr="00067235" w:rsidRDefault="00F110B3" w:rsidP="009C5DEC">
      <w:pPr>
        <w:pStyle w:val="Bodypara"/>
      </w:pPr>
      <w:r w:rsidRPr="000C3C04">
        <w:t>The generator or merchant transmission projects in a Class Year, whether</w:t>
      </w:r>
      <w:r w:rsidRPr="000C3C04">
        <w:t xml:space="preserve"> or not they are otherwise deliverable across Highways and Byways, will not be considered deliverable if their aggregate impact degrades the transfer capability of any Other Interface more than the lesser of 25 MW or 2 percent of the transfer capability of</w:t>
      </w:r>
      <w:r w:rsidRPr="000C3C04">
        <w:t xml:space="preserve"> the Other Interface identified in the ATBA.  Each Developer will be responsible for its pro rata Class Year share</w:t>
      </w:r>
      <w:r w:rsidRPr="000C3C04">
        <w:t xml:space="preserve"> of one hundred percent (100%)</w:t>
      </w:r>
      <w:r w:rsidRPr="000C3C04">
        <w:t xml:space="preserve"> of the cost of System Deliverability Upgrades needed to restore transfer capability on the Other Interfaces imp</w:t>
      </w:r>
      <w:r w:rsidRPr="000C3C04">
        <w:t xml:space="preserve">acted by the Class Year </w:t>
      </w:r>
      <w:del w:id="113" w:author="Author" w:date="2012-08-14T18:59:00Z">
        <w:r w:rsidRPr="000C3C04">
          <w:delText>p</w:delText>
        </w:r>
      </w:del>
      <w:ins w:id="114" w:author="Author" w:date="2012-08-14T18:59:00Z">
        <w:r>
          <w:t>P</w:t>
        </w:r>
      </w:ins>
      <w:r w:rsidRPr="000C3C04">
        <w:t>rojects but only to the extent that</w:t>
      </w:r>
      <w:r w:rsidRPr="00531289">
        <w:rPr>
          <w:u w:val="double"/>
        </w:rPr>
        <w:t xml:space="preserve"> </w:t>
      </w:r>
      <w:r w:rsidRPr="000C3C04">
        <w:t xml:space="preserve">the degradation of transfer capability on the Other Interfaces, compared to that measured in the current Class Year ATBA, would not occur but for the aggregate impact of the </w:t>
      </w:r>
      <w:del w:id="115" w:author="Author" w:date="2012-09-12T10:08:00Z">
        <w:r w:rsidRPr="000C3C04">
          <w:delText>Developers’ p</w:delText>
        </w:r>
      </w:del>
      <w:ins w:id="116" w:author="Author" w:date="2012-09-12T10:08:00Z">
        <w:r>
          <w:t>Class Y</w:t>
        </w:r>
        <w:r>
          <w:t>ear P</w:t>
        </w:r>
      </w:ins>
      <w:r w:rsidRPr="000C3C04">
        <w:t>rojects.  Where two or more projects contribute to the degradation of the transfer capability of an Other Interface, each project Developer shall pay for a share of the required System Deliverability Upgrades based on its contribution to the degradati</w:t>
      </w:r>
      <w:r>
        <w:t xml:space="preserve">on of the transfer capability. </w:t>
      </w:r>
    </w:p>
    <w:p w:rsidR="00230DAD" w:rsidRPr="0089050C" w:rsidRDefault="00F110B3" w:rsidP="0089050C">
      <w:pPr>
        <w:pStyle w:val="Heading3"/>
      </w:pPr>
      <w:bookmarkStart w:id="117" w:name="_Toc260339053"/>
      <w:bookmarkStart w:id="118" w:name="_Toc262653035"/>
      <w:r>
        <w:t>25.</w:t>
      </w:r>
      <w:r>
        <w:t>7.10</w:t>
      </w:r>
      <w:r w:rsidRPr="0089050C">
        <w:tab/>
        <w:t>Deliverability of External Installed Capacity.</w:t>
      </w:r>
      <w:bookmarkEnd w:id="117"/>
      <w:bookmarkEnd w:id="118"/>
    </w:p>
    <w:p w:rsidR="00230DAD" w:rsidRPr="00B27B80" w:rsidRDefault="00F110B3" w:rsidP="009C5DEC">
      <w:pPr>
        <w:pStyle w:val="Bodypara"/>
      </w:pPr>
      <w:r w:rsidRPr="00B27B80">
        <w:t xml:space="preserve">External Installed Capacity not associated with UDRs or External CRIS Rights will be subject to the deliverability test in Section </w:t>
      </w:r>
      <w:r>
        <w:t>25.7.8</w:t>
      </w:r>
      <w:r w:rsidRPr="00B27B80">
        <w:t xml:space="preserve"> and </w:t>
      </w:r>
      <w:r>
        <w:t>25.7.9</w:t>
      </w:r>
      <w:r w:rsidRPr="00B27B80">
        <w:t xml:space="preserve"> of this Attachment S</w:t>
      </w:r>
      <w:r w:rsidRPr="00B27B80">
        <w:t>, but not as a part of the Class Year Deliverability Study.  As described in detail in Section 5.12.2 of the Services Tariff, the deliverability of External Installed Capacity not associated with UDRs or External CRIS Rights will be evaluated separately as</w:t>
      </w:r>
      <w:r w:rsidRPr="00B27B80">
        <w:t xml:space="preserve"> a part of the annual process under the Services Tariff that sets import rights for the upcoming Capability Year, to determine the amount of External Installed Capacity that can be imported to the New York Control Area.</w:t>
      </w:r>
    </w:p>
    <w:p w:rsidR="00230DAD" w:rsidRPr="0089050C" w:rsidRDefault="00F110B3" w:rsidP="0089050C">
      <w:pPr>
        <w:pStyle w:val="Heading3"/>
      </w:pPr>
      <w:bookmarkStart w:id="119" w:name="_Toc260339054"/>
      <w:bookmarkStart w:id="120" w:name="_Toc262653036"/>
      <w:r>
        <w:t>25.</w:t>
      </w:r>
      <w:r>
        <w:t>7.11</w:t>
      </w:r>
      <w:r w:rsidRPr="0089050C">
        <w:tab/>
        <w:t>CRIS Rights For External Ins</w:t>
      </w:r>
      <w:r w:rsidRPr="0089050C">
        <w:t>talled Capacity</w:t>
      </w:r>
      <w:bookmarkEnd w:id="119"/>
      <w:bookmarkEnd w:id="120"/>
    </w:p>
    <w:p w:rsidR="00230DAD" w:rsidRPr="00B27B80" w:rsidRDefault="00F110B3" w:rsidP="00067235">
      <w:pPr>
        <w:pStyle w:val="Bodypara"/>
      </w:pPr>
      <w:r w:rsidRPr="00B27B80">
        <w:t xml:space="preserve">An entity, by following the procedures and satisfying the requirements described in this Section </w:t>
      </w:r>
      <w:r>
        <w:t>25.7.11</w:t>
      </w:r>
      <w:r w:rsidRPr="00B27B80">
        <w:t>, may obtain External CRIS Rights.  While the External CRIS Rights are in effect, External Installed Capacity associated with External C</w:t>
      </w:r>
      <w:r w:rsidRPr="00B27B80">
        <w:t xml:space="preserve">RIS Rights is not subject to (1) the deliverability determination described above in Section </w:t>
      </w:r>
      <w:r>
        <w:t>257.10</w:t>
      </w:r>
      <w:r w:rsidRPr="00B27B80">
        <w:t xml:space="preserve"> of this Attachment S, (2) the annual deliverability determination applied in the import limit setting process described in Section 5.12.2.</w:t>
      </w:r>
      <w:r>
        <w:t>2</w:t>
      </w:r>
      <w:r w:rsidRPr="00B27B80">
        <w:t xml:space="preserve"> of the Services </w:t>
      </w:r>
      <w:r w:rsidRPr="00B27B80">
        <w:t>Tariff, or (3) to the allocation of import rights described in ISO Procedures.</w:t>
      </w:r>
    </w:p>
    <w:p w:rsidR="00067235" w:rsidRDefault="00F110B3" w:rsidP="00067235">
      <w:pPr>
        <w:pStyle w:val="Heading4"/>
      </w:pPr>
      <w:bookmarkStart w:id="121" w:name="_Toc262653037"/>
      <w:bookmarkStart w:id="122" w:name="_Toc260339055"/>
      <w:r>
        <w:t>25.7.11.</w:t>
      </w:r>
      <w:r w:rsidRPr="00B27B80">
        <w:t>1</w:t>
      </w:r>
      <w:r w:rsidRPr="00B27B80">
        <w:tab/>
        <w:t>Required Commitment of External Installed Capacity.</w:t>
      </w:r>
      <w:bookmarkEnd w:id="121"/>
      <w:r w:rsidRPr="00B27B80">
        <w:t xml:space="preserve">  </w:t>
      </w:r>
    </w:p>
    <w:p w:rsidR="00230DAD" w:rsidRPr="00B27B80" w:rsidRDefault="00F110B3" w:rsidP="00067235">
      <w:pPr>
        <w:pStyle w:val="Bodypara"/>
      </w:pPr>
      <w:r w:rsidRPr="00B27B80">
        <w:t>An entity requesting External CRIS Rights for a specified number of MW of External Installed Capacity must commit</w:t>
      </w:r>
      <w:r w:rsidRPr="00B27B80">
        <w:t xml:space="preserve"> to supply that number of MW of External Installed Capacity for a period of at least five (5) years (“Award Period”). The entity’s</w:t>
      </w:r>
      <w:bookmarkEnd w:id="122"/>
      <w:r w:rsidRPr="00B27B80">
        <w:t xml:space="preserve"> </w:t>
      </w:r>
      <w:bookmarkStart w:id="123" w:name="_Toc260339056"/>
      <w:r w:rsidRPr="00B27B80">
        <w:t xml:space="preserve">commitment to supply the specified number of MW for the Award Period may be based upon either an executed bilateral contract </w:t>
      </w:r>
      <w:r w:rsidRPr="00B27B80">
        <w:t>to supply (“Contract Commitment”), or based upon another kind of long-term commitment (“Non-Contract Commitment”), both as described herein.</w:t>
      </w:r>
      <w:bookmarkEnd w:id="123"/>
    </w:p>
    <w:p w:rsidR="00230DAD" w:rsidRPr="00B27B80" w:rsidRDefault="00F110B3" w:rsidP="00DC4CA6">
      <w:pPr>
        <w:pStyle w:val="alphapara"/>
      </w:pPr>
      <w:bookmarkStart w:id="124" w:name="_Toc260339057"/>
      <w:r w:rsidRPr="0018336B">
        <w:rPr>
          <w:b/>
        </w:rPr>
        <w:t xml:space="preserve">25.7.11.1.1 </w:t>
      </w:r>
      <w:r w:rsidRPr="00B27B80">
        <w:rPr>
          <w:b/>
        </w:rPr>
        <w:tab/>
        <w:t>Contract Commitment.</w:t>
      </w:r>
      <w:r w:rsidRPr="00B27B80">
        <w:t xml:space="preserve">  An entity making a Contract Commitment of External Installed Capacity must have </w:t>
      </w:r>
      <w:r w:rsidRPr="00B27B80">
        <w:t>one or more executed bilateral contract(s) to supply a specified number of MW of External Installed Capacity (“Contract CRIS MW”) to a Load Serving</w:t>
      </w:r>
      <w:r w:rsidRPr="005572BE">
        <w:rPr>
          <w:u w:val="double"/>
        </w:rPr>
        <w:t xml:space="preserve"> </w:t>
      </w:r>
      <w:r w:rsidRPr="00B27B80">
        <w:t xml:space="preserve">Entity or Installed Capacity Supplier for an Award Period of at least five (5) years.  The entity must have </w:t>
      </w:r>
      <w:r w:rsidRPr="00B27B80">
        <w:t>ownership or contract control of External Installed Capacity to fulfill its bilateral supply contract throughout the Award Period, and that otherwise satisfies NYISO requirements.</w:t>
      </w:r>
      <w:bookmarkEnd w:id="124"/>
    </w:p>
    <w:p w:rsidR="00230DAD" w:rsidRPr="00DC4CA6" w:rsidRDefault="00F110B3" w:rsidP="00DC4CA6">
      <w:pPr>
        <w:pStyle w:val="romannumeralpara"/>
      </w:pPr>
      <w:bookmarkStart w:id="125" w:name="_Toc260339058"/>
      <w:r>
        <w:t>25.</w:t>
      </w:r>
      <w:r w:rsidRPr="00677507">
        <w:t>7.11</w:t>
      </w:r>
      <w:r>
        <w:t>.1.1.1</w:t>
      </w:r>
      <w:r w:rsidRPr="00B27B80">
        <w:tab/>
        <w:t xml:space="preserve">The bilateral supply contract(s) individually or in the </w:t>
      </w:r>
      <w:r w:rsidRPr="00B27B80">
        <w:t>aggregate, must be for all months of the Summer Capability Periods over the term of the bilateral supply contract(s), but need not include any of the months of the Winter Capability Periods over that term.  The entity seeking External CRIS Rights must spec</w:t>
      </w:r>
      <w:r w:rsidRPr="00B27B80">
        <w:t>ify which, if any, months of the Winter Capability Period it will supply External Installed Capacity under the bilateral supply contract(s) (“Specified Winter Months”).</w:t>
      </w:r>
      <w:bookmarkEnd w:id="125"/>
    </w:p>
    <w:p w:rsidR="00230DAD" w:rsidRPr="003372B9" w:rsidRDefault="00F110B3" w:rsidP="00DC4CA6">
      <w:pPr>
        <w:pStyle w:val="romannumeralpara"/>
      </w:pPr>
      <w:bookmarkStart w:id="126" w:name="_Toc260339059"/>
      <w:r>
        <w:t>25.</w:t>
      </w:r>
      <w:r w:rsidRPr="00677507">
        <w:t>7.11</w:t>
      </w:r>
      <w:r>
        <w:t>.1.1.2</w:t>
      </w:r>
      <w:r w:rsidRPr="003372B9">
        <w:tab/>
        <w:t>The bilateral supply contract(s) must be for the same number of MW for al</w:t>
      </w:r>
      <w:r w:rsidRPr="003372B9">
        <w:t>l months of the Summer Capability Periods (“Summer Contract CRIS MW”) and the same number of MW for all Specified Winter Months (“Winter Contract CRIS MW”).  The Winter Contract CRIS MW level must be less than or equal to the Summer Contract CRIS MW level.</w:t>
      </w:r>
      <w:bookmarkEnd w:id="126"/>
    </w:p>
    <w:p w:rsidR="00230DAD" w:rsidRPr="003372B9" w:rsidRDefault="00F110B3" w:rsidP="00DC4CA6">
      <w:pPr>
        <w:pStyle w:val="romannumeralpara"/>
      </w:pPr>
      <w:bookmarkStart w:id="127" w:name="_Toc260339060"/>
      <w:r>
        <w:t>25.</w:t>
      </w:r>
      <w:r w:rsidRPr="00677507">
        <w:t>7.11</w:t>
      </w:r>
      <w:r>
        <w:t>.1.1.3</w:t>
      </w:r>
      <w:r w:rsidRPr="003372B9">
        <w:tab/>
        <w:t>An entity holding External CRIS Rights under a Contract Commitment must certify the bilateral supply contract for every month of the Summer Capability Periods and all Specified Winter Months for the applicable Contract CRIS MW.  The Summer</w:t>
      </w:r>
      <w:r w:rsidRPr="004544E2">
        <w:t xml:space="preserve"> </w:t>
      </w:r>
      <w:r w:rsidRPr="003372B9">
        <w:t>C</w:t>
      </w:r>
      <w:r w:rsidRPr="003372B9">
        <w:t>ontract CRIS MW must be certified for every month of the Summer Capability Period, and the Winter Contract CRIS MW must be certified for every Specified Winter Month (if any).</w:t>
      </w:r>
      <w:bookmarkEnd w:id="127"/>
    </w:p>
    <w:p w:rsidR="00230DAD" w:rsidRPr="003372B9" w:rsidRDefault="00F110B3" w:rsidP="00DC4CA6">
      <w:pPr>
        <w:pStyle w:val="alphapara"/>
      </w:pPr>
      <w:bookmarkStart w:id="128" w:name="_Toc260339061"/>
      <w:r w:rsidRPr="0018336B">
        <w:rPr>
          <w:b/>
        </w:rPr>
        <w:t xml:space="preserve">25.7.11.1.2 </w:t>
      </w:r>
      <w:r w:rsidRPr="003372B9">
        <w:tab/>
      </w:r>
      <w:r w:rsidRPr="003372B9">
        <w:rPr>
          <w:b/>
        </w:rPr>
        <w:t>Non-Contract Commitment</w:t>
      </w:r>
      <w:r w:rsidRPr="003372B9">
        <w:t>.  An entity holding External CRIS Rights un</w:t>
      </w:r>
      <w:r w:rsidRPr="003372B9">
        <w:t>der a Non-Contract Commitment must offer the committed number of MW of External Installed Capacity for every month of the commitment, as described below, in the NYISO Installed Capacity auctions for an Award Period of at least five (5) years.  The entity m</w:t>
      </w:r>
      <w:r w:rsidRPr="003372B9">
        <w:t>ust have ownership or contract control of External Installed Capacity to fulfill its Non-Contract Commitment throughout the Award Period.</w:t>
      </w:r>
      <w:bookmarkEnd w:id="128"/>
    </w:p>
    <w:p w:rsidR="00230DAD" w:rsidRPr="003372B9" w:rsidRDefault="00F110B3" w:rsidP="00DC4CA6">
      <w:pPr>
        <w:pStyle w:val="romannumeralpara"/>
      </w:pPr>
      <w:bookmarkStart w:id="129" w:name="_Toc260339062"/>
      <w:r>
        <w:t>25.</w:t>
      </w:r>
      <w:r w:rsidRPr="00677507">
        <w:t>7.11</w:t>
      </w:r>
      <w:r>
        <w:t>.1.2.1</w:t>
      </w:r>
      <w:r w:rsidRPr="003372B9">
        <w:tab/>
        <w:t>The Non-Contract Commitment must be made for all months of the Summer Capability Periods over the term o</w:t>
      </w:r>
      <w:r w:rsidRPr="003372B9">
        <w:t>f the Award Period, but need not include any months in the Winter Capability Periods.  The entity must identify the Specified Winter Months, if any, of the Winter Capability Periods for which it will make the commitment.</w:t>
      </w:r>
      <w:bookmarkEnd w:id="129"/>
    </w:p>
    <w:p w:rsidR="00230DAD" w:rsidRPr="003372B9" w:rsidRDefault="00F110B3" w:rsidP="00DC4CA6">
      <w:pPr>
        <w:pStyle w:val="romannumeralpara"/>
      </w:pPr>
      <w:bookmarkStart w:id="130" w:name="_Toc260339063"/>
      <w:r>
        <w:t>25.</w:t>
      </w:r>
      <w:r w:rsidRPr="00677507">
        <w:t>7.11</w:t>
      </w:r>
      <w:r>
        <w:t>.1.2.2</w:t>
      </w:r>
      <w:r w:rsidRPr="003372B9">
        <w:tab/>
        <w:t xml:space="preserve">The commitment must </w:t>
      </w:r>
      <w:r w:rsidRPr="003372B9">
        <w:t>be for the same number of MW for each month of the Summer Capability Period (“Summer Non-Contract CRIS MW”), and the same number of MW for all Specified Winter Months (“Winter Non-Contract CRIS MW”).  The Winter Non-Contract CRIS MW level must be less than</w:t>
      </w:r>
      <w:r w:rsidRPr="003372B9">
        <w:t xml:space="preserve"> or equal to the Summer Contract CRIS MW level.</w:t>
      </w:r>
      <w:bookmarkEnd w:id="130"/>
    </w:p>
    <w:p w:rsidR="00230DAD" w:rsidRPr="003372B9" w:rsidRDefault="00F110B3" w:rsidP="00DC4CA6">
      <w:pPr>
        <w:pStyle w:val="romannumeralpara"/>
      </w:pPr>
      <w:bookmarkStart w:id="131" w:name="_Toc260339064"/>
      <w:r>
        <w:t>25.</w:t>
      </w:r>
      <w:r w:rsidRPr="00677507">
        <w:t>7.11</w:t>
      </w:r>
      <w:r>
        <w:t>.1.2.3</w:t>
      </w:r>
      <w:r w:rsidRPr="003372B9">
        <w:tab/>
        <w:t>An entity holding External CRIS Rights under a Non-Contract Commitment must offer the committed capacity in at least one of the Capability Period, Monthly or Spot Market Auctions, or through a c</w:t>
      </w:r>
      <w:r w:rsidRPr="003372B9">
        <w:t>ertified bilateral contract.  The Summer Non-Contract CRIS MW must be offered for every month of the Summer Capability Period, and the Winter Non-Contract CRIS MW must be offered for every Specified Winter Month (if any).</w:t>
      </w:r>
      <w:bookmarkEnd w:id="131"/>
    </w:p>
    <w:p w:rsidR="00230DAD" w:rsidRPr="003372B9" w:rsidRDefault="00F110B3" w:rsidP="00DC4CA6">
      <w:pPr>
        <w:pStyle w:val="romannumeralpara"/>
      </w:pPr>
      <w:bookmarkStart w:id="132" w:name="_Toc260339065"/>
      <w:r>
        <w:t>25.</w:t>
      </w:r>
      <w:r w:rsidRPr="00677507">
        <w:t>7.11</w:t>
      </w:r>
      <w:r>
        <w:t>.1.2.4</w:t>
      </w:r>
      <w:r w:rsidRPr="003372B9">
        <w:tab/>
        <w:t>Notwithstanding othe</w:t>
      </w:r>
      <w:r w:rsidRPr="003372B9">
        <w:t>r capacity mitigation measures that may apply, the offers to sell Installed Capacity into an auction submitted pursuant to this Non-Contract Commitment will be subject to an offer cap for each month of the Summer Capability Periods and each Specified Winte</w:t>
      </w:r>
      <w:r w:rsidRPr="003372B9">
        <w:t>r Month.  This offer cap will be determined in accordance with the provisions contained in Section 5.12.2.</w:t>
      </w:r>
      <w:r>
        <w:t>4</w:t>
      </w:r>
      <w:r w:rsidRPr="003372B9">
        <w:t xml:space="preserve"> of the Services Tariff.</w:t>
      </w:r>
      <w:bookmarkEnd w:id="132"/>
    </w:p>
    <w:p w:rsidR="00230DAD" w:rsidRPr="003372B9" w:rsidRDefault="00F110B3" w:rsidP="00DC4CA6">
      <w:pPr>
        <w:pStyle w:val="alphapara"/>
      </w:pPr>
      <w:bookmarkStart w:id="133" w:name="_Toc260339066"/>
      <w:r w:rsidRPr="0018336B">
        <w:rPr>
          <w:b/>
        </w:rPr>
        <w:t>25.7.11.1.3</w:t>
      </w:r>
      <w:r w:rsidRPr="003372B9">
        <w:rPr>
          <w:b/>
        </w:rPr>
        <w:tab/>
        <w:t>Failure to Meet Commitment</w:t>
      </w:r>
      <w:r w:rsidRPr="003372B9">
        <w:t>.  If an entity fails to certify or offer the full</w:t>
      </w:r>
      <w:r w:rsidRPr="005572BE">
        <w:rPr>
          <w:u w:val="double"/>
        </w:rPr>
        <w:t xml:space="preserve"> </w:t>
      </w:r>
      <w:r w:rsidRPr="003372B9">
        <w:t>number of Contract CRIS MW or Non-C</w:t>
      </w:r>
      <w:r w:rsidRPr="003372B9">
        <w:t>ontract CRIS MW in accordance with the terms stated above, in Section</w:t>
      </w:r>
      <w:r w:rsidRPr="004544E2">
        <w:t xml:space="preserve">s </w:t>
      </w:r>
      <w:r w:rsidRPr="004544E2">
        <w:t xml:space="preserve">25.7.11.1.1 </w:t>
      </w:r>
      <w:r w:rsidRPr="004544E2">
        <w:t xml:space="preserve">and </w:t>
      </w:r>
      <w:r>
        <w:t>25.</w:t>
      </w:r>
      <w:r w:rsidRPr="00677507">
        <w:t>7.11</w:t>
      </w:r>
      <w:r>
        <w:t>.1.2</w:t>
      </w:r>
      <w:r w:rsidRPr="003372B9">
        <w:t>, the entity shall pay the NYISO an amount equal to 1.5 times the Installed Capacity Spot Auction Market Clearing Price for the month in which either the capa</w:t>
      </w:r>
      <w:r w:rsidRPr="003372B9">
        <w:t>city under Non-Contract Commitment was not offered or the Contract Commitment to supply ICAP was not certified (“Supply Failure”), times the number of MW committed under the Non-Contract or Contract</w:t>
      </w:r>
      <w:r w:rsidRPr="0049476A">
        <w:rPr>
          <w:u w:val="words"/>
        </w:rPr>
        <w:t xml:space="preserve"> </w:t>
      </w:r>
      <w:r w:rsidRPr="003372B9">
        <w:t>Commitment but not offered.</w:t>
      </w:r>
      <w:bookmarkEnd w:id="133"/>
    </w:p>
    <w:p w:rsidR="00230DAD" w:rsidRPr="003372B9" w:rsidRDefault="00F110B3" w:rsidP="00DC4CA6">
      <w:pPr>
        <w:pStyle w:val="romannumeralpara"/>
      </w:pPr>
      <w:bookmarkStart w:id="134" w:name="_Toc260339067"/>
      <w:r>
        <w:t>25.</w:t>
      </w:r>
      <w:r w:rsidRPr="00677507">
        <w:t>7.11</w:t>
      </w:r>
      <w:r>
        <w:t>.1.3.1</w:t>
      </w:r>
      <w:r w:rsidRPr="003372B9">
        <w:tab/>
        <w:t xml:space="preserve">Within a given </w:t>
      </w:r>
      <w:r w:rsidRPr="003372B9">
        <w:t xml:space="preserve">Award Period and each subsequent renewal of an Award Period pursuant to Section </w:t>
      </w:r>
      <w:r>
        <w:t>25</w:t>
      </w:r>
      <w:r w:rsidRPr="003372B9">
        <w:t>.</w:t>
      </w:r>
      <w:r>
        <w:t>9.3.2</w:t>
      </w:r>
      <w:r>
        <w:t>.2</w:t>
      </w:r>
      <w:r w:rsidRPr="003372B9">
        <w:t xml:space="preserve"> herein, for the first three instances of a Supply Failure, no additional actions will be taken.  Upon the fourth instance within the Award Period or the fourth insta</w:t>
      </w:r>
      <w:r w:rsidRPr="003372B9">
        <w:t>nce within a subsequent renewal period of a Supply</w:t>
      </w:r>
      <w:bookmarkEnd w:id="134"/>
      <w:r w:rsidRPr="003372B9">
        <w:t xml:space="preserve"> </w:t>
      </w:r>
      <w:bookmarkStart w:id="135" w:name="_Toc260339068"/>
      <w:r w:rsidRPr="003372B9">
        <w:t>Failure, the associated External CRIS Rights will be terminated in their entirety with no ability to renew.  Entities that had External CRIS Rights terminated may reapply for External CRIS in accordance wi</w:t>
      </w:r>
      <w:r w:rsidRPr="003372B9">
        <w:t xml:space="preserve">th Section </w:t>
      </w:r>
      <w:r>
        <w:t>25.7.11.1.4.2</w:t>
      </w:r>
      <w:r w:rsidRPr="003372B9">
        <w:t xml:space="preserve"> below.  Nothing in this Section </w:t>
      </w:r>
      <w:r w:rsidRPr="004544E2">
        <w:t>25</w:t>
      </w:r>
      <w:r>
        <w:t>.</w:t>
      </w:r>
      <w:r w:rsidRPr="00677507">
        <w:t>7.11</w:t>
      </w:r>
      <w:r>
        <w:t>.1.3</w:t>
      </w:r>
      <w:r w:rsidRPr="003372B9">
        <w:t xml:space="preserve"> shall be construed to limit or diminish any provision in the Market Power Mitigation Measures or the Market Monitoring Plan.</w:t>
      </w:r>
      <w:bookmarkEnd w:id="135"/>
    </w:p>
    <w:p w:rsidR="00230DAD" w:rsidRPr="003372B9" w:rsidRDefault="00F110B3" w:rsidP="00DC4CA6">
      <w:pPr>
        <w:pStyle w:val="alphapara"/>
      </w:pPr>
      <w:bookmarkStart w:id="136" w:name="_Toc260339069"/>
      <w:r w:rsidRPr="0018336B">
        <w:rPr>
          <w:b/>
        </w:rPr>
        <w:t>25.7.11.1.4</w:t>
      </w:r>
      <w:r w:rsidRPr="003372B9">
        <w:rPr>
          <w:b/>
        </w:rPr>
        <w:tab/>
        <w:t xml:space="preserve">Obtaining External CRIS Rights.  </w:t>
      </w:r>
      <w:r w:rsidRPr="003372B9">
        <w:t xml:space="preserve">An entity making </w:t>
      </w:r>
      <w:r w:rsidRPr="003372B9">
        <w:t>a Contract Commitment or Non-Contract Commitment of External Installed Capacity</w:t>
      </w:r>
      <w:r w:rsidRPr="005572BE">
        <w:rPr>
          <w:u w:val="double"/>
        </w:rPr>
        <w:t xml:space="preserve"> </w:t>
      </w:r>
      <w:r w:rsidRPr="003372B9">
        <w:t>may obtain External CRIS Rights for a specified number of MW of External Installed Capacity in one of two different ways, either (i) by converting MW of grandfathered deliverab</w:t>
      </w:r>
      <w:r w:rsidRPr="003372B9">
        <w:t>ility rights over the External Interface with Quebec (via Chateauguay), or (ii) by having its specified MW of External Installed Capacity evaluated in a Class Year Deliverability Study, both as described herein.</w:t>
      </w:r>
      <w:bookmarkEnd w:id="136"/>
    </w:p>
    <w:p w:rsidR="00230DAD" w:rsidRPr="003372B9" w:rsidRDefault="00F110B3" w:rsidP="00DC4CA6">
      <w:pPr>
        <w:pStyle w:val="romannumeralpara"/>
      </w:pPr>
      <w:bookmarkStart w:id="137" w:name="_Toc260339070"/>
      <w:r>
        <w:t>25.</w:t>
      </w:r>
      <w:r w:rsidRPr="00677507">
        <w:t>7.11</w:t>
      </w:r>
      <w:r>
        <w:t>.1.4.1</w:t>
      </w:r>
      <w:r w:rsidRPr="003372B9">
        <w:tab/>
        <w:t>One-Time Conversion of Grandfa</w:t>
      </w:r>
      <w:r w:rsidRPr="003372B9">
        <w:t>thered Rights.  An entity can request to convert a specified number of MW pursuant to the conversion process established in Section 5.12.2.</w:t>
      </w:r>
      <w:r>
        <w:t>3</w:t>
      </w:r>
      <w:r w:rsidRPr="003372B9">
        <w:t xml:space="preserve"> of the Services Tariff.</w:t>
      </w:r>
      <w:bookmarkEnd w:id="137"/>
      <w:r w:rsidRPr="003372B9">
        <w:t xml:space="preserve">  </w:t>
      </w:r>
    </w:p>
    <w:p w:rsidR="00230DAD" w:rsidRPr="003372B9" w:rsidRDefault="00F110B3" w:rsidP="00EF357E">
      <w:pPr>
        <w:pStyle w:val="romannumeralpara"/>
      </w:pPr>
      <w:bookmarkStart w:id="138" w:name="_Toc260339071"/>
      <w:r>
        <w:t>25.</w:t>
      </w:r>
      <w:r w:rsidRPr="00677507">
        <w:t>7.11</w:t>
      </w:r>
      <w:r>
        <w:t>.1.4.2</w:t>
      </w:r>
      <w:r w:rsidRPr="003372B9">
        <w:tab/>
        <w:t>Class Year Deliverability Study.  An entity may seek to obtain</w:t>
      </w:r>
      <w:r w:rsidRPr="0049476A">
        <w:t xml:space="preserve"> </w:t>
      </w:r>
      <w:r w:rsidRPr="003372B9">
        <w:t xml:space="preserve">External </w:t>
      </w:r>
      <w:r w:rsidRPr="003372B9">
        <w:t>CRIS Rights for its External Installed Capacity by</w:t>
      </w:r>
      <w:bookmarkEnd w:id="138"/>
      <w:r>
        <w:t xml:space="preserve"> </w:t>
      </w:r>
      <w:bookmarkStart w:id="139" w:name="_Toc260339072"/>
      <w:r w:rsidRPr="003372B9">
        <w:t xml:space="preserve">requesting that its External Installed Capacity be evaluated for deliverability </w:t>
      </w:r>
      <w:r w:rsidRPr="00080A10">
        <w:t xml:space="preserve">in the </w:t>
      </w:r>
      <w:del w:id="140" w:author="Author" w:date="2012-10-11T09:34:00Z">
        <w:r w:rsidRPr="00080A10">
          <w:delText xml:space="preserve">then </w:delText>
        </w:r>
      </w:del>
      <w:r w:rsidRPr="00080A10">
        <w:t>open</w:t>
      </w:r>
      <w:r w:rsidRPr="003372B9">
        <w:t xml:space="preserve"> Class Year Deliverability Study.  To make such a request an entity must provide to the NYISO a completed Ext</w:t>
      </w:r>
      <w:r w:rsidRPr="003372B9">
        <w:t>ernal CRIS Rights Request stating whether it is making a Contract Commitment or Non-Contract Commitment, the number of MW of External Installed Capacity to be evaluated, and</w:t>
      </w:r>
      <w:r w:rsidRPr="0049476A">
        <w:t xml:space="preserve"> </w:t>
      </w:r>
      <w:r w:rsidRPr="003372B9">
        <w:t xml:space="preserve">the specific External Interface(s).  The first Class Year Deliverability Study to </w:t>
      </w:r>
      <w:r w:rsidRPr="003372B9">
        <w:t xml:space="preserve">evaluate requests for External CRIS Rights will be that for Class Year 2010.  After the NYISO receives a completed External CRIS Rights Request, an entity making a Contract Commitment or Non-Contract Commitment that satisfies the requirements of Section </w:t>
      </w:r>
      <w:r>
        <w:t>25</w:t>
      </w:r>
      <w:r>
        <w:t>.</w:t>
      </w:r>
      <w:r w:rsidRPr="00677507">
        <w:t>7.11</w:t>
      </w:r>
      <w:r>
        <w:t xml:space="preserve">.1 </w:t>
      </w:r>
      <w:r w:rsidRPr="003372B9">
        <w:t>of this Attachment S will be eligible to proceed, as follows:</w:t>
      </w:r>
      <w:bookmarkEnd w:id="139"/>
    </w:p>
    <w:p w:rsidR="00230DAD" w:rsidRPr="003372B9" w:rsidRDefault="00F110B3" w:rsidP="0018336B">
      <w:pPr>
        <w:pStyle w:val="alphapara"/>
      </w:pPr>
      <w:bookmarkStart w:id="141" w:name="_Toc260339073"/>
      <w:r>
        <w:t>25.</w:t>
      </w:r>
      <w:r w:rsidRPr="00677507">
        <w:t>7.11</w:t>
      </w:r>
      <w:r>
        <w:t>.1.4.2.1</w:t>
      </w:r>
      <w:r>
        <w:tab/>
      </w:r>
      <w:r w:rsidRPr="003372B9">
        <w:t xml:space="preserve">The entity is made a </w:t>
      </w:r>
      <w:del w:id="142" w:author="Author" w:date="2012-09-12T09:26:00Z">
        <w:r w:rsidRPr="003372B9">
          <w:delText xml:space="preserve">member of the </w:delText>
        </w:r>
      </w:del>
      <w:r w:rsidRPr="003372B9">
        <w:t xml:space="preserve">Class Year </w:t>
      </w:r>
      <w:ins w:id="143" w:author="Author" w:date="2012-09-12T09:26:00Z">
        <w:r>
          <w:t xml:space="preserve">Project </w:t>
        </w:r>
      </w:ins>
      <w:r w:rsidRPr="003372B9">
        <w:t xml:space="preserve">when the NYISO receives the entity’s executed Class Year </w:t>
      </w:r>
      <w:ins w:id="144" w:author="Author" w:date="2012-08-14T18:59:00Z">
        <w:r>
          <w:t xml:space="preserve">Interconnection </w:t>
        </w:r>
      </w:ins>
      <w:r w:rsidRPr="003372B9">
        <w:t>Facilities Study Agreement for External Ins</w:t>
      </w:r>
      <w:r w:rsidRPr="003372B9">
        <w:t>talled Capacity and all required data and the full deposit.</w:t>
      </w:r>
      <w:bookmarkEnd w:id="141"/>
    </w:p>
    <w:p w:rsidR="00230DAD" w:rsidRPr="00067235" w:rsidRDefault="00F110B3" w:rsidP="0018336B">
      <w:pPr>
        <w:pStyle w:val="alphapara"/>
      </w:pPr>
      <w:bookmarkStart w:id="145" w:name="_Toc260339074"/>
      <w:r>
        <w:t>25.</w:t>
      </w:r>
      <w:r w:rsidRPr="00677507">
        <w:t>7.11</w:t>
      </w:r>
      <w:r>
        <w:t>.1.4.2.2</w:t>
      </w:r>
      <w:r>
        <w:tab/>
      </w:r>
      <w:r w:rsidRPr="003372B9">
        <w:t>The entity’s MW of External Installed Capacity covered by its bilateral contract(s) or, in the case of a Non-Contract</w:t>
      </w:r>
      <w:r w:rsidRPr="00505787">
        <w:t xml:space="preserve"> </w:t>
      </w:r>
      <w:r w:rsidRPr="003372B9">
        <w:t>Commitment the number of MW committed by the entity, are evalu</w:t>
      </w:r>
      <w:r w:rsidRPr="003372B9">
        <w:t>ated for deliverability within the appropriate</w:t>
      </w:r>
      <w:bookmarkEnd w:id="145"/>
      <w:r>
        <w:t xml:space="preserve"> </w:t>
      </w:r>
      <w:bookmarkStart w:id="146" w:name="_Toc260339075"/>
      <w:r w:rsidRPr="003372B9">
        <w:t>Capacity Region, depending on the applicable External Interface.  The entity’s External Installed Capacity is not subject to the NYISO Minimum Interconnection Standard.  The NYISO will determine whether the re</w:t>
      </w:r>
      <w:r w:rsidRPr="003372B9">
        <w:t xml:space="preserve">quests for External CRIS Rights within a given Class Year exceed the import limit, established pursuant to ISO procedures, for the applicable External Interface that is in effect on </w:t>
      </w:r>
      <w:ins w:id="147" w:author="Author" w:date="2012-09-12T09:25:00Z">
        <w:r>
          <w:t xml:space="preserve">the </w:t>
        </w:r>
      </w:ins>
      <w:ins w:id="148" w:author="Author" w:date="2012-09-12T09:24:00Z">
        <w:r>
          <w:t xml:space="preserve">Class Year </w:t>
        </w:r>
      </w:ins>
      <w:del w:id="149" w:author="Author" w:date="2012-09-12T09:24:00Z">
        <w:r w:rsidRPr="003372B9">
          <w:delText xml:space="preserve">the Study </w:delText>
        </w:r>
      </w:del>
      <w:r w:rsidRPr="003372B9">
        <w:t>Start Date</w:t>
      </w:r>
      <w:del w:id="150" w:author="Author" w:date="2012-09-12T09:24:00Z">
        <w:r w:rsidRPr="003372B9">
          <w:delText xml:space="preserve"> for the Class Year ATRA</w:delText>
        </w:r>
      </w:del>
      <w:r w:rsidRPr="003372B9">
        <w:t xml:space="preserve"> when combined,</w:t>
      </w:r>
      <w:r w:rsidRPr="003372B9">
        <w:t xml:space="preserve"> to the extent not already reflected in the import limit, with the following:  (1) awarded External CRIS Rights at the same External Interface, (2) Grandfathered External Installed Capacity Agreements listed in Attachment E of the ISO Installed Capacity Ma</w:t>
      </w:r>
      <w:r w:rsidRPr="003372B9">
        <w:t>nual at the same External Interface, and (3) the Existing Transmission Capacity for Native Load listed for New York State Electric &amp; Gas Corporation in Table 3 of Attachment L to the ISO OATT</w:t>
      </w:r>
      <w:r w:rsidRPr="0049476A">
        <w:t xml:space="preserve"> </w:t>
      </w:r>
      <w:r w:rsidRPr="003372B9">
        <w:t>(applies to the PJM interface only) (“Combined Total MW”).  In a</w:t>
      </w:r>
      <w:r w:rsidRPr="003372B9">
        <w:t>ddition to the other requirements stated herein, External CRIS Rights will only be awarded to the extent that the Combined Total MW does not exceed the import limit, as described above.</w:t>
      </w:r>
      <w:bookmarkEnd w:id="146"/>
    </w:p>
    <w:p w:rsidR="00230DAD" w:rsidRPr="003372B9" w:rsidRDefault="00F110B3" w:rsidP="0018336B">
      <w:pPr>
        <w:pStyle w:val="alphapara"/>
      </w:pPr>
      <w:bookmarkStart w:id="151" w:name="_Toc260339076"/>
      <w:r>
        <w:t>25.</w:t>
      </w:r>
      <w:r w:rsidRPr="00677507">
        <w:t>7.11</w:t>
      </w:r>
      <w:r>
        <w:t>.1.4.2.3</w:t>
      </w:r>
      <w:r>
        <w:tab/>
      </w:r>
      <w:r w:rsidRPr="003372B9">
        <w:t>The Class Year Deliverabi</w:t>
      </w:r>
      <w:r w:rsidRPr="00EF357E">
        <w:t>l</w:t>
      </w:r>
      <w:r w:rsidRPr="003372B9">
        <w:t>ity Study report will includ</w:t>
      </w:r>
      <w:r w:rsidRPr="003372B9">
        <w:t>e an SDU Project Cost Allocation and a Deliverable MW number for the entity’s External Installed Capacity.</w:t>
      </w:r>
      <w:bookmarkEnd w:id="151"/>
    </w:p>
    <w:p w:rsidR="00230DAD" w:rsidRPr="003372B9" w:rsidRDefault="00F110B3" w:rsidP="0018336B">
      <w:pPr>
        <w:pStyle w:val="alphapara"/>
      </w:pPr>
      <w:bookmarkStart w:id="152" w:name="_Toc260339077"/>
      <w:r>
        <w:t>25.</w:t>
      </w:r>
      <w:r w:rsidRPr="00677507">
        <w:t>7.11</w:t>
      </w:r>
      <w:r>
        <w:t>.1.4.2.4</w:t>
      </w:r>
      <w:r>
        <w:tab/>
      </w:r>
      <w:r w:rsidRPr="003372B9">
        <w:t xml:space="preserve">The entity will have the same decision alternatives as other Class Year </w:t>
      </w:r>
      <w:del w:id="153" w:author="Author" w:date="2012-09-12T09:27:00Z">
        <w:r w:rsidRPr="003372B9">
          <w:delText xml:space="preserve">members </w:delText>
        </w:r>
      </w:del>
      <w:ins w:id="154" w:author="Author" w:date="2012-09-12T09:27:00Z">
        <w:r>
          <w:t>Projects</w:t>
        </w:r>
        <w:r w:rsidRPr="003372B9">
          <w:t xml:space="preserve"> </w:t>
        </w:r>
      </w:ins>
      <w:r w:rsidRPr="003372B9">
        <w:t xml:space="preserve">participating in the Deliverability Study </w:t>
      </w:r>
      <w:r w:rsidRPr="003372B9">
        <w:t>only.  That is, the entity may either (a) accept its SDU Project Cost Allocation, (b) decline its SDU Project Cost Allocation and accept its Deliverability MW figure, or (c) decline both its SDU Project Cost Allocation and its</w:t>
      </w:r>
      <w:r w:rsidRPr="00D4534A">
        <w:t xml:space="preserve"> </w:t>
      </w:r>
      <w:r w:rsidRPr="003372B9">
        <w:t>Deliverable MW.  If the entit</w:t>
      </w:r>
      <w:r w:rsidRPr="003372B9">
        <w:t>y does decline both its SDU Project Cost Allocation and its Deliverable MW, the entity’s External Installed Capacity will be removed from the Class Year Deliverability Study.  Once removed from the then current Class Year Deliverability Study, the entity c</w:t>
      </w:r>
      <w:r w:rsidRPr="003372B9">
        <w:t>an request for its External Installed Capacity to be evaluated again for deliverability in a subsequent Class Year Deliverability Study that is open at the time of its request.</w:t>
      </w:r>
      <w:bookmarkEnd w:id="152"/>
    </w:p>
    <w:p w:rsidR="00230DAD" w:rsidRPr="00067235" w:rsidRDefault="00F110B3" w:rsidP="0018336B">
      <w:pPr>
        <w:pStyle w:val="alphapara"/>
      </w:pPr>
      <w:bookmarkStart w:id="155" w:name="_Toc260339078"/>
      <w:r>
        <w:t>25.</w:t>
      </w:r>
      <w:r w:rsidRPr="00677507">
        <w:t>7.11</w:t>
      </w:r>
      <w:r>
        <w:t>.1.4.2.5</w:t>
      </w:r>
      <w:r>
        <w:tab/>
      </w:r>
      <w:r w:rsidRPr="003372B9">
        <w:t xml:space="preserve">If the entity accepts its SDU Project Cost Allocation, it must </w:t>
      </w:r>
      <w:r w:rsidRPr="003372B9">
        <w:t xml:space="preserve">fund, or commit to fund the SDU upgrades, like any other Class Year </w:t>
      </w:r>
      <w:del w:id="156" w:author="Author" w:date="2012-09-12T09:27:00Z">
        <w:r w:rsidRPr="003372B9">
          <w:delText>member</w:delText>
        </w:r>
      </w:del>
      <w:ins w:id="157" w:author="Author" w:date="2012-09-12T09:27:00Z">
        <w:r>
          <w:t>Project</w:t>
        </w:r>
      </w:ins>
      <w:r w:rsidRPr="003372B9">
        <w:t>.</w:t>
      </w:r>
      <w:bookmarkEnd w:id="155"/>
    </w:p>
    <w:p w:rsidR="00230DAD" w:rsidRPr="003372B9" w:rsidRDefault="00F110B3" w:rsidP="0018336B">
      <w:pPr>
        <w:pStyle w:val="alphapara"/>
      </w:pPr>
      <w:bookmarkStart w:id="158" w:name="_Toc260339079"/>
      <w:r>
        <w:t>25.</w:t>
      </w:r>
      <w:r w:rsidRPr="00677507">
        <w:t>7.11</w:t>
      </w:r>
      <w:r>
        <w:t>.1.4.2.6</w:t>
      </w:r>
      <w:r>
        <w:tab/>
      </w:r>
      <w:r w:rsidRPr="003372B9">
        <w:t>If the entity accep</w:t>
      </w:r>
      <w:r w:rsidRPr="0018336B">
        <w:t xml:space="preserve">ts its SDU Project Cost Allocation and funds or commits to fund the SDU upgrades as </w:t>
      </w:r>
      <w:r w:rsidRPr="003372B9">
        <w:t>required by Attachment S, the entity must also execute</w:t>
      </w:r>
      <w:r w:rsidRPr="003372B9">
        <w:t xml:space="preserve"> and fulfill agreement(s) with the NYISO and the Connecting Transmission Owner and any Affected Transmission Owner to cover the engineering, procurement and construction of the SDUs.</w:t>
      </w:r>
      <w:bookmarkEnd w:id="158"/>
    </w:p>
    <w:p w:rsidR="00230DAD" w:rsidRPr="003372B9" w:rsidRDefault="00F110B3" w:rsidP="0018336B">
      <w:pPr>
        <w:pStyle w:val="alphapara"/>
      </w:pPr>
      <w:bookmarkStart w:id="159" w:name="_Toc260339080"/>
      <w:r>
        <w:t>25.</w:t>
      </w:r>
      <w:r w:rsidRPr="00677507">
        <w:t>7.11</w:t>
      </w:r>
      <w:r>
        <w:t>.1.4.2.7</w:t>
      </w:r>
      <w:r>
        <w:tab/>
      </w:r>
      <w:r w:rsidRPr="003372B9">
        <w:t>By the end of the Initial Decisional Period (</w:t>
      </w:r>
      <w:r w:rsidRPr="003372B9">
        <w:rPr>
          <w:i/>
        </w:rPr>
        <w:t>i.e.,</w:t>
      </w:r>
      <w:r w:rsidRPr="003372B9">
        <w:t xml:space="preserve"> 30 day</w:t>
      </w:r>
      <w:r w:rsidRPr="003372B9">
        <w:t>s from Operating Committee approval of the</w:t>
      </w:r>
      <w:r w:rsidRPr="0018336B">
        <w:t xml:space="preserve"> </w:t>
      </w:r>
      <w:r w:rsidRPr="003372B9">
        <w:t xml:space="preserve">Class Year Deliverability Study), an entity making a Contract Commitment and accepting either its SDU Project Cost Allocation or Deliverable MW quantity, must provide specific contract and resource information to </w:t>
      </w:r>
      <w:r w:rsidRPr="003372B9">
        <w:t>the NYISO.  Unless entities are supplying External Installed Capacity as Control Area System Resources, requests for External Installed Capacity shall be resource-specific.  Entities are permitted to substitute resources located in the same External Contro</w:t>
      </w:r>
      <w:r w:rsidRPr="003372B9">
        <w:t>l Area.  Such substitutions shall be subject to review and approval by NYISO consistent with ISO Procedures and deadlines specified therein.</w:t>
      </w:r>
      <w:bookmarkEnd w:id="159"/>
    </w:p>
    <w:p w:rsidR="00B051CE" w:rsidRPr="003372B9" w:rsidRDefault="00F110B3" w:rsidP="0018336B">
      <w:pPr>
        <w:pStyle w:val="alphapara"/>
        <w:rPr>
          <w:color w:val="000000"/>
        </w:rPr>
      </w:pPr>
      <w:bookmarkStart w:id="160" w:name="_Toc260339081"/>
      <w:r>
        <w:t>25.</w:t>
      </w:r>
      <w:r w:rsidRPr="00677507">
        <w:t>7.11</w:t>
      </w:r>
      <w:r>
        <w:t>.1.4.2.8</w:t>
      </w:r>
      <w:r>
        <w:tab/>
      </w:r>
      <w:r w:rsidRPr="003372B9">
        <w:rPr>
          <w:color w:val="000000"/>
        </w:rPr>
        <w:t xml:space="preserve">If the entity satisfies the requirements described in this </w:t>
      </w:r>
      <w:r>
        <w:rPr>
          <w:color w:val="000000"/>
        </w:rPr>
        <w:t>S</w:t>
      </w:r>
      <w:r w:rsidRPr="003372B9">
        <w:rPr>
          <w:color w:val="000000"/>
        </w:rPr>
        <w:t xml:space="preserve">ection </w:t>
      </w:r>
      <w:r>
        <w:rPr>
          <w:color w:val="000000"/>
        </w:rPr>
        <w:t>25.7.11.1.4</w:t>
      </w:r>
      <w:r w:rsidRPr="003372B9">
        <w:rPr>
          <w:color w:val="000000"/>
        </w:rPr>
        <w:t>, the entity will obt</w:t>
      </w:r>
      <w:r w:rsidRPr="003372B9">
        <w:rPr>
          <w:color w:val="000000"/>
        </w:rPr>
        <w:t>ain External CRIS Rights for the number of MW determined to be deliverable, made deliverable through an SDU (with an accepted SDU Project Cost Allocation), or deemed deliverable through a commitment to pay for an SDU.</w:t>
      </w:r>
      <w:bookmarkEnd w:id="160"/>
    </w:p>
    <w:p w:rsidR="00B051CE" w:rsidRPr="003372B9" w:rsidRDefault="00F110B3" w:rsidP="0089050C">
      <w:pPr>
        <w:pStyle w:val="Heading3"/>
        <w:rPr>
          <w:bCs/>
        </w:rPr>
      </w:pPr>
      <w:bookmarkStart w:id="161" w:name="_Toc260339082"/>
      <w:bookmarkStart w:id="162" w:name="_Toc262653038"/>
      <w:r>
        <w:t>25.</w:t>
      </w:r>
      <w:r>
        <w:t>7.12</w:t>
      </w:r>
      <w:r w:rsidRPr="003372B9">
        <w:rPr>
          <w:bCs/>
        </w:rPr>
        <w:tab/>
        <w:t>Cost Allocation for Highway Sy</w:t>
      </w:r>
      <w:r w:rsidRPr="003372B9">
        <w:rPr>
          <w:bCs/>
        </w:rPr>
        <w:t>stem Deliverability Upgrades</w:t>
      </w:r>
      <w:bookmarkEnd w:id="161"/>
      <w:bookmarkEnd w:id="162"/>
    </w:p>
    <w:p w:rsidR="00B051CE" w:rsidRPr="004D31A1" w:rsidRDefault="00F110B3" w:rsidP="0089050C">
      <w:pPr>
        <w:pStyle w:val="Numberpara"/>
      </w:pPr>
      <w:r>
        <w:t>25.</w:t>
      </w:r>
      <w:r w:rsidRPr="00677507">
        <w:t>7.12</w:t>
      </w:r>
      <w:r>
        <w:t>.1</w:t>
      </w:r>
      <w:r w:rsidRPr="003372B9">
        <w:tab/>
        <w:t>If the portion of the Highway System Deliverability Upgrades</w:t>
      </w:r>
      <w:r>
        <w:t xml:space="preserve"> </w:t>
      </w:r>
      <w:r w:rsidRPr="003372B9">
        <w:t>(measured in MW) required to make one or more projects in a Class Year deliverable is ninety percent (90%) or more of the total size (measured in MW) of the</w:t>
      </w:r>
      <w:r w:rsidRPr="003372B9">
        <w:t xml:space="preserve"> System Deliverability Upgrades, the Developer(s) of the project(s) will be responsible for its pro rata Class Year share of one hundred percent (100%) of the cost of the System</w:t>
      </w:r>
      <w:r w:rsidRPr="004D31A1">
        <w:t xml:space="preserve"> Deliverability Upgrades.</w:t>
      </w:r>
    </w:p>
    <w:p w:rsidR="00B051CE" w:rsidRPr="00560206" w:rsidRDefault="00F110B3" w:rsidP="0089050C">
      <w:pPr>
        <w:pStyle w:val="Numberpara"/>
      </w:pPr>
      <w:r>
        <w:t>25.</w:t>
      </w:r>
      <w:r w:rsidRPr="00677507">
        <w:t>7.12</w:t>
      </w:r>
      <w:r>
        <w:t>.2</w:t>
      </w:r>
      <w:r w:rsidRPr="004D31A1">
        <w:tab/>
      </w:r>
      <w:r w:rsidRPr="004D31A1">
        <w:t xml:space="preserve">If the portion of the System Deliverability Upgrades required to make one or more projects in a Class Year deliverable is less than 90% of the total </w:t>
      </w:r>
      <w:r w:rsidRPr="003372B9">
        <w:t>size (measured in MW) of the Highway System Deliverability Upgrade,</w:t>
      </w:r>
      <w:r w:rsidRPr="004D31A1">
        <w:t xml:space="preserve"> the Developer(s) </w:t>
      </w:r>
      <w:r w:rsidRPr="00560206">
        <w:t>will be required to pa</w:t>
      </w:r>
      <w:r w:rsidRPr="00560206">
        <w:t xml:space="preserve">y or commit to pay for a percentage share of the total cost of the </w:t>
      </w:r>
      <w:r w:rsidRPr="00B11548">
        <w:t>Highway</w:t>
      </w:r>
      <w:r w:rsidRPr="00D4534A">
        <w:t xml:space="preserve"> </w:t>
      </w:r>
      <w:r w:rsidRPr="00560206">
        <w:t xml:space="preserve">System Deliverability Upgrades equal to the estimated percentage megawatt usage by the </w:t>
      </w:r>
      <w:del w:id="163" w:author="Author" w:date="2012-09-12T18:36:00Z">
        <w:r w:rsidRPr="00560206">
          <w:delText xml:space="preserve">Developer’s </w:delText>
        </w:r>
      </w:del>
      <w:del w:id="164" w:author="Author" w:date="2012-09-12T18:35:00Z">
        <w:r w:rsidRPr="00560206">
          <w:delText xml:space="preserve">generator or merchant transmission facility </w:delText>
        </w:r>
      </w:del>
      <w:ins w:id="165" w:author="Author" w:date="2012-09-12T18:36:00Z">
        <w:r>
          <w:t xml:space="preserve">Class Year Project </w:t>
        </w:r>
      </w:ins>
      <w:r w:rsidRPr="00560206">
        <w:t>of the total megawa</w:t>
      </w:r>
      <w:r w:rsidRPr="00560206">
        <w:t>tts provided by the System Deliverability Upgrades.  Other generators or merchant transmission projects in the current Class Year may share in the cost of these System Deliverability Upgrades, on the same basis.  Projects in the current Class Year will not</w:t>
      </w:r>
      <w:r w:rsidRPr="00560206">
        <w:t xml:space="preserve"> be allocated all of the cost of these System Deliverability Upgrades.  The rest of the cost of these System Deliverability Upgrades will be allocated to Load Serving Entities and subsequent Developers, as described in this Section </w:t>
      </w:r>
      <w:r>
        <w:t>25</w:t>
      </w:r>
      <w:r w:rsidRPr="00560206">
        <w:t>.</w:t>
      </w:r>
      <w:r>
        <w:t>7.12</w:t>
      </w:r>
      <w:r w:rsidRPr="00560206">
        <w:t xml:space="preserve">  The Developer m</w:t>
      </w:r>
      <w:r w:rsidRPr="00560206">
        <w:t>ay either (1) make a cash payment of its proportionate share of the upgrade, which will be held by the Connecting Transmission Owner and Affected Transmission Owner(s) in interest-bearing account(s); or (2) post Security (as defined in this Attachment S) m</w:t>
      </w:r>
      <w:r w:rsidRPr="00560206">
        <w:t>eeting the commercially reasonable requirements of the Connecting Transmission Owner and Affected Transmission Owner(s) for the Developer’s proportionate share of the cost of the upgrade.  The amount(s) of cash or Security that a Developer must</w:t>
      </w:r>
      <w:r>
        <w:t xml:space="preserve"> </w:t>
      </w:r>
      <w:r w:rsidRPr="00560206">
        <w:t xml:space="preserve">provide to </w:t>
      </w:r>
      <w:r w:rsidRPr="00560206">
        <w:t>its Connecting Transmission Owner and any Affected Transmission Owners will be included in the Class Year Deliverability Study report.  If the Developer chooses to provide Security, its allocated cost will be increased by an annual construction-focused inf</w:t>
      </w:r>
      <w:r w:rsidRPr="00560206">
        <w:t>lation index.  The Developer will update its Security on an annual basis to reflect this increase.  Except for this adjustment for inflation, the cost allocated to the Developers will not be increased if the estimated cost of the Highw</w:t>
      </w:r>
      <w:r w:rsidRPr="00B11548">
        <w:t>ay System Deliverabil</w:t>
      </w:r>
      <w:r w:rsidRPr="00B11548">
        <w:t>ity Up</w:t>
      </w:r>
      <w:r w:rsidRPr="00560206">
        <w:t xml:space="preserve">grade increases.  However, the costs allocated to subsequent Developers will be based on a current cost estimate of the Highway </w:t>
      </w:r>
      <w:r w:rsidRPr="00B11548">
        <w:t>System Deliverability U</w:t>
      </w:r>
      <w:r w:rsidRPr="00560206">
        <w:t>pgrade project.</w:t>
      </w:r>
    </w:p>
    <w:p w:rsidR="00B051CE" w:rsidRPr="00560206" w:rsidRDefault="00F110B3" w:rsidP="0089050C">
      <w:pPr>
        <w:pStyle w:val="Numberpara"/>
      </w:pPr>
      <w:r>
        <w:t>25.</w:t>
      </w:r>
      <w:r w:rsidRPr="00677507">
        <w:t>7.12</w:t>
      </w:r>
      <w:r>
        <w:t>.3</w:t>
      </w:r>
      <w:r w:rsidRPr="00560206">
        <w:tab/>
        <w:t>The generator or merchant transmission facility will be considered delive</w:t>
      </w:r>
      <w:r w:rsidRPr="00560206">
        <w:t xml:space="preserve">rable, and eligible to become a qualified Installed Capacity Supplier or to receive Unforced Capacity Deliverability Rights, when it is in service, provided it has paid its share of the total cost of System Deliverability Upgrades necessary to support the </w:t>
      </w:r>
      <w:r w:rsidRPr="00560206">
        <w:t xml:space="preserve">requested CRIS level, or made a satisfactory commitment to do so.  Highway </w:t>
      </w:r>
      <w:r w:rsidRPr="00B11548">
        <w:t>System Deliverability U</w:t>
      </w:r>
      <w:r w:rsidRPr="00560206">
        <w:t xml:space="preserve">pgrades--where the System Deliverability Upgrades are below the 90% threshold discussed in Section </w:t>
      </w:r>
      <w:r>
        <w:t>25.7.12.2</w:t>
      </w:r>
      <w:r w:rsidRPr="00560206">
        <w:t xml:space="preserve"> above--will be constructed and funded either (i) </w:t>
      </w:r>
      <w:r w:rsidRPr="00560206">
        <w:t xml:space="preserve">according to </w:t>
      </w:r>
      <w:r>
        <w:t>S</w:t>
      </w:r>
      <w:r w:rsidRPr="00560206">
        <w:t xml:space="preserve">ections </w:t>
      </w:r>
      <w:r>
        <w:t>25.7.12.3.1</w:t>
      </w:r>
      <w:r w:rsidRPr="00560206">
        <w:t xml:space="preserve"> and </w:t>
      </w:r>
      <w:r>
        <w:t>25.7.12.3.2</w:t>
      </w:r>
      <w:r w:rsidRPr="00560206">
        <w:t xml:space="preserve"> below, or (ii) according to </w:t>
      </w:r>
      <w:r>
        <w:t>Section 25.7.12.3.3</w:t>
      </w:r>
      <w:r w:rsidRPr="00560206">
        <w:t xml:space="preserve"> below.</w:t>
      </w:r>
    </w:p>
    <w:p w:rsidR="00B051CE" w:rsidRPr="00560206" w:rsidRDefault="00F110B3" w:rsidP="0089050C">
      <w:pPr>
        <w:pStyle w:val="alphapara"/>
      </w:pPr>
      <w:r>
        <w:t>25.</w:t>
      </w:r>
      <w:r w:rsidRPr="00677507">
        <w:t>7.12</w:t>
      </w:r>
      <w:r>
        <w:t>.3.1</w:t>
      </w:r>
      <w:r w:rsidRPr="00560206">
        <w:tab/>
      </w:r>
      <w:r w:rsidRPr="00560206">
        <w:t xml:space="preserve">When a threshold of 60% of the most current cost estimate of the System Deliverability Upgrade has been paid or posted as Security by Developers, the Highway </w:t>
      </w:r>
      <w:r w:rsidRPr="00B11548">
        <w:t>System Deliverability Upgrade</w:t>
      </w:r>
      <w:r w:rsidRPr="00560206">
        <w:t xml:space="preserve"> will be built by the Transmission Owner that owns the facility to be</w:t>
      </w:r>
      <w:r w:rsidRPr="00560206">
        <w:t xml:space="preserve"> upgraded.  If the facility to be constructed will be entirely new, construction should be completed by the Transmission Owner that owns or controls the necessary site or right of way.  If no Transmission Owner(s) has such control, construction should be c</w:t>
      </w:r>
      <w:r w:rsidRPr="00560206">
        <w:t>ompleted by the Transmission Owner in whose Transmission District the facility would be constructed.  If the upgrade crosses multiple Transmission Districts, each Transmission Owner will be responsible for the portion of the upgrade in its Transmission Dis</w:t>
      </w:r>
      <w:r w:rsidRPr="00560206">
        <w:t xml:space="preserve">trict; and </w:t>
      </w:r>
    </w:p>
    <w:p w:rsidR="00B051CE" w:rsidRPr="00560206" w:rsidRDefault="00F110B3" w:rsidP="0089050C">
      <w:pPr>
        <w:pStyle w:val="alphapara"/>
      </w:pPr>
      <w:r>
        <w:t>25.</w:t>
      </w:r>
      <w:r w:rsidRPr="00677507">
        <w:t>7.12</w:t>
      </w:r>
      <w:r>
        <w:t>.3.2</w:t>
      </w:r>
      <w:r w:rsidRPr="00560206">
        <w:tab/>
        <w:t xml:space="preserve">The actual cost of the Highway </w:t>
      </w:r>
      <w:r w:rsidRPr="007C5385">
        <w:t>System Deliverability U</w:t>
      </w:r>
      <w:r w:rsidRPr="00560206">
        <w:t xml:space="preserve">pgrade </w:t>
      </w:r>
      <w:r w:rsidRPr="00B11548">
        <w:t>project</w:t>
      </w:r>
      <w:r w:rsidRPr="007C5385">
        <w:rPr>
          <w:strike/>
        </w:rPr>
        <w:t xml:space="preserve"> </w:t>
      </w:r>
      <w:r w:rsidRPr="00560206">
        <w:t xml:space="preserve">above that paid for by Developers will be funded by Load Serving Entities, </w:t>
      </w:r>
      <w:r w:rsidRPr="007C5385">
        <w:t>using the rate mechanism contained in Schedule 12 of the NYISO OATT.  Load Serving Entit</w:t>
      </w:r>
      <w:r w:rsidRPr="007C5385">
        <w:t xml:space="preserve">y funding responsibility for the Highway System Deliverability Upgrade will be allocated among Load Serving Entities </w:t>
      </w:r>
      <w:r w:rsidRPr="00560206">
        <w:t xml:space="preserve">based on their proportionate share of the ICAP requirement in the statewide capacity market, </w:t>
      </w:r>
      <w:r w:rsidRPr="007C5385">
        <w:t xml:space="preserve">adjusted to subtract their </w:t>
      </w:r>
      <w:r w:rsidRPr="00560206">
        <w:t>locational capacity</w:t>
      </w:r>
      <w:r w:rsidRPr="00560206">
        <w:t xml:space="preserve"> requirements.  Provided, however, Load Serving Entities will not be responsible for actual costs in excess of their share of the final Class Year estimated cost of the H</w:t>
      </w:r>
      <w:r w:rsidRPr="00B11548">
        <w:t>ighway System Deliverability Upgrade if the excess results from causes, as described i</w:t>
      </w:r>
      <w:r w:rsidRPr="00B11548">
        <w:t xml:space="preserve">n Section </w:t>
      </w:r>
      <w:r w:rsidRPr="00B11548">
        <w:t>25.8.6.4</w:t>
      </w:r>
      <w:r w:rsidRPr="00B11548">
        <w:t xml:space="preserve"> of this Attachment S, within the control of a Transmission Owner(s) responsible for constructing the Highway System Deliverability Upgra</w:t>
      </w:r>
      <w:r w:rsidRPr="00560206">
        <w:t>de; or</w:t>
      </w:r>
    </w:p>
    <w:p w:rsidR="00B051CE" w:rsidRPr="00560206" w:rsidRDefault="00F110B3" w:rsidP="0089050C">
      <w:pPr>
        <w:pStyle w:val="alphapara"/>
      </w:pPr>
      <w:r>
        <w:t>25.</w:t>
      </w:r>
      <w:r w:rsidRPr="00677507">
        <w:t>7.12</w:t>
      </w:r>
      <w:r>
        <w:t>.3.3</w:t>
      </w:r>
      <w:r w:rsidRPr="00560206">
        <w:tab/>
        <w:t xml:space="preserve">If the NYISO Comprehensive Reliability Planning Process (“CRPP”) identifies a </w:t>
      </w:r>
      <w:r w:rsidRPr="00560206">
        <w:t>Reliability Need requiring a Highway facility to be constructed earlier than would be the case pursuant to Secti</w:t>
      </w:r>
      <w:r w:rsidRPr="00EF4730">
        <w:t xml:space="preserve">on </w:t>
      </w:r>
      <w:r w:rsidRPr="00EF4730">
        <w:t>25.7.12.3.1</w:t>
      </w:r>
      <w:r w:rsidRPr="00EF4730">
        <w:t xml:space="preserve">, the facility will be constructed as determined in the CRPP.  Funds collected from Developers (pursuant to Section </w:t>
      </w:r>
      <w:r w:rsidRPr="00EF4730">
        <w:t>25.7.12.2</w:t>
      </w:r>
      <w:r w:rsidRPr="00EF4730">
        <w:t>, abo</w:t>
      </w:r>
      <w:r w:rsidRPr="00EF4730">
        <w:t>ve) wil</w:t>
      </w:r>
      <w:r w:rsidRPr="00560206">
        <w:t>l be used to cover a portion of the regulated</w:t>
      </w:r>
      <w:r w:rsidRPr="0018423A">
        <w:t xml:space="preserve"> </w:t>
      </w:r>
      <w:r w:rsidRPr="00560206">
        <w:t>solution costs to the extent that the funds collected from Developers were collected for System Deliverability Upgrades that are actually constructed by the regulated solution.  To the extent this is tru</w:t>
      </w:r>
      <w:r w:rsidRPr="00560206">
        <w:t xml:space="preserve">e, these funds will be used as an offset to the total reliability solution upgrade cost, with the remainder of the upgrade cost to be allocated per the requirements of the CRPP, as set forth in Sections </w:t>
      </w:r>
      <w:r>
        <w:t>31.4.1</w:t>
      </w:r>
      <w:r w:rsidRPr="00560206">
        <w:t xml:space="preserve">, </w:t>
      </w:r>
      <w:r>
        <w:t>31.4.2</w:t>
      </w:r>
      <w:r w:rsidRPr="00560206">
        <w:t xml:space="preserve"> </w:t>
      </w:r>
      <w:r w:rsidRPr="00560206">
        <w:t xml:space="preserve">and </w:t>
      </w:r>
      <w:r>
        <w:t>31.4.4</w:t>
      </w:r>
      <w:r w:rsidRPr="00560206">
        <w:t xml:space="preserve"> </w:t>
      </w:r>
      <w:r w:rsidRPr="00560206">
        <w:t>of Attachment Y to the NYIS</w:t>
      </w:r>
      <w:r w:rsidRPr="00560206">
        <w:t>O OATT.</w:t>
      </w:r>
    </w:p>
    <w:p w:rsidR="00B051CE" w:rsidRPr="00560206" w:rsidRDefault="00F110B3" w:rsidP="0089050C">
      <w:pPr>
        <w:pStyle w:val="Numberpara"/>
      </w:pPr>
      <w:r>
        <w:t>25.</w:t>
      </w:r>
      <w:r w:rsidRPr="00677507">
        <w:t>7.12</w:t>
      </w:r>
      <w:r>
        <w:t>.4</w:t>
      </w:r>
      <w:r w:rsidRPr="00560206">
        <w:tab/>
        <w:t>If a Developer has accepted its Project Cost Allocation, before construction of an identified System Deliverability Upgrade for a Highway is commenced, if a Developer elects to be retested for deliverability it may request to be placed in</w:t>
      </w:r>
      <w:r w:rsidRPr="00560206">
        <w:t xml:space="preserve"> the then </w:t>
      </w:r>
      <w:ins w:id="166" w:author="Author" w:date="2012-09-12T10:11:00Z">
        <w:r>
          <w:t>O</w:t>
        </w:r>
      </w:ins>
      <w:del w:id="167" w:author="Author" w:date="2012-09-12T10:11:00Z">
        <w:r w:rsidRPr="00560206">
          <w:delText>o</w:delText>
        </w:r>
      </w:del>
      <w:r w:rsidRPr="00560206">
        <w:t xml:space="preserve">pen Class Year.  The Developer’s cost responsibility for System Deliverability Upgrades shall not increase as a result of such retesting.  It may decrease or be eliminated.  If the Developer’s </w:t>
      </w:r>
      <w:del w:id="168" w:author="Author" w:date="2012-09-12T10:11:00Z">
        <w:r w:rsidRPr="00560206">
          <w:delText>Large F</w:delText>
        </w:r>
      </w:del>
      <w:ins w:id="169" w:author="Author" w:date="2012-09-12T10:11:00Z">
        <w:r>
          <w:t>f</w:t>
        </w:r>
      </w:ins>
      <w:r w:rsidRPr="00560206">
        <w:t xml:space="preserve">acility is found to be deliverable without </w:t>
      </w:r>
      <w:r w:rsidRPr="00560206">
        <w:t>the System Deliverability Upgrades previously identified, the Developer’s Security posting will be terminated, or the Developer’s cash payment will be returned with the interest earned.</w:t>
      </w:r>
    </w:p>
    <w:p w:rsidR="00B051CE" w:rsidRPr="00B11548" w:rsidRDefault="00F110B3" w:rsidP="0089050C">
      <w:pPr>
        <w:pStyle w:val="Numberpara"/>
      </w:pPr>
      <w:r>
        <w:t>25.</w:t>
      </w:r>
      <w:r w:rsidRPr="00677507">
        <w:t>7.12</w:t>
      </w:r>
      <w:r>
        <w:t>.5</w:t>
      </w:r>
      <w:r w:rsidRPr="00560206">
        <w:tab/>
        <w:t xml:space="preserve">When </w:t>
      </w:r>
      <w:r w:rsidRPr="00B11548">
        <w:t>the Highway System Deliverability Upgrades are built, a</w:t>
      </w:r>
      <w:r w:rsidRPr="00B11548">
        <w:t>ny resulting Incremental TCCs will be distributed to the Developers in proportion to their funding of the Highway System Deliverability Upgrade.</w:t>
      </w:r>
    </w:p>
    <w:p w:rsidR="00B051CE" w:rsidRPr="00B11548" w:rsidRDefault="00F110B3" w:rsidP="00EF357E">
      <w:pPr>
        <w:pStyle w:val="alphapara"/>
      </w:pPr>
      <w:r w:rsidRPr="00B11548">
        <w:t>25.7.12.5.1</w:t>
      </w:r>
      <w:r w:rsidRPr="00B11548">
        <w:tab/>
        <w:t>Incremental TCCs attributable to Load Serving Entity funding will be sold by the NYISO, and the NYI</w:t>
      </w:r>
      <w:r w:rsidRPr="00B11548">
        <w:t xml:space="preserve">SO will credit the Load Serving Entities in proportion to their funding of the Highway System Deliverability Upgrade, in accordance with Section </w:t>
      </w:r>
      <w:r w:rsidRPr="00B11548">
        <w:t>6.12.</w:t>
      </w:r>
      <w:r w:rsidRPr="00B11548">
        <w:t>3.4 of Schedule 12 of the NYISO OATT.</w:t>
      </w:r>
    </w:p>
    <w:p w:rsidR="00B051CE" w:rsidRPr="008809AD" w:rsidRDefault="00F110B3" w:rsidP="00EF357E">
      <w:pPr>
        <w:pStyle w:val="Numberpara"/>
        <w:rPr>
          <w:color w:val="000000"/>
          <w:u w:val="double"/>
        </w:rPr>
      </w:pPr>
      <w:r w:rsidRPr="00B11548">
        <w:t>25.7.12.6</w:t>
      </w:r>
      <w:r w:rsidRPr="00B11548">
        <w:rPr>
          <w:color w:val="000000"/>
        </w:rPr>
        <w:tab/>
        <w:t>As new gener</w:t>
      </w:r>
      <w:r w:rsidRPr="00B11548">
        <w:rPr>
          <w:rStyle w:val="NumberparaChar"/>
        </w:rPr>
        <w:t>a</w:t>
      </w:r>
      <w:r w:rsidRPr="00B11548">
        <w:rPr>
          <w:color w:val="000000"/>
        </w:rPr>
        <w:t>tors and merchant transmission facilities com</w:t>
      </w:r>
      <w:r w:rsidRPr="00B11548">
        <w:rPr>
          <w:color w:val="000000"/>
        </w:rPr>
        <w:t xml:space="preserve">e on line and use the </w:t>
      </w:r>
      <w:r w:rsidRPr="00B11548">
        <w:t>Headroom</w:t>
      </w:r>
      <w:r w:rsidRPr="00B11548">
        <w:rPr>
          <w:color w:val="000000"/>
        </w:rPr>
        <w:t xml:space="preserve"> on System Deliverability Upgrades created by a prior Highway System Deliverability Upgrade, the Developers of those new facilities will reimburse the prior Developers or will compensate the L</w:t>
      </w:r>
      <w:r w:rsidRPr="00560206">
        <w:rPr>
          <w:color w:val="000000"/>
        </w:rPr>
        <w:t>oad Serving Entities who funded th</w:t>
      </w:r>
      <w:r w:rsidRPr="00560206">
        <w:rPr>
          <w:color w:val="000000"/>
        </w:rPr>
        <w:t xml:space="preserve">e System Deliverability Upgrades for use of the Headroom created by the prior Developers and Load Saving Entities in accordance with Sections </w:t>
      </w:r>
      <w:r>
        <w:rPr>
          <w:color w:val="000000"/>
        </w:rPr>
        <w:t>25.8.7</w:t>
      </w:r>
      <w:r w:rsidRPr="00560206">
        <w:rPr>
          <w:color w:val="000000"/>
        </w:rPr>
        <w:t xml:space="preserve"> and </w:t>
      </w:r>
      <w:r>
        <w:rPr>
          <w:color w:val="000000"/>
        </w:rPr>
        <w:t>25.8.8</w:t>
      </w:r>
      <w:r w:rsidRPr="00560206">
        <w:rPr>
          <w:color w:val="000000"/>
        </w:rPr>
        <w:t xml:space="preserve"> of these rules.  </w:t>
      </w:r>
    </w:p>
    <w:p w:rsidR="00B051CE" w:rsidRPr="00B11548" w:rsidRDefault="00F110B3" w:rsidP="00EF357E">
      <w:pPr>
        <w:pStyle w:val="alphapara"/>
        <w:rPr>
          <w:color w:val="000000"/>
        </w:rPr>
      </w:pPr>
      <w:r>
        <w:t>25.</w:t>
      </w:r>
      <w:r w:rsidRPr="00677507">
        <w:t>7.12</w:t>
      </w:r>
      <w:r>
        <w:t>.6.1</w:t>
      </w:r>
      <w:r w:rsidRPr="00560206">
        <w:rPr>
          <w:color w:val="000000"/>
        </w:rPr>
        <w:tab/>
      </w:r>
      <w:r w:rsidRPr="00EF357E">
        <w:t>As</w:t>
      </w:r>
      <w:r w:rsidRPr="00560206">
        <w:rPr>
          <w:color w:val="000000"/>
        </w:rPr>
        <w:t xml:space="preserve"> new Developers make Headroom payment</w:t>
      </w:r>
      <w:r w:rsidRPr="00B11548">
        <w:rPr>
          <w:color w:val="000000"/>
        </w:rPr>
        <w:t xml:space="preserve">s to prior Developers, the </w:t>
      </w:r>
      <w:r w:rsidRPr="00B11548">
        <w:rPr>
          <w:color w:val="000000"/>
        </w:rPr>
        <w:t>related Incremental TCCs previously distributed to the prior Developers w</w:t>
      </w:r>
      <w:r w:rsidRPr="00560206">
        <w:rPr>
          <w:color w:val="000000"/>
        </w:rPr>
        <w:t xml:space="preserve">ill be transferred </w:t>
      </w:r>
      <w:r w:rsidRPr="00B11548">
        <w:rPr>
          <w:color w:val="000000"/>
        </w:rPr>
        <w:t>to the new Developers in proportion to the Headroom use and payments made by the new Developers.</w:t>
      </w:r>
    </w:p>
    <w:p w:rsidR="00B051CE" w:rsidRPr="00EF357E" w:rsidRDefault="00F110B3" w:rsidP="00EF357E">
      <w:pPr>
        <w:pStyle w:val="alphapara"/>
        <w:rPr>
          <w:color w:val="000000"/>
          <w:u w:val="double"/>
        </w:rPr>
      </w:pPr>
      <w:r w:rsidRPr="00B11548">
        <w:t>25.7.12.6.2</w:t>
      </w:r>
      <w:r w:rsidRPr="00B11548">
        <w:rPr>
          <w:color w:val="000000"/>
        </w:rPr>
        <w:tab/>
        <w:t>As new Developers com</w:t>
      </w:r>
      <w:r w:rsidRPr="00EF357E">
        <w:rPr>
          <w:color w:val="000000"/>
        </w:rPr>
        <w:t xml:space="preserve">pensate Load Serving Entities for </w:t>
      </w:r>
      <w:r w:rsidRPr="00EF357E">
        <w:rPr>
          <w:color w:val="000000"/>
        </w:rPr>
        <w:t>use of their Headroom, the NYISO will continue to sell the Incremental TCCs attributable to Highway System Deliverability Upgrades and Headroom funded by Load Serving Entities, and the NYISO will apportion the revenues among new Developers and Load Serving</w:t>
      </w:r>
      <w:r w:rsidRPr="00EF357E">
        <w:rPr>
          <w:color w:val="000000"/>
        </w:rPr>
        <w:t xml:space="preserve"> Entities in accordance with Section </w:t>
      </w:r>
      <w:r>
        <w:rPr>
          <w:color w:val="000000"/>
        </w:rPr>
        <w:t>6.12.</w:t>
      </w:r>
      <w:r w:rsidRPr="00EF357E">
        <w:rPr>
          <w:color w:val="000000"/>
        </w:rPr>
        <w:t>4.2 of Schedule 12 of the NYISO OATT.  The apportionment of these revenues to new Developers will continue beyond the eligibility of Load Serving Entities for such payments.</w:t>
      </w:r>
    </w:p>
    <w:p w:rsidR="00042F46" w:rsidRDefault="00F110B3" w:rsidP="0097513E">
      <w:pPr>
        <w:pStyle w:val="Numberpara"/>
      </w:pPr>
      <w:r>
        <w:t>25.</w:t>
      </w:r>
      <w:r w:rsidRPr="00677507">
        <w:t>7.12</w:t>
      </w:r>
      <w:r>
        <w:t>.7</w:t>
      </w:r>
      <w:r w:rsidRPr="000C4EC8">
        <w:tab/>
        <w:t>The Transmission Owner respons</w:t>
      </w:r>
      <w:r w:rsidRPr="000C4EC8">
        <w:t>ible for constructing a System Deliverability Upgrade or a Developer contributing toward the cost of a System Deliverability Upgrade can elect to construct upgrades that are larger and/or more expensive than the System Deliverability Upgrades identified to</w:t>
      </w:r>
      <w:r w:rsidRPr="000C4EC8">
        <w:t xml:space="preserve"> support the requested level of CRIS for the </w:t>
      </w:r>
      <w:del w:id="170" w:author="Author" w:date="2012-09-12T10:14:00Z">
        <w:r w:rsidRPr="000C4EC8">
          <w:delText>Developer’s p</w:delText>
        </w:r>
      </w:del>
      <w:ins w:id="171" w:author="Author" w:date="2012-09-12T10:14:00Z">
        <w:r>
          <w:t>Class Year P</w:t>
        </w:r>
      </w:ins>
      <w:r w:rsidRPr="000C4EC8">
        <w:t xml:space="preserve">roject in the Class Year Deliverability Study, provided that those upgrades are reasonably related to the </w:t>
      </w:r>
      <w:del w:id="172" w:author="Author" w:date="2012-09-12T10:14:00Z">
        <w:r w:rsidRPr="000C4EC8">
          <w:delText>Developer’s p</w:delText>
        </w:r>
      </w:del>
      <w:ins w:id="173" w:author="Author" w:date="2012-09-12T10:14:00Z">
        <w:r>
          <w:t>Class Year P</w:t>
        </w:r>
      </w:ins>
      <w:r w:rsidRPr="000C4EC8">
        <w:t>roject.  The party electing to construct the larger upg</w:t>
      </w:r>
      <w:r w:rsidRPr="000C4EC8">
        <w:t xml:space="preserve">rade will pay for the incremental cost of the upgrade; </w:t>
      </w:r>
      <w:r w:rsidRPr="00E90B91">
        <w:rPr>
          <w:i/>
        </w:rPr>
        <w:t>i.e</w:t>
      </w:r>
      <w:r w:rsidRPr="000C4EC8">
        <w:t>., the difference in cost between the cost of the System Deliverability Upgrades as determined by these rules, and the cost of the larger and/or more expensive upgrade.</w:t>
      </w:r>
    </w:p>
    <w:sectPr w:rsidR="00042F46" w:rsidSect="003456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D2" w:rsidRDefault="003456D2" w:rsidP="003456D2">
      <w:r>
        <w:separator/>
      </w:r>
    </w:p>
  </w:endnote>
  <w:endnote w:type="continuationSeparator" w:id="0">
    <w:p w:rsidR="003456D2" w:rsidRDefault="003456D2" w:rsidP="0034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2" w:rsidRDefault="00F110B3">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3456D2">
      <w:rPr>
        <w:rFonts w:ascii="Arial" w:eastAsia="Arial" w:hAnsi="Arial" w:cs="Arial"/>
        <w:color w:val="000000"/>
        <w:sz w:val="16"/>
      </w:rPr>
      <w:fldChar w:fldCharType="begin"/>
    </w:r>
    <w:r>
      <w:rPr>
        <w:rFonts w:ascii="Arial" w:eastAsia="Arial" w:hAnsi="Arial" w:cs="Arial"/>
        <w:color w:val="000000"/>
        <w:sz w:val="16"/>
      </w:rPr>
      <w:instrText>PAGE</w:instrText>
    </w:r>
    <w:r w:rsidR="003456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2" w:rsidRDefault="00F110B3">
    <w:pPr>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588-000 - Page </w:t>
    </w:r>
    <w:r w:rsidR="003456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56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2" w:rsidRDefault="00F110B3">
    <w:pPr>
      <w:jc w:val="right"/>
      <w:rPr>
        <w:rFonts w:ascii="Arial" w:eastAsia="Arial" w:hAnsi="Arial" w:cs="Arial"/>
        <w:color w:val="000000"/>
        <w:sz w:val="16"/>
      </w:rPr>
    </w:pPr>
    <w:r>
      <w:rPr>
        <w:rFonts w:ascii="Arial" w:eastAsia="Arial" w:hAnsi="Arial" w:cs="Arial"/>
        <w:color w:val="000000"/>
        <w:sz w:val="16"/>
      </w:rPr>
      <w:t>Effective Date: 2/18/2013 - Docket #: ER13-588-000 - Pag</w:t>
    </w:r>
    <w:r>
      <w:rPr>
        <w:rFonts w:ascii="Arial" w:eastAsia="Arial" w:hAnsi="Arial" w:cs="Arial"/>
        <w:color w:val="000000"/>
        <w:sz w:val="16"/>
      </w:rPr>
      <w:t xml:space="preserve">e </w:t>
    </w:r>
    <w:r w:rsidR="003456D2">
      <w:rPr>
        <w:rFonts w:ascii="Arial" w:eastAsia="Arial" w:hAnsi="Arial" w:cs="Arial"/>
        <w:color w:val="000000"/>
        <w:sz w:val="16"/>
      </w:rPr>
      <w:fldChar w:fldCharType="begin"/>
    </w:r>
    <w:r>
      <w:rPr>
        <w:rFonts w:ascii="Arial" w:eastAsia="Arial" w:hAnsi="Arial" w:cs="Arial"/>
        <w:color w:val="000000"/>
        <w:sz w:val="16"/>
      </w:rPr>
      <w:instrText>PAGE</w:instrText>
    </w:r>
    <w:r w:rsidR="003456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D2" w:rsidRDefault="003456D2" w:rsidP="003456D2">
      <w:r>
        <w:separator/>
      </w:r>
    </w:p>
  </w:footnote>
  <w:footnote w:type="continuationSeparator" w:id="0">
    <w:p w:rsidR="003456D2" w:rsidRDefault="003456D2" w:rsidP="0034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2" w:rsidRDefault="00F110B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2" w:rsidRDefault="00F110B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D2" w:rsidRDefault="00F110B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A24582C">
      <w:start w:val="1"/>
      <w:numFmt w:val="bullet"/>
      <w:pStyle w:val="Bulletpara"/>
      <w:lvlText w:val=""/>
      <w:lvlJc w:val="left"/>
      <w:pPr>
        <w:tabs>
          <w:tab w:val="num" w:pos="720"/>
        </w:tabs>
        <w:ind w:left="720" w:hanging="360"/>
      </w:pPr>
      <w:rPr>
        <w:rFonts w:ascii="Symbol" w:hAnsi="Symbol" w:hint="default"/>
      </w:rPr>
    </w:lvl>
    <w:lvl w:ilvl="1" w:tplc="2CB8F5C6" w:tentative="1">
      <w:start w:val="1"/>
      <w:numFmt w:val="bullet"/>
      <w:lvlText w:val="o"/>
      <w:lvlJc w:val="left"/>
      <w:pPr>
        <w:tabs>
          <w:tab w:val="num" w:pos="1440"/>
        </w:tabs>
        <w:ind w:left="1440" w:hanging="360"/>
      </w:pPr>
      <w:rPr>
        <w:rFonts w:ascii="Courier New" w:hAnsi="Courier New" w:hint="default"/>
      </w:rPr>
    </w:lvl>
    <w:lvl w:ilvl="2" w:tplc="686EBE6E" w:tentative="1">
      <w:start w:val="1"/>
      <w:numFmt w:val="bullet"/>
      <w:lvlText w:val=""/>
      <w:lvlJc w:val="left"/>
      <w:pPr>
        <w:tabs>
          <w:tab w:val="num" w:pos="2160"/>
        </w:tabs>
        <w:ind w:left="2160" w:hanging="360"/>
      </w:pPr>
      <w:rPr>
        <w:rFonts w:ascii="Wingdings" w:hAnsi="Wingdings" w:hint="default"/>
      </w:rPr>
    </w:lvl>
    <w:lvl w:ilvl="3" w:tplc="0AE8A14E" w:tentative="1">
      <w:start w:val="1"/>
      <w:numFmt w:val="bullet"/>
      <w:lvlText w:val=""/>
      <w:lvlJc w:val="left"/>
      <w:pPr>
        <w:tabs>
          <w:tab w:val="num" w:pos="2880"/>
        </w:tabs>
        <w:ind w:left="2880" w:hanging="360"/>
      </w:pPr>
      <w:rPr>
        <w:rFonts w:ascii="Symbol" w:hAnsi="Symbol" w:hint="default"/>
      </w:rPr>
    </w:lvl>
    <w:lvl w:ilvl="4" w:tplc="BD669850" w:tentative="1">
      <w:start w:val="1"/>
      <w:numFmt w:val="bullet"/>
      <w:lvlText w:val="o"/>
      <w:lvlJc w:val="left"/>
      <w:pPr>
        <w:tabs>
          <w:tab w:val="num" w:pos="3600"/>
        </w:tabs>
        <w:ind w:left="3600" w:hanging="360"/>
      </w:pPr>
      <w:rPr>
        <w:rFonts w:ascii="Courier New" w:hAnsi="Courier New" w:hint="default"/>
      </w:rPr>
    </w:lvl>
    <w:lvl w:ilvl="5" w:tplc="C1C07AC2" w:tentative="1">
      <w:start w:val="1"/>
      <w:numFmt w:val="bullet"/>
      <w:lvlText w:val=""/>
      <w:lvlJc w:val="left"/>
      <w:pPr>
        <w:tabs>
          <w:tab w:val="num" w:pos="4320"/>
        </w:tabs>
        <w:ind w:left="4320" w:hanging="360"/>
      </w:pPr>
      <w:rPr>
        <w:rFonts w:ascii="Wingdings" w:hAnsi="Wingdings" w:hint="default"/>
      </w:rPr>
    </w:lvl>
    <w:lvl w:ilvl="6" w:tplc="DA302072" w:tentative="1">
      <w:start w:val="1"/>
      <w:numFmt w:val="bullet"/>
      <w:lvlText w:val=""/>
      <w:lvlJc w:val="left"/>
      <w:pPr>
        <w:tabs>
          <w:tab w:val="num" w:pos="5040"/>
        </w:tabs>
        <w:ind w:left="5040" w:hanging="360"/>
      </w:pPr>
      <w:rPr>
        <w:rFonts w:ascii="Symbol" w:hAnsi="Symbol" w:hint="default"/>
      </w:rPr>
    </w:lvl>
    <w:lvl w:ilvl="7" w:tplc="307EDA4A" w:tentative="1">
      <w:start w:val="1"/>
      <w:numFmt w:val="bullet"/>
      <w:lvlText w:val="o"/>
      <w:lvlJc w:val="left"/>
      <w:pPr>
        <w:tabs>
          <w:tab w:val="num" w:pos="5760"/>
        </w:tabs>
        <w:ind w:left="5760" w:hanging="360"/>
      </w:pPr>
      <w:rPr>
        <w:rFonts w:ascii="Courier New" w:hAnsi="Courier New" w:hint="default"/>
      </w:rPr>
    </w:lvl>
    <w:lvl w:ilvl="8" w:tplc="C792B50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C38AFDC2">
      <w:start w:val="1"/>
      <w:numFmt w:val="lowerRoman"/>
      <w:lvlText w:val="(%1)"/>
      <w:lvlJc w:val="left"/>
      <w:pPr>
        <w:tabs>
          <w:tab w:val="num" w:pos="2448"/>
        </w:tabs>
        <w:ind w:left="2448" w:hanging="648"/>
      </w:pPr>
      <w:rPr>
        <w:rFonts w:cs="Times New Roman" w:hint="default"/>
        <w:b w:val="0"/>
        <w:i w:val="0"/>
        <w:u w:val="none"/>
      </w:rPr>
    </w:lvl>
    <w:lvl w:ilvl="1" w:tplc="8B7C7958" w:tentative="1">
      <w:start w:val="1"/>
      <w:numFmt w:val="lowerLetter"/>
      <w:lvlText w:val="%2."/>
      <w:lvlJc w:val="left"/>
      <w:pPr>
        <w:tabs>
          <w:tab w:val="num" w:pos="1440"/>
        </w:tabs>
        <w:ind w:left="1440" w:hanging="360"/>
      </w:pPr>
      <w:rPr>
        <w:rFonts w:cs="Times New Roman"/>
      </w:rPr>
    </w:lvl>
    <w:lvl w:ilvl="2" w:tplc="983CB88C" w:tentative="1">
      <w:start w:val="1"/>
      <w:numFmt w:val="lowerRoman"/>
      <w:lvlText w:val="%3."/>
      <w:lvlJc w:val="right"/>
      <w:pPr>
        <w:tabs>
          <w:tab w:val="num" w:pos="2160"/>
        </w:tabs>
        <w:ind w:left="2160" w:hanging="180"/>
      </w:pPr>
      <w:rPr>
        <w:rFonts w:cs="Times New Roman"/>
      </w:rPr>
    </w:lvl>
    <w:lvl w:ilvl="3" w:tplc="64BABADE" w:tentative="1">
      <w:start w:val="1"/>
      <w:numFmt w:val="decimal"/>
      <w:lvlText w:val="%4."/>
      <w:lvlJc w:val="left"/>
      <w:pPr>
        <w:tabs>
          <w:tab w:val="num" w:pos="2880"/>
        </w:tabs>
        <w:ind w:left="2880" w:hanging="360"/>
      </w:pPr>
      <w:rPr>
        <w:rFonts w:cs="Times New Roman"/>
      </w:rPr>
    </w:lvl>
    <w:lvl w:ilvl="4" w:tplc="62B29C3A" w:tentative="1">
      <w:start w:val="1"/>
      <w:numFmt w:val="lowerLetter"/>
      <w:lvlText w:val="%5."/>
      <w:lvlJc w:val="left"/>
      <w:pPr>
        <w:tabs>
          <w:tab w:val="num" w:pos="3600"/>
        </w:tabs>
        <w:ind w:left="3600" w:hanging="360"/>
      </w:pPr>
      <w:rPr>
        <w:rFonts w:cs="Times New Roman"/>
      </w:rPr>
    </w:lvl>
    <w:lvl w:ilvl="5" w:tplc="D4CE7CEA" w:tentative="1">
      <w:start w:val="1"/>
      <w:numFmt w:val="lowerRoman"/>
      <w:lvlText w:val="%6."/>
      <w:lvlJc w:val="right"/>
      <w:pPr>
        <w:tabs>
          <w:tab w:val="num" w:pos="4320"/>
        </w:tabs>
        <w:ind w:left="4320" w:hanging="180"/>
      </w:pPr>
      <w:rPr>
        <w:rFonts w:cs="Times New Roman"/>
      </w:rPr>
    </w:lvl>
    <w:lvl w:ilvl="6" w:tplc="85220CCE" w:tentative="1">
      <w:start w:val="1"/>
      <w:numFmt w:val="decimal"/>
      <w:lvlText w:val="%7."/>
      <w:lvlJc w:val="left"/>
      <w:pPr>
        <w:tabs>
          <w:tab w:val="num" w:pos="5040"/>
        </w:tabs>
        <w:ind w:left="5040" w:hanging="360"/>
      </w:pPr>
      <w:rPr>
        <w:rFonts w:cs="Times New Roman"/>
      </w:rPr>
    </w:lvl>
    <w:lvl w:ilvl="7" w:tplc="A8EE2986" w:tentative="1">
      <w:start w:val="1"/>
      <w:numFmt w:val="lowerLetter"/>
      <w:lvlText w:val="%8."/>
      <w:lvlJc w:val="left"/>
      <w:pPr>
        <w:tabs>
          <w:tab w:val="num" w:pos="5760"/>
        </w:tabs>
        <w:ind w:left="5760" w:hanging="360"/>
      </w:pPr>
      <w:rPr>
        <w:rFonts w:cs="Times New Roman"/>
      </w:rPr>
    </w:lvl>
    <w:lvl w:ilvl="8" w:tplc="6E8A046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FCA7A7A">
      <w:start w:val="1"/>
      <w:numFmt w:val="decimal"/>
      <w:lvlText w:val="%1."/>
      <w:lvlJc w:val="left"/>
      <w:pPr>
        <w:tabs>
          <w:tab w:val="num" w:pos="720"/>
        </w:tabs>
        <w:ind w:left="720" w:hanging="360"/>
      </w:pPr>
      <w:rPr>
        <w:rFonts w:cs="Times New Roman"/>
      </w:rPr>
    </w:lvl>
    <w:lvl w:ilvl="1" w:tplc="2A0219B2" w:tentative="1">
      <w:start w:val="1"/>
      <w:numFmt w:val="lowerLetter"/>
      <w:lvlText w:val="%2."/>
      <w:lvlJc w:val="left"/>
      <w:pPr>
        <w:tabs>
          <w:tab w:val="num" w:pos="1440"/>
        </w:tabs>
        <w:ind w:left="1440" w:hanging="360"/>
      </w:pPr>
      <w:rPr>
        <w:rFonts w:cs="Times New Roman"/>
      </w:rPr>
    </w:lvl>
    <w:lvl w:ilvl="2" w:tplc="4B6A90AE" w:tentative="1">
      <w:start w:val="1"/>
      <w:numFmt w:val="lowerRoman"/>
      <w:lvlText w:val="%3."/>
      <w:lvlJc w:val="right"/>
      <w:pPr>
        <w:tabs>
          <w:tab w:val="num" w:pos="2160"/>
        </w:tabs>
        <w:ind w:left="2160" w:hanging="180"/>
      </w:pPr>
      <w:rPr>
        <w:rFonts w:cs="Times New Roman"/>
      </w:rPr>
    </w:lvl>
    <w:lvl w:ilvl="3" w:tplc="F710BF18" w:tentative="1">
      <w:start w:val="1"/>
      <w:numFmt w:val="decimal"/>
      <w:lvlText w:val="%4."/>
      <w:lvlJc w:val="left"/>
      <w:pPr>
        <w:tabs>
          <w:tab w:val="num" w:pos="2880"/>
        </w:tabs>
        <w:ind w:left="2880" w:hanging="360"/>
      </w:pPr>
      <w:rPr>
        <w:rFonts w:cs="Times New Roman"/>
      </w:rPr>
    </w:lvl>
    <w:lvl w:ilvl="4" w:tplc="8DE89E52" w:tentative="1">
      <w:start w:val="1"/>
      <w:numFmt w:val="lowerLetter"/>
      <w:lvlText w:val="%5."/>
      <w:lvlJc w:val="left"/>
      <w:pPr>
        <w:tabs>
          <w:tab w:val="num" w:pos="3600"/>
        </w:tabs>
        <w:ind w:left="3600" w:hanging="360"/>
      </w:pPr>
      <w:rPr>
        <w:rFonts w:cs="Times New Roman"/>
      </w:rPr>
    </w:lvl>
    <w:lvl w:ilvl="5" w:tplc="515231B8" w:tentative="1">
      <w:start w:val="1"/>
      <w:numFmt w:val="lowerRoman"/>
      <w:lvlText w:val="%6."/>
      <w:lvlJc w:val="right"/>
      <w:pPr>
        <w:tabs>
          <w:tab w:val="num" w:pos="4320"/>
        </w:tabs>
        <w:ind w:left="4320" w:hanging="180"/>
      </w:pPr>
      <w:rPr>
        <w:rFonts w:cs="Times New Roman"/>
      </w:rPr>
    </w:lvl>
    <w:lvl w:ilvl="6" w:tplc="EE62CD34" w:tentative="1">
      <w:start w:val="1"/>
      <w:numFmt w:val="decimal"/>
      <w:lvlText w:val="%7."/>
      <w:lvlJc w:val="left"/>
      <w:pPr>
        <w:tabs>
          <w:tab w:val="num" w:pos="5040"/>
        </w:tabs>
        <w:ind w:left="5040" w:hanging="360"/>
      </w:pPr>
      <w:rPr>
        <w:rFonts w:cs="Times New Roman"/>
      </w:rPr>
    </w:lvl>
    <w:lvl w:ilvl="7" w:tplc="03820C38" w:tentative="1">
      <w:start w:val="1"/>
      <w:numFmt w:val="lowerLetter"/>
      <w:lvlText w:val="%8."/>
      <w:lvlJc w:val="left"/>
      <w:pPr>
        <w:tabs>
          <w:tab w:val="num" w:pos="5760"/>
        </w:tabs>
        <w:ind w:left="5760" w:hanging="360"/>
      </w:pPr>
      <w:rPr>
        <w:rFonts w:cs="Times New Roman"/>
      </w:rPr>
    </w:lvl>
    <w:lvl w:ilvl="8" w:tplc="25B4DBF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B41E9068">
      <w:start w:val="6"/>
      <w:numFmt w:val="lowerLetter"/>
      <w:lvlText w:val="%1."/>
      <w:lvlJc w:val="left"/>
      <w:pPr>
        <w:tabs>
          <w:tab w:val="num" w:pos="2520"/>
        </w:tabs>
        <w:ind w:left="2520" w:hanging="360"/>
      </w:pPr>
      <w:rPr>
        <w:rFonts w:hint="default"/>
      </w:rPr>
    </w:lvl>
    <w:lvl w:ilvl="1" w:tplc="86E202E8" w:tentative="1">
      <w:start w:val="1"/>
      <w:numFmt w:val="lowerLetter"/>
      <w:lvlText w:val="%2."/>
      <w:lvlJc w:val="left"/>
      <w:pPr>
        <w:tabs>
          <w:tab w:val="num" w:pos="3240"/>
        </w:tabs>
        <w:ind w:left="3240" w:hanging="360"/>
      </w:pPr>
    </w:lvl>
    <w:lvl w:ilvl="2" w:tplc="CB6EB630" w:tentative="1">
      <w:start w:val="1"/>
      <w:numFmt w:val="lowerRoman"/>
      <w:lvlText w:val="%3."/>
      <w:lvlJc w:val="right"/>
      <w:pPr>
        <w:tabs>
          <w:tab w:val="num" w:pos="3960"/>
        </w:tabs>
        <w:ind w:left="3960" w:hanging="180"/>
      </w:pPr>
    </w:lvl>
    <w:lvl w:ilvl="3" w:tplc="F85801E6" w:tentative="1">
      <w:start w:val="1"/>
      <w:numFmt w:val="decimal"/>
      <w:lvlText w:val="%4."/>
      <w:lvlJc w:val="left"/>
      <w:pPr>
        <w:tabs>
          <w:tab w:val="num" w:pos="4680"/>
        </w:tabs>
        <w:ind w:left="4680" w:hanging="360"/>
      </w:pPr>
    </w:lvl>
    <w:lvl w:ilvl="4" w:tplc="4F667E98" w:tentative="1">
      <w:start w:val="1"/>
      <w:numFmt w:val="lowerLetter"/>
      <w:lvlText w:val="%5."/>
      <w:lvlJc w:val="left"/>
      <w:pPr>
        <w:tabs>
          <w:tab w:val="num" w:pos="5400"/>
        </w:tabs>
        <w:ind w:left="5400" w:hanging="360"/>
      </w:pPr>
    </w:lvl>
    <w:lvl w:ilvl="5" w:tplc="2BB29884" w:tentative="1">
      <w:start w:val="1"/>
      <w:numFmt w:val="lowerRoman"/>
      <w:lvlText w:val="%6."/>
      <w:lvlJc w:val="right"/>
      <w:pPr>
        <w:tabs>
          <w:tab w:val="num" w:pos="6120"/>
        </w:tabs>
        <w:ind w:left="6120" w:hanging="180"/>
      </w:pPr>
    </w:lvl>
    <w:lvl w:ilvl="6" w:tplc="9EDC098A" w:tentative="1">
      <w:start w:val="1"/>
      <w:numFmt w:val="decimal"/>
      <w:lvlText w:val="%7."/>
      <w:lvlJc w:val="left"/>
      <w:pPr>
        <w:tabs>
          <w:tab w:val="num" w:pos="6840"/>
        </w:tabs>
        <w:ind w:left="6840" w:hanging="360"/>
      </w:pPr>
    </w:lvl>
    <w:lvl w:ilvl="7" w:tplc="3BCEC8DC" w:tentative="1">
      <w:start w:val="1"/>
      <w:numFmt w:val="lowerLetter"/>
      <w:lvlText w:val="%8."/>
      <w:lvlJc w:val="left"/>
      <w:pPr>
        <w:tabs>
          <w:tab w:val="num" w:pos="7560"/>
        </w:tabs>
        <w:ind w:left="7560" w:hanging="360"/>
      </w:pPr>
    </w:lvl>
    <w:lvl w:ilvl="8" w:tplc="526A2C2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57EBBD0">
      <w:start w:val="1"/>
      <w:numFmt w:val="bullet"/>
      <w:lvlText w:val=""/>
      <w:lvlJc w:val="left"/>
      <w:pPr>
        <w:tabs>
          <w:tab w:val="num" w:pos="5760"/>
        </w:tabs>
        <w:ind w:left="5760" w:hanging="360"/>
      </w:pPr>
      <w:rPr>
        <w:rFonts w:ascii="Symbol" w:hAnsi="Symbol" w:hint="default"/>
        <w:color w:val="auto"/>
        <w:u w:val="none"/>
      </w:rPr>
    </w:lvl>
    <w:lvl w:ilvl="1" w:tplc="A0DE02C2" w:tentative="1">
      <w:start w:val="1"/>
      <w:numFmt w:val="bullet"/>
      <w:lvlText w:val="o"/>
      <w:lvlJc w:val="left"/>
      <w:pPr>
        <w:tabs>
          <w:tab w:val="num" w:pos="3600"/>
        </w:tabs>
        <w:ind w:left="3600" w:hanging="360"/>
      </w:pPr>
      <w:rPr>
        <w:rFonts w:ascii="Courier New" w:hAnsi="Courier New" w:hint="default"/>
      </w:rPr>
    </w:lvl>
    <w:lvl w:ilvl="2" w:tplc="12524036" w:tentative="1">
      <w:start w:val="1"/>
      <w:numFmt w:val="bullet"/>
      <w:lvlText w:val=""/>
      <w:lvlJc w:val="left"/>
      <w:pPr>
        <w:tabs>
          <w:tab w:val="num" w:pos="4320"/>
        </w:tabs>
        <w:ind w:left="4320" w:hanging="360"/>
      </w:pPr>
      <w:rPr>
        <w:rFonts w:ascii="Wingdings" w:hAnsi="Wingdings" w:hint="default"/>
      </w:rPr>
    </w:lvl>
    <w:lvl w:ilvl="3" w:tplc="A1B04BAA">
      <w:start w:val="1"/>
      <w:numFmt w:val="bullet"/>
      <w:lvlText w:val=""/>
      <w:lvlJc w:val="left"/>
      <w:pPr>
        <w:tabs>
          <w:tab w:val="num" w:pos="5040"/>
        </w:tabs>
        <w:ind w:left="5040" w:hanging="360"/>
      </w:pPr>
      <w:rPr>
        <w:rFonts w:ascii="Symbol" w:hAnsi="Symbol" w:hint="default"/>
      </w:rPr>
    </w:lvl>
    <w:lvl w:ilvl="4" w:tplc="15CA6252" w:tentative="1">
      <w:start w:val="1"/>
      <w:numFmt w:val="bullet"/>
      <w:lvlText w:val="o"/>
      <w:lvlJc w:val="left"/>
      <w:pPr>
        <w:tabs>
          <w:tab w:val="num" w:pos="5760"/>
        </w:tabs>
        <w:ind w:left="5760" w:hanging="360"/>
      </w:pPr>
      <w:rPr>
        <w:rFonts w:ascii="Courier New" w:hAnsi="Courier New" w:hint="default"/>
      </w:rPr>
    </w:lvl>
    <w:lvl w:ilvl="5" w:tplc="6912536A" w:tentative="1">
      <w:start w:val="1"/>
      <w:numFmt w:val="bullet"/>
      <w:lvlText w:val=""/>
      <w:lvlJc w:val="left"/>
      <w:pPr>
        <w:tabs>
          <w:tab w:val="num" w:pos="6480"/>
        </w:tabs>
        <w:ind w:left="6480" w:hanging="360"/>
      </w:pPr>
      <w:rPr>
        <w:rFonts w:ascii="Wingdings" w:hAnsi="Wingdings" w:hint="default"/>
      </w:rPr>
    </w:lvl>
    <w:lvl w:ilvl="6" w:tplc="6292D498" w:tentative="1">
      <w:start w:val="1"/>
      <w:numFmt w:val="bullet"/>
      <w:lvlText w:val=""/>
      <w:lvlJc w:val="left"/>
      <w:pPr>
        <w:tabs>
          <w:tab w:val="num" w:pos="7200"/>
        </w:tabs>
        <w:ind w:left="7200" w:hanging="360"/>
      </w:pPr>
      <w:rPr>
        <w:rFonts w:ascii="Symbol" w:hAnsi="Symbol" w:hint="default"/>
      </w:rPr>
    </w:lvl>
    <w:lvl w:ilvl="7" w:tplc="5692722A" w:tentative="1">
      <w:start w:val="1"/>
      <w:numFmt w:val="bullet"/>
      <w:lvlText w:val="o"/>
      <w:lvlJc w:val="left"/>
      <w:pPr>
        <w:tabs>
          <w:tab w:val="num" w:pos="7920"/>
        </w:tabs>
        <w:ind w:left="7920" w:hanging="360"/>
      </w:pPr>
      <w:rPr>
        <w:rFonts w:ascii="Courier New" w:hAnsi="Courier New" w:hint="default"/>
      </w:rPr>
    </w:lvl>
    <w:lvl w:ilvl="8" w:tplc="26BE8CC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D2D6EB34">
      <w:start w:val="1"/>
      <w:numFmt w:val="decimal"/>
      <w:lvlText w:val="(%1)"/>
      <w:lvlJc w:val="left"/>
      <w:pPr>
        <w:tabs>
          <w:tab w:val="num" w:pos="2520"/>
        </w:tabs>
        <w:ind w:left="2520" w:hanging="720"/>
      </w:pPr>
      <w:rPr>
        <w:rFonts w:cs="Times New Roman" w:hint="default"/>
      </w:rPr>
    </w:lvl>
    <w:lvl w:ilvl="1" w:tplc="EF701AC8">
      <w:start w:val="1"/>
      <w:numFmt w:val="lowerRoman"/>
      <w:lvlText w:val="(%2)"/>
      <w:lvlJc w:val="left"/>
      <w:pPr>
        <w:tabs>
          <w:tab w:val="num" w:pos="1800"/>
        </w:tabs>
        <w:ind w:left="1800" w:hanging="720"/>
      </w:pPr>
      <w:rPr>
        <w:rFonts w:cs="Times New Roman" w:hint="default"/>
        <w:b w:val="0"/>
      </w:rPr>
    </w:lvl>
    <w:lvl w:ilvl="2" w:tplc="F4DC580A">
      <w:start w:val="1"/>
      <w:numFmt w:val="decimal"/>
      <w:lvlText w:val="(%3)"/>
      <w:lvlJc w:val="right"/>
      <w:pPr>
        <w:tabs>
          <w:tab w:val="num" w:pos="2160"/>
        </w:tabs>
        <w:ind w:left="2160" w:hanging="180"/>
      </w:pPr>
      <w:rPr>
        <w:rFonts w:ascii="Times New Roman" w:eastAsia="Times New Roman" w:hAnsi="Times New Roman" w:cs="Times New Roman"/>
        <w:b w:val="0"/>
      </w:rPr>
    </w:lvl>
    <w:lvl w:ilvl="3" w:tplc="E7EAB4FA">
      <w:start w:val="1"/>
      <w:numFmt w:val="lowerRoman"/>
      <w:lvlText w:val="(%4)"/>
      <w:lvlJc w:val="left"/>
      <w:pPr>
        <w:tabs>
          <w:tab w:val="num" w:pos="2520"/>
        </w:tabs>
        <w:ind w:left="2880" w:hanging="360"/>
      </w:pPr>
      <w:rPr>
        <w:rFonts w:cs="Times New Roman" w:hint="default"/>
        <w:b w:val="0"/>
      </w:rPr>
    </w:lvl>
    <w:lvl w:ilvl="4" w:tplc="6B949388" w:tentative="1">
      <w:start w:val="1"/>
      <w:numFmt w:val="lowerLetter"/>
      <w:lvlText w:val="%5."/>
      <w:lvlJc w:val="left"/>
      <w:pPr>
        <w:tabs>
          <w:tab w:val="num" w:pos="3600"/>
        </w:tabs>
        <w:ind w:left="3600" w:hanging="360"/>
      </w:pPr>
      <w:rPr>
        <w:rFonts w:cs="Times New Roman"/>
      </w:rPr>
    </w:lvl>
    <w:lvl w:ilvl="5" w:tplc="3F9C9648" w:tentative="1">
      <w:start w:val="1"/>
      <w:numFmt w:val="lowerRoman"/>
      <w:lvlText w:val="%6."/>
      <w:lvlJc w:val="right"/>
      <w:pPr>
        <w:tabs>
          <w:tab w:val="num" w:pos="4320"/>
        </w:tabs>
        <w:ind w:left="4320" w:hanging="180"/>
      </w:pPr>
      <w:rPr>
        <w:rFonts w:cs="Times New Roman"/>
      </w:rPr>
    </w:lvl>
    <w:lvl w:ilvl="6" w:tplc="F1841064" w:tentative="1">
      <w:start w:val="1"/>
      <w:numFmt w:val="decimal"/>
      <w:lvlText w:val="%7."/>
      <w:lvlJc w:val="left"/>
      <w:pPr>
        <w:tabs>
          <w:tab w:val="num" w:pos="5040"/>
        </w:tabs>
        <w:ind w:left="5040" w:hanging="360"/>
      </w:pPr>
      <w:rPr>
        <w:rFonts w:cs="Times New Roman"/>
      </w:rPr>
    </w:lvl>
    <w:lvl w:ilvl="7" w:tplc="4F7CC67C" w:tentative="1">
      <w:start w:val="1"/>
      <w:numFmt w:val="lowerLetter"/>
      <w:lvlText w:val="%8."/>
      <w:lvlJc w:val="left"/>
      <w:pPr>
        <w:tabs>
          <w:tab w:val="num" w:pos="5760"/>
        </w:tabs>
        <w:ind w:left="5760" w:hanging="360"/>
      </w:pPr>
      <w:rPr>
        <w:rFonts w:cs="Times New Roman"/>
      </w:rPr>
    </w:lvl>
    <w:lvl w:ilvl="8" w:tplc="056405E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744C610">
      <w:start w:val="1"/>
      <w:numFmt w:val="bullet"/>
      <w:lvlText w:val=""/>
      <w:lvlJc w:val="left"/>
      <w:pPr>
        <w:tabs>
          <w:tab w:val="num" w:pos="775"/>
        </w:tabs>
        <w:ind w:left="775" w:hanging="360"/>
      </w:pPr>
      <w:rPr>
        <w:rFonts w:ascii="Symbol" w:hAnsi="Symbol" w:hint="default"/>
      </w:rPr>
    </w:lvl>
    <w:lvl w:ilvl="1" w:tplc="E9028ADC" w:tentative="1">
      <w:start w:val="1"/>
      <w:numFmt w:val="bullet"/>
      <w:lvlText w:val="o"/>
      <w:lvlJc w:val="left"/>
      <w:pPr>
        <w:tabs>
          <w:tab w:val="num" w:pos="1495"/>
        </w:tabs>
        <w:ind w:left="1495" w:hanging="360"/>
      </w:pPr>
      <w:rPr>
        <w:rFonts w:ascii="Courier New" w:hAnsi="Courier New" w:hint="default"/>
      </w:rPr>
    </w:lvl>
    <w:lvl w:ilvl="2" w:tplc="ABB27B4C" w:tentative="1">
      <w:start w:val="1"/>
      <w:numFmt w:val="bullet"/>
      <w:lvlText w:val=""/>
      <w:lvlJc w:val="left"/>
      <w:pPr>
        <w:tabs>
          <w:tab w:val="num" w:pos="2215"/>
        </w:tabs>
        <w:ind w:left="2215" w:hanging="360"/>
      </w:pPr>
      <w:rPr>
        <w:rFonts w:ascii="Wingdings" w:hAnsi="Wingdings" w:hint="default"/>
      </w:rPr>
    </w:lvl>
    <w:lvl w:ilvl="3" w:tplc="AC6C60CE" w:tentative="1">
      <w:start w:val="1"/>
      <w:numFmt w:val="bullet"/>
      <w:lvlText w:val=""/>
      <w:lvlJc w:val="left"/>
      <w:pPr>
        <w:tabs>
          <w:tab w:val="num" w:pos="2935"/>
        </w:tabs>
        <w:ind w:left="2935" w:hanging="360"/>
      </w:pPr>
      <w:rPr>
        <w:rFonts w:ascii="Symbol" w:hAnsi="Symbol" w:hint="default"/>
      </w:rPr>
    </w:lvl>
    <w:lvl w:ilvl="4" w:tplc="3776FEC8" w:tentative="1">
      <w:start w:val="1"/>
      <w:numFmt w:val="bullet"/>
      <w:lvlText w:val="o"/>
      <w:lvlJc w:val="left"/>
      <w:pPr>
        <w:tabs>
          <w:tab w:val="num" w:pos="3655"/>
        </w:tabs>
        <w:ind w:left="3655" w:hanging="360"/>
      </w:pPr>
      <w:rPr>
        <w:rFonts w:ascii="Courier New" w:hAnsi="Courier New" w:hint="default"/>
      </w:rPr>
    </w:lvl>
    <w:lvl w:ilvl="5" w:tplc="00588E22" w:tentative="1">
      <w:start w:val="1"/>
      <w:numFmt w:val="bullet"/>
      <w:lvlText w:val=""/>
      <w:lvlJc w:val="left"/>
      <w:pPr>
        <w:tabs>
          <w:tab w:val="num" w:pos="4375"/>
        </w:tabs>
        <w:ind w:left="4375" w:hanging="360"/>
      </w:pPr>
      <w:rPr>
        <w:rFonts w:ascii="Wingdings" w:hAnsi="Wingdings" w:hint="default"/>
      </w:rPr>
    </w:lvl>
    <w:lvl w:ilvl="6" w:tplc="25F0B05E" w:tentative="1">
      <w:start w:val="1"/>
      <w:numFmt w:val="bullet"/>
      <w:lvlText w:val=""/>
      <w:lvlJc w:val="left"/>
      <w:pPr>
        <w:tabs>
          <w:tab w:val="num" w:pos="5095"/>
        </w:tabs>
        <w:ind w:left="5095" w:hanging="360"/>
      </w:pPr>
      <w:rPr>
        <w:rFonts w:ascii="Symbol" w:hAnsi="Symbol" w:hint="default"/>
      </w:rPr>
    </w:lvl>
    <w:lvl w:ilvl="7" w:tplc="B692B454" w:tentative="1">
      <w:start w:val="1"/>
      <w:numFmt w:val="bullet"/>
      <w:lvlText w:val="o"/>
      <w:lvlJc w:val="left"/>
      <w:pPr>
        <w:tabs>
          <w:tab w:val="num" w:pos="5815"/>
        </w:tabs>
        <w:ind w:left="5815" w:hanging="360"/>
      </w:pPr>
      <w:rPr>
        <w:rFonts w:ascii="Courier New" w:hAnsi="Courier New" w:hint="default"/>
      </w:rPr>
    </w:lvl>
    <w:lvl w:ilvl="8" w:tplc="8E0E231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456D2"/>
    <w:rsid w:val="003456D2"/>
    <w:rsid w:val="00F110B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C3"/>
    <w:rPr>
      <w:sz w:val="24"/>
      <w:szCs w:val="24"/>
    </w:rPr>
  </w:style>
  <w:style w:type="paragraph" w:styleId="Heading1">
    <w:name w:val="heading 1"/>
    <w:basedOn w:val="Normal"/>
    <w:next w:val="Normal"/>
    <w:link w:val="Heading1Char"/>
    <w:uiPriority w:val="99"/>
    <w:qFormat/>
    <w:rsid w:val="005A7CC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A7CC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A7CC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A7CC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A7CC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A7CC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A7CC3"/>
    <w:pPr>
      <w:keepNext/>
      <w:spacing w:line="480" w:lineRule="auto"/>
      <w:ind w:left="720" w:right="630"/>
      <w:outlineLvl w:val="6"/>
    </w:pPr>
    <w:rPr>
      <w:b/>
    </w:rPr>
  </w:style>
  <w:style w:type="paragraph" w:styleId="Heading8">
    <w:name w:val="heading 8"/>
    <w:basedOn w:val="Normal"/>
    <w:next w:val="Normal"/>
    <w:link w:val="Heading8Char"/>
    <w:uiPriority w:val="99"/>
    <w:qFormat/>
    <w:rsid w:val="005A7CC3"/>
    <w:pPr>
      <w:keepNext/>
      <w:spacing w:line="480" w:lineRule="auto"/>
      <w:ind w:left="720" w:right="-90"/>
      <w:outlineLvl w:val="7"/>
    </w:pPr>
    <w:rPr>
      <w:b/>
    </w:rPr>
  </w:style>
  <w:style w:type="paragraph" w:styleId="Heading9">
    <w:name w:val="heading 9"/>
    <w:basedOn w:val="Normal"/>
    <w:next w:val="Normal"/>
    <w:link w:val="Heading9Char"/>
    <w:uiPriority w:val="99"/>
    <w:qFormat/>
    <w:rsid w:val="005A7CC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7CC3"/>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5A7CC3"/>
    <w:pPr>
      <w:ind w:left="1440" w:hanging="720"/>
    </w:pPr>
  </w:style>
  <w:style w:type="paragraph" w:customStyle="1" w:styleId="Bodypara">
    <w:name w:val="Body para"/>
    <w:basedOn w:val="Normal"/>
    <w:link w:val="BodyparaChar"/>
    <w:uiPriority w:val="99"/>
    <w:rsid w:val="005A7CC3"/>
    <w:pPr>
      <w:spacing w:line="480" w:lineRule="auto"/>
      <w:ind w:firstLine="720"/>
    </w:pPr>
  </w:style>
  <w:style w:type="paragraph" w:styleId="Header">
    <w:name w:val="header"/>
    <w:basedOn w:val="Normal"/>
    <w:link w:val="HeaderChar"/>
    <w:uiPriority w:val="99"/>
    <w:rsid w:val="005A7CC3"/>
    <w:pPr>
      <w:tabs>
        <w:tab w:val="center" w:pos="4680"/>
        <w:tab w:val="right" w:pos="9360"/>
      </w:tabs>
    </w:pPr>
  </w:style>
  <w:style w:type="paragraph" w:styleId="FootnoteText">
    <w:name w:val="footnote text"/>
    <w:basedOn w:val="Normal"/>
    <w:link w:val="FootnoteTextChar"/>
    <w:uiPriority w:val="99"/>
    <w:semiHidden/>
    <w:rsid w:val="005A7CC3"/>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5A7CC3"/>
    <w:rPr>
      <w:rFonts w:cs="Times New Roman"/>
    </w:rPr>
  </w:style>
  <w:style w:type="paragraph" w:styleId="Footer">
    <w:name w:val="footer"/>
    <w:basedOn w:val="Normal"/>
    <w:link w:val="FooterChar"/>
    <w:uiPriority w:val="99"/>
    <w:rsid w:val="005A7CC3"/>
    <w:pPr>
      <w:tabs>
        <w:tab w:val="center" w:pos="4320"/>
        <w:tab w:val="right" w:pos="8640"/>
      </w:tabs>
    </w:pPr>
  </w:style>
  <w:style w:type="paragraph" w:customStyle="1" w:styleId="Level1">
    <w:name w:val="Level 1"/>
    <w:basedOn w:val="Normal"/>
    <w:uiPriority w:val="99"/>
    <w:rsid w:val="005A7CC3"/>
    <w:pPr>
      <w:ind w:left="1890" w:hanging="720"/>
    </w:pPr>
  </w:style>
  <w:style w:type="paragraph" w:styleId="EndnoteText">
    <w:name w:val="endnote text"/>
    <w:basedOn w:val="Normal"/>
    <w:semiHidden/>
    <w:rsid w:val="003456D2"/>
    <w:rPr>
      <w:sz w:val="20"/>
    </w:rPr>
  </w:style>
  <w:style w:type="character" w:styleId="EndnoteReference">
    <w:name w:val="endnote reference"/>
    <w:basedOn w:val="DefaultParagraphFont"/>
    <w:semiHidden/>
    <w:rsid w:val="003456D2"/>
    <w:rPr>
      <w:vertAlign w:val="superscript"/>
    </w:rPr>
  </w:style>
  <w:style w:type="character" w:styleId="CommentReference">
    <w:name w:val="annotation reference"/>
    <w:basedOn w:val="DefaultParagraphFont"/>
    <w:semiHidden/>
    <w:rsid w:val="003456D2"/>
    <w:rPr>
      <w:sz w:val="16"/>
      <w:szCs w:val="16"/>
    </w:rPr>
  </w:style>
  <w:style w:type="paragraph" w:styleId="CommentText">
    <w:name w:val="annotation text"/>
    <w:basedOn w:val="Normal"/>
    <w:link w:val="CommentTextChar"/>
    <w:semiHidden/>
    <w:rsid w:val="003456D2"/>
    <w:rPr>
      <w:sz w:val="20"/>
    </w:rPr>
  </w:style>
  <w:style w:type="character" w:styleId="PageNumber">
    <w:name w:val="page number"/>
    <w:basedOn w:val="DefaultParagraphFont"/>
    <w:uiPriority w:val="99"/>
    <w:rsid w:val="005A7CC3"/>
    <w:rPr>
      <w:rFonts w:cs="Times New Roman"/>
    </w:rPr>
  </w:style>
  <w:style w:type="paragraph" w:styleId="TOC1">
    <w:name w:val="toc 1"/>
    <w:basedOn w:val="Normal"/>
    <w:next w:val="Normal"/>
    <w:uiPriority w:val="99"/>
    <w:semiHidden/>
    <w:rsid w:val="005A7CC3"/>
  </w:style>
  <w:style w:type="paragraph" w:styleId="TOC2">
    <w:name w:val="toc 2"/>
    <w:basedOn w:val="Normal"/>
    <w:next w:val="Normal"/>
    <w:uiPriority w:val="99"/>
    <w:semiHidden/>
    <w:rsid w:val="005A7CC3"/>
    <w:pPr>
      <w:ind w:left="240"/>
    </w:pPr>
  </w:style>
  <w:style w:type="paragraph" w:styleId="TOC3">
    <w:name w:val="toc 3"/>
    <w:basedOn w:val="Normal"/>
    <w:next w:val="Normal"/>
    <w:uiPriority w:val="99"/>
    <w:semiHidden/>
    <w:rsid w:val="005A7CC3"/>
    <w:pPr>
      <w:ind w:left="480"/>
    </w:pPr>
  </w:style>
  <w:style w:type="paragraph" w:styleId="TOC4">
    <w:name w:val="toc 4"/>
    <w:basedOn w:val="Normal"/>
    <w:next w:val="Normal"/>
    <w:uiPriority w:val="99"/>
    <w:semiHidden/>
    <w:rsid w:val="005A7CC3"/>
    <w:pPr>
      <w:ind w:left="720"/>
    </w:pPr>
  </w:style>
  <w:style w:type="paragraph" w:styleId="TOC5">
    <w:name w:val="toc 5"/>
    <w:basedOn w:val="Normal"/>
    <w:next w:val="Normal"/>
    <w:semiHidden/>
    <w:rsid w:val="003456D2"/>
    <w:pPr>
      <w:ind w:left="960"/>
    </w:pPr>
  </w:style>
  <w:style w:type="paragraph" w:styleId="TOC6">
    <w:name w:val="toc 6"/>
    <w:basedOn w:val="Normal"/>
    <w:next w:val="Normal"/>
    <w:semiHidden/>
    <w:rsid w:val="003456D2"/>
    <w:pPr>
      <w:ind w:left="1200"/>
    </w:pPr>
  </w:style>
  <w:style w:type="paragraph" w:styleId="TOC7">
    <w:name w:val="toc 7"/>
    <w:basedOn w:val="Normal"/>
    <w:next w:val="Normal"/>
    <w:semiHidden/>
    <w:rsid w:val="003456D2"/>
    <w:pPr>
      <w:ind w:left="1440"/>
    </w:pPr>
  </w:style>
  <w:style w:type="paragraph" w:styleId="TOC8">
    <w:name w:val="toc 8"/>
    <w:basedOn w:val="Normal"/>
    <w:next w:val="Normal"/>
    <w:semiHidden/>
    <w:rsid w:val="003456D2"/>
    <w:pPr>
      <w:ind w:left="1680"/>
    </w:pPr>
  </w:style>
  <w:style w:type="paragraph" w:styleId="TOC9">
    <w:name w:val="toc 9"/>
    <w:basedOn w:val="Normal"/>
    <w:next w:val="Normal"/>
    <w:semiHidden/>
    <w:rsid w:val="003456D2"/>
    <w:pPr>
      <w:ind w:left="1920"/>
    </w:pPr>
  </w:style>
  <w:style w:type="paragraph" w:customStyle="1" w:styleId="Footers">
    <w:name w:val="Footers"/>
    <w:basedOn w:val="Heading1"/>
    <w:uiPriority w:val="99"/>
    <w:rsid w:val="005A7CC3"/>
    <w:pPr>
      <w:tabs>
        <w:tab w:val="left" w:pos="1440"/>
        <w:tab w:val="left" w:pos="7020"/>
        <w:tab w:val="right" w:pos="9360"/>
      </w:tabs>
    </w:pPr>
    <w:rPr>
      <w:b w:val="0"/>
      <w:sz w:val="20"/>
    </w:rPr>
  </w:style>
  <w:style w:type="paragraph" w:customStyle="1" w:styleId="Definition">
    <w:name w:val="Definition"/>
    <w:basedOn w:val="Normal"/>
    <w:uiPriority w:val="99"/>
    <w:rsid w:val="005A7CC3"/>
    <w:pPr>
      <w:spacing w:before="240" w:after="240"/>
    </w:pPr>
  </w:style>
  <w:style w:type="paragraph" w:customStyle="1" w:styleId="Definitionindent">
    <w:name w:val="Definition indent"/>
    <w:basedOn w:val="Definition"/>
    <w:uiPriority w:val="99"/>
    <w:rsid w:val="005A7CC3"/>
    <w:pPr>
      <w:spacing w:before="120" w:after="120"/>
      <w:ind w:left="720"/>
    </w:pPr>
  </w:style>
  <w:style w:type="paragraph" w:customStyle="1" w:styleId="TOCheading">
    <w:name w:val="TOC heading"/>
    <w:basedOn w:val="Normal"/>
    <w:uiPriority w:val="99"/>
    <w:rsid w:val="005A7CC3"/>
    <w:pPr>
      <w:spacing w:before="240" w:after="240"/>
    </w:pPr>
    <w:rPr>
      <w:b/>
    </w:rPr>
  </w:style>
  <w:style w:type="paragraph" w:styleId="DocumentMap">
    <w:name w:val="Document Map"/>
    <w:basedOn w:val="Normal"/>
    <w:link w:val="DocumentMapChar"/>
    <w:uiPriority w:val="99"/>
    <w:semiHidden/>
    <w:rsid w:val="005A7CC3"/>
    <w:pPr>
      <w:shd w:val="clear" w:color="auto" w:fill="000080"/>
    </w:pPr>
    <w:rPr>
      <w:rFonts w:ascii="Tahoma" w:hAnsi="Tahoma" w:cs="Tahoma"/>
      <w:sz w:val="20"/>
    </w:rPr>
  </w:style>
  <w:style w:type="paragraph" w:styleId="BalloonText">
    <w:name w:val="Balloon Text"/>
    <w:basedOn w:val="Normal"/>
    <w:link w:val="BalloonTextChar"/>
    <w:uiPriority w:val="99"/>
    <w:semiHidden/>
    <w:rsid w:val="005A7CC3"/>
    <w:rPr>
      <w:rFonts w:ascii="Tahoma" w:hAnsi="Tahoma" w:cs="Tahoma"/>
      <w:sz w:val="16"/>
      <w:szCs w:val="16"/>
    </w:rPr>
  </w:style>
  <w:style w:type="paragraph" w:customStyle="1" w:styleId="subhead">
    <w:name w:val="subhead"/>
    <w:basedOn w:val="Heading4"/>
    <w:uiPriority w:val="99"/>
    <w:rsid w:val="005A7CC3"/>
    <w:pPr>
      <w:tabs>
        <w:tab w:val="clear" w:pos="1800"/>
      </w:tabs>
      <w:ind w:left="720" w:firstLine="0"/>
    </w:pPr>
  </w:style>
  <w:style w:type="paragraph" w:customStyle="1" w:styleId="alphaheading">
    <w:name w:val="alpha heading"/>
    <w:basedOn w:val="Normal"/>
    <w:uiPriority w:val="99"/>
    <w:rsid w:val="005A7CC3"/>
    <w:pPr>
      <w:keepNext/>
      <w:tabs>
        <w:tab w:val="left" w:pos="1440"/>
      </w:tabs>
      <w:spacing w:before="240" w:after="240"/>
      <w:ind w:left="1440" w:hanging="720"/>
    </w:pPr>
    <w:rPr>
      <w:b/>
    </w:rPr>
  </w:style>
  <w:style w:type="paragraph" w:customStyle="1" w:styleId="romannumeralpara">
    <w:name w:val="roman numeral para"/>
    <w:basedOn w:val="Normal"/>
    <w:uiPriority w:val="99"/>
    <w:rsid w:val="005A7CC3"/>
    <w:pPr>
      <w:spacing w:line="480" w:lineRule="auto"/>
      <w:ind w:left="1440" w:hanging="720"/>
    </w:pPr>
  </w:style>
  <w:style w:type="paragraph" w:customStyle="1" w:styleId="Bulletpara">
    <w:name w:val="Bullet para"/>
    <w:basedOn w:val="Normal"/>
    <w:uiPriority w:val="99"/>
    <w:rsid w:val="005A7CC3"/>
    <w:pPr>
      <w:numPr>
        <w:numId w:val="14"/>
      </w:numPr>
      <w:tabs>
        <w:tab w:val="left" w:pos="900"/>
      </w:tabs>
      <w:spacing w:before="120" w:after="120"/>
    </w:pPr>
  </w:style>
  <w:style w:type="paragraph" w:customStyle="1" w:styleId="Tarifftitle">
    <w:name w:val="Tariff title"/>
    <w:basedOn w:val="Normal"/>
    <w:uiPriority w:val="99"/>
    <w:rsid w:val="005A7CC3"/>
    <w:rPr>
      <w:b/>
      <w:sz w:val="28"/>
      <w:szCs w:val="28"/>
    </w:rPr>
  </w:style>
  <w:style w:type="character" w:styleId="Hyperlink">
    <w:name w:val="Hyperlink"/>
    <w:basedOn w:val="DefaultParagraphFont"/>
    <w:uiPriority w:val="99"/>
    <w:rsid w:val="005A7CC3"/>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5A7CC3"/>
  </w:style>
  <w:style w:type="character" w:customStyle="1" w:styleId="alphaparaChar">
    <w:name w:val="alpha para Char"/>
    <w:basedOn w:val="DefaultParagraphFont"/>
    <w:link w:val="alphapara"/>
    <w:uiPriority w:val="99"/>
    <w:rsid w:val="005A7CC3"/>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754ACF"/>
    <w:rPr>
      <w:b/>
      <w:bCs/>
      <w:szCs w:val="20"/>
    </w:rPr>
  </w:style>
  <w:style w:type="character" w:customStyle="1" w:styleId="CommentTextChar">
    <w:name w:val="Comment Text Char"/>
    <w:basedOn w:val="DefaultParagraphFont"/>
    <w:link w:val="CommentText"/>
    <w:semiHidden/>
    <w:rsid w:val="00754ACF"/>
    <w:rPr>
      <w:rFonts w:ascii="Calibri" w:eastAsia="Calibri" w:hAnsi="Calibri" w:cs="Times New Roman"/>
      <w:szCs w:val="22"/>
    </w:rPr>
  </w:style>
  <w:style w:type="character" w:customStyle="1" w:styleId="CommentSubjectChar">
    <w:name w:val="Comment Subject Char"/>
    <w:basedOn w:val="CommentTextChar"/>
    <w:link w:val="CommentSubject"/>
    <w:rsid w:val="00754ACF"/>
  </w:style>
  <w:style w:type="character" w:customStyle="1" w:styleId="Heading1Char">
    <w:name w:val="Heading 1 Char"/>
    <w:basedOn w:val="DefaultParagraphFont"/>
    <w:link w:val="Heading1"/>
    <w:uiPriority w:val="99"/>
    <w:locked/>
    <w:rsid w:val="005A7CC3"/>
    <w:rPr>
      <w:b/>
      <w:sz w:val="24"/>
      <w:szCs w:val="24"/>
    </w:rPr>
  </w:style>
  <w:style w:type="character" w:customStyle="1" w:styleId="Heading2Char">
    <w:name w:val="Heading 2 Char"/>
    <w:basedOn w:val="DefaultParagraphFont"/>
    <w:link w:val="Heading2"/>
    <w:uiPriority w:val="99"/>
    <w:locked/>
    <w:rsid w:val="005A7CC3"/>
    <w:rPr>
      <w:b/>
      <w:sz w:val="24"/>
      <w:szCs w:val="24"/>
    </w:rPr>
  </w:style>
  <w:style w:type="character" w:customStyle="1" w:styleId="Heading4Char">
    <w:name w:val="Heading 4 Char"/>
    <w:basedOn w:val="DefaultParagraphFont"/>
    <w:link w:val="Heading4"/>
    <w:uiPriority w:val="99"/>
    <w:locked/>
    <w:rsid w:val="005A7CC3"/>
    <w:rPr>
      <w:b/>
      <w:sz w:val="24"/>
      <w:szCs w:val="24"/>
    </w:rPr>
  </w:style>
  <w:style w:type="character" w:customStyle="1" w:styleId="Heading5Char">
    <w:name w:val="Heading 5 Char"/>
    <w:basedOn w:val="DefaultParagraphFont"/>
    <w:link w:val="Heading5"/>
    <w:uiPriority w:val="99"/>
    <w:locked/>
    <w:rsid w:val="005A7CC3"/>
    <w:rPr>
      <w:b/>
      <w:sz w:val="24"/>
      <w:szCs w:val="24"/>
    </w:rPr>
  </w:style>
  <w:style w:type="character" w:customStyle="1" w:styleId="Heading6Char">
    <w:name w:val="Heading 6 Char"/>
    <w:basedOn w:val="DefaultParagraphFont"/>
    <w:link w:val="Heading6"/>
    <w:uiPriority w:val="99"/>
    <w:locked/>
    <w:rsid w:val="005A7CC3"/>
    <w:rPr>
      <w:b/>
      <w:sz w:val="24"/>
      <w:szCs w:val="24"/>
    </w:rPr>
  </w:style>
  <w:style w:type="character" w:customStyle="1" w:styleId="Heading7Char">
    <w:name w:val="Heading 7 Char"/>
    <w:basedOn w:val="DefaultParagraphFont"/>
    <w:link w:val="Heading7"/>
    <w:uiPriority w:val="99"/>
    <w:locked/>
    <w:rsid w:val="005A7CC3"/>
    <w:rPr>
      <w:b/>
      <w:sz w:val="24"/>
      <w:szCs w:val="24"/>
    </w:rPr>
  </w:style>
  <w:style w:type="character" w:customStyle="1" w:styleId="Heading8Char">
    <w:name w:val="Heading 8 Char"/>
    <w:basedOn w:val="DefaultParagraphFont"/>
    <w:link w:val="Heading8"/>
    <w:uiPriority w:val="99"/>
    <w:locked/>
    <w:rsid w:val="005A7CC3"/>
    <w:rPr>
      <w:b/>
      <w:sz w:val="24"/>
      <w:szCs w:val="24"/>
    </w:rPr>
  </w:style>
  <w:style w:type="character" w:customStyle="1" w:styleId="Heading9Char">
    <w:name w:val="Heading 9 Char"/>
    <w:basedOn w:val="DefaultParagraphFont"/>
    <w:link w:val="Heading9"/>
    <w:uiPriority w:val="99"/>
    <w:locked/>
    <w:rsid w:val="005A7CC3"/>
    <w:rPr>
      <w:b/>
      <w:sz w:val="24"/>
      <w:szCs w:val="24"/>
    </w:rPr>
  </w:style>
  <w:style w:type="character" w:customStyle="1" w:styleId="FooterChar">
    <w:name w:val="Footer Char"/>
    <w:basedOn w:val="DefaultParagraphFont"/>
    <w:link w:val="Footer"/>
    <w:uiPriority w:val="99"/>
    <w:locked/>
    <w:rsid w:val="005A7CC3"/>
    <w:rPr>
      <w:sz w:val="24"/>
      <w:szCs w:val="24"/>
    </w:rPr>
  </w:style>
  <w:style w:type="paragraph" w:customStyle="1" w:styleId="Definitionhead">
    <w:name w:val="Definition head"/>
    <w:basedOn w:val="subhead"/>
    <w:uiPriority w:val="99"/>
    <w:rsid w:val="005A7CC3"/>
  </w:style>
  <w:style w:type="character" w:customStyle="1" w:styleId="FootnoteTextChar">
    <w:name w:val="Footnote Text Char"/>
    <w:basedOn w:val="DefaultParagraphFont"/>
    <w:link w:val="FootnoteText"/>
    <w:uiPriority w:val="99"/>
    <w:semiHidden/>
    <w:locked/>
    <w:rsid w:val="005A7CC3"/>
    <w:rPr>
      <w:szCs w:val="24"/>
    </w:rPr>
  </w:style>
  <w:style w:type="character" w:customStyle="1" w:styleId="HeaderChar">
    <w:name w:val="Header Char"/>
    <w:basedOn w:val="DefaultParagraphFont"/>
    <w:link w:val="Header"/>
    <w:uiPriority w:val="99"/>
    <w:locked/>
    <w:rsid w:val="005A7CC3"/>
    <w:rPr>
      <w:sz w:val="24"/>
      <w:szCs w:val="24"/>
    </w:rPr>
  </w:style>
  <w:style w:type="paragraph" w:styleId="Title">
    <w:name w:val="Title"/>
    <w:basedOn w:val="Normal"/>
    <w:link w:val="TitleChar"/>
    <w:uiPriority w:val="99"/>
    <w:qFormat/>
    <w:rsid w:val="005A7CC3"/>
    <w:pPr>
      <w:spacing w:after="240"/>
      <w:jc w:val="center"/>
    </w:pPr>
    <w:rPr>
      <w:rFonts w:cs="Arial"/>
      <w:bCs/>
      <w:szCs w:val="32"/>
    </w:rPr>
  </w:style>
  <w:style w:type="character" w:customStyle="1" w:styleId="TitleChar">
    <w:name w:val="Title Char"/>
    <w:basedOn w:val="DefaultParagraphFont"/>
    <w:link w:val="Title"/>
    <w:uiPriority w:val="99"/>
    <w:rsid w:val="005A7CC3"/>
    <w:rPr>
      <w:rFonts w:cs="Arial"/>
      <w:bCs/>
      <w:sz w:val="24"/>
      <w:szCs w:val="32"/>
    </w:rPr>
  </w:style>
  <w:style w:type="character" w:styleId="FollowedHyperlink">
    <w:name w:val="FollowedHyperlink"/>
    <w:basedOn w:val="DefaultParagraphFont"/>
    <w:uiPriority w:val="99"/>
    <w:rsid w:val="005A7CC3"/>
    <w:rPr>
      <w:rFonts w:cs="Times New Roman"/>
      <w:color w:val="800080"/>
      <w:u w:val="single"/>
    </w:rPr>
  </w:style>
  <w:style w:type="character" w:customStyle="1" w:styleId="DateChar">
    <w:name w:val="Date Char"/>
    <w:basedOn w:val="DefaultParagraphFont"/>
    <w:link w:val="Date"/>
    <w:uiPriority w:val="99"/>
    <w:locked/>
    <w:rsid w:val="005A7CC3"/>
    <w:rPr>
      <w:sz w:val="24"/>
      <w:szCs w:val="24"/>
    </w:rPr>
  </w:style>
  <w:style w:type="character" w:customStyle="1" w:styleId="DocumentMapChar">
    <w:name w:val="Document Map Char"/>
    <w:basedOn w:val="DefaultParagraphFont"/>
    <w:link w:val="DocumentMap"/>
    <w:uiPriority w:val="99"/>
    <w:semiHidden/>
    <w:locked/>
    <w:rsid w:val="005A7CC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A7CC3"/>
    <w:rPr>
      <w:rFonts w:ascii="Tahoma" w:hAnsi="Tahoma" w:cs="Tahoma"/>
      <w:sz w:val="16"/>
      <w:szCs w:val="16"/>
    </w:rPr>
  </w:style>
  <w:style w:type="paragraph" w:styleId="Revision">
    <w:name w:val="Revision"/>
    <w:hidden/>
    <w:uiPriority w:val="99"/>
    <w:semiHidden/>
    <w:rsid w:val="005A7CC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6129</Words>
  <Characters>34941</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