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FD1" w:rsidRPr="005241E3" w:rsidRDefault="006643BF" w:rsidP="00657341">
      <w:pPr>
        <w:pStyle w:val="Heading2"/>
        <w:ind w:left="0" w:firstLine="0"/>
      </w:pPr>
      <w:bookmarkStart w:id="0" w:name="_GoBack"/>
      <w:bookmarkEnd w:id="0"/>
      <w:r w:rsidRPr="00657341">
        <w:t>23.</w:t>
      </w:r>
      <w:r w:rsidRPr="00657341">
        <w:t>8</w:t>
      </w:r>
      <w:r w:rsidRPr="00657341">
        <w:tab/>
      </w:r>
      <w:r>
        <w:t>G</w:t>
      </w:r>
      <w:r w:rsidRPr="005241E3">
        <w:t>enerator-Specific Mitigation Measure</w:t>
      </w:r>
    </w:p>
    <w:p w:rsidR="00454FD1" w:rsidRPr="00354DFC" w:rsidRDefault="006643BF" w:rsidP="005241E3">
      <w:pPr>
        <w:pStyle w:val="Bodypara"/>
      </w:pPr>
      <w:r>
        <w:t xml:space="preserve">The following mitigation measure only applies to the Saranac, </w:t>
      </w:r>
      <w:smartTag w:uri="urn:schemas-microsoft-com:office:smarttags" w:element="place">
        <w:smartTag w:uri="urn:schemas-microsoft-com:office:smarttags" w:element="City">
          <w:r>
            <w:t>Sterling</w:t>
          </w:r>
        </w:smartTag>
      </w:smartTag>
      <w:r>
        <w:t xml:space="preserve"> and Batavia Generators.</w:t>
      </w:r>
    </w:p>
    <w:p w:rsidR="00454FD1" w:rsidRPr="00354DFC" w:rsidRDefault="006643BF" w:rsidP="005241E3">
      <w:pPr>
        <w:pStyle w:val="Bodypara"/>
      </w:pPr>
      <w:r w:rsidRPr="00354DFC">
        <w:t xml:space="preserve">If provisions 1 </w:t>
      </w:r>
      <w:r>
        <w:t xml:space="preserve">and 2 </w:t>
      </w:r>
      <w:r w:rsidRPr="00354DFC">
        <w:t xml:space="preserve">below are met, </w:t>
      </w:r>
      <w:r>
        <w:t xml:space="preserve">when calculating a daily Bid Production Cost guarantee for a New York Control Area Generator that is located outside the New York City Constrained Area, </w:t>
      </w:r>
      <w:r w:rsidRPr="00354DFC">
        <w:t xml:space="preserve">the ISO shall substitute a reference level (determined in accordance with Attachment H to the Services </w:t>
      </w:r>
      <w:r w:rsidRPr="00354DFC">
        <w:t xml:space="preserve">Tariff) for each Bid or component of a Bid for which the applicable threshold specified in provisions </w:t>
      </w:r>
      <w:r>
        <w:t>3</w:t>
      </w:r>
      <w:r w:rsidRPr="00354DFC">
        <w:t xml:space="preserve">(a) through </w:t>
      </w:r>
      <w:r>
        <w:t>3</w:t>
      </w:r>
      <w:r w:rsidRPr="00354DFC">
        <w:t>(e)</w:t>
      </w:r>
      <w:r>
        <w:t xml:space="preserve"> </w:t>
      </w:r>
      <w:r w:rsidRPr="00354DFC">
        <w:t xml:space="preserve">below is exceeded: </w:t>
      </w:r>
    </w:p>
    <w:p w:rsidR="00454FD1" w:rsidRDefault="006643BF" w:rsidP="00657341">
      <w:pPr>
        <w:pStyle w:val="romannumeralpara"/>
        <w:ind w:left="1080"/>
      </w:pPr>
      <w:r>
        <w:t>1</w:t>
      </w:r>
      <w:r w:rsidRPr="00354DFC">
        <w:t>.</w:t>
      </w:r>
      <w:r w:rsidRPr="00354DFC">
        <w:tab/>
        <w:t>the Generator was committed to protect or maintain New York Control Area or local system reliability as a Day-Ahe</w:t>
      </w:r>
      <w:r w:rsidRPr="00354DFC">
        <w:t>ad Reliability Unit (“DARU”) or via a Supplemental Resource Evaluation (“SRE”), or was committed as a DARU or via SRE and is also dispatched Out-of-Merit to protect or maintain New York Control Area or local system reliability; and</w:t>
      </w:r>
    </w:p>
    <w:p w:rsidR="00454FD1" w:rsidRDefault="006643BF" w:rsidP="00657341">
      <w:pPr>
        <w:pStyle w:val="romannumeralpara"/>
        <w:ind w:left="1080"/>
      </w:pPr>
      <w:r>
        <w:t>2</w:t>
      </w:r>
      <w:r w:rsidRPr="00354DFC">
        <w:t>.</w:t>
      </w:r>
      <w:r w:rsidRPr="00354DFC">
        <w:tab/>
        <w:t>the Supplier that own</w:t>
      </w:r>
      <w:r w:rsidRPr="00354DFC">
        <w:t>s or offers the Generator is the only Supplier that can, or is the Supplier that has been designated to, solve the reliability need for which the Generator was committed or dispatched; and</w:t>
      </w:r>
    </w:p>
    <w:p w:rsidR="00454FD1" w:rsidRPr="00354DFC" w:rsidRDefault="006643BF" w:rsidP="00657341">
      <w:pPr>
        <w:pStyle w:val="romannumeralpara"/>
        <w:ind w:left="1080"/>
      </w:pPr>
      <w:r>
        <w:t>3</w:t>
      </w:r>
      <w:r w:rsidRPr="00354DFC">
        <w:t>.</w:t>
      </w:r>
      <w:r w:rsidRPr="00354DFC">
        <w:tab/>
        <w:t>the Bids or Bid components submitted for the Generator that were</w:t>
      </w:r>
      <w:r w:rsidRPr="00354DFC">
        <w:t xml:space="preserve"> accepted to protect or maintain New York Control Area or local system reliability:</w:t>
      </w:r>
    </w:p>
    <w:p w:rsidR="00454FD1" w:rsidRPr="00354DFC" w:rsidRDefault="006643BF" w:rsidP="00657341">
      <w:pPr>
        <w:pStyle w:val="romannumeralpara"/>
        <w:ind w:left="1800"/>
      </w:pPr>
      <w:r w:rsidRPr="00354DFC">
        <w:t>a.</w:t>
      </w:r>
      <w:r w:rsidRPr="00354DFC">
        <w:tab/>
        <w:t>exceed</w:t>
      </w:r>
      <w:r>
        <w:t>ed</w:t>
      </w:r>
      <w:r w:rsidRPr="00354DFC">
        <w:t xml:space="preserve"> the Generator’s Minimum Generation Bid reference level by the greater of 10% or $10/MWh, or</w:t>
      </w:r>
    </w:p>
    <w:p w:rsidR="00454FD1" w:rsidRPr="00354DFC" w:rsidRDefault="006643BF" w:rsidP="00657341">
      <w:pPr>
        <w:pStyle w:val="romannumeralpara"/>
        <w:ind w:left="1800"/>
      </w:pPr>
      <w:r w:rsidRPr="00354DFC">
        <w:t>b.</w:t>
      </w:r>
      <w:r w:rsidRPr="00354DFC">
        <w:tab/>
        <w:t>exceed</w:t>
      </w:r>
      <w:r>
        <w:t>ed</w:t>
      </w:r>
      <w:r w:rsidRPr="00354DFC">
        <w:t xml:space="preserve"> the Generator’s Incremental Energy Bid reference level b</w:t>
      </w:r>
      <w:r w:rsidRPr="00354DFC">
        <w:t>y the greater of 10% or $10/MWh, or</w:t>
      </w:r>
    </w:p>
    <w:p w:rsidR="00454FD1" w:rsidRPr="00354DFC" w:rsidRDefault="006643BF" w:rsidP="00657341">
      <w:pPr>
        <w:pStyle w:val="romannumeralpara"/>
        <w:ind w:left="1800"/>
      </w:pPr>
      <w:r w:rsidRPr="00354DFC">
        <w:t>c.</w:t>
      </w:r>
      <w:r w:rsidRPr="00354DFC">
        <w:tab/>
        <w:t>exceed</w:t>
      </w:r>
      <w:r>
        <w:t>ed</w:t>
      </w:r>
      <w:r w:rsidRPr="00354DFC">
        <w:t xml:space="preserve"> the Generator’s Start-Up Bid reference level by 10%, or</w:t>
      </w:r>
    </w:p>
    <w:p w:rsidR="00454FD1" w:rsidRPr="00354DFC" w:rsidRDefault="006643BF" w:rsidP="00657341">
      <w:pPr>
        <w:pStyle w:val="romannumeralpara"/>
        <w:ind w:left="1800"/>
      </w:pPr>
      <w:r w:rsidRPr="00354DFC">
        <w:lastRenderedPageBreak/>
        <w:t>d.</w:t>
      </w:r>
      <w:r w:rsidRPr="00354DFC">
        <w:tab/>
        <w:t>exceed</w:t>
      </w:r>
      <w:r>
        <w:t>ed</w:t>
      </w:r>
      <w:r w:rsidRPr="00354DFC">
        <w:t xml:space="preserve"> the Generator’s minimum run time reference level by more than one hour, or</w:t>
      </w:r>
    </w:p>
    <w:p w:rsidR="00454FD1" w:rsidRPr="00354DFC" w:rsidRDefault="006643BF" w:rsidP="00657341">
      <w:pPr>
        <w:pStyle w:val="romannumeralpara"/>
        <w:ind w:left="1800"/>
      </w:pPr>
      <w:r w:rsidRPr="00354DFC">
        <w:t>e.</w:t>
      </w:r>
      <w:r w:rsidRPr="00354DFC">
        <w:tab/>
        <w:t>exceed</w:t>
      </w:r>
      <w:r>
        <w:t>ed</w:t>
      </w:r>
      <w:r w:rsidRPr="00354DFC">
        <w:t xml:space="preserve"> the Generator’s minimum generation MW re</w:t>
      </w:r>
      <w:r>
        <w:t>ference level</w:t>
      </w:r>
      <w:r>
        <w:t xml:space="preserve"> by more than 10%.</w:t>
      </w:r>
    </w:p>
    <w:p w:rsidR="00657341" w:rsidRPr="00657341" w:rsidRDefault="006643BF" w:rsidP="00657341">
      <w:pPr>
        <w:pStyle w:val="Heading3"/>
      </w:pPr>
      <w:r w:rsidRPr="00657341">
        <w:t>23.8.1</w:t>
      </w:r>
      <w:r w:rsidRPr="00657341">
        <w:tab/>
      </w:r>
      <w:r w:rsidRPr="00657341">
        <w:t xml:space="preserve">Overlap with </w:t>
      </w:r>
      <w:r w:rsidRPr="00657341">
        <w:t>Other</w:t>
      </w:r>
      <w:r w:rsidRPr="00657341">
        <w:t xml:space="preserve"> Mitigation Measures.  </w:t>
      </w:r>
    </w:p>
    <w:p w:rsidR="00454FD1" w:rsidRDefault="006643BF" w:rsidP="00657341">
      <w:pPr>
        <w:pStyle w:val="Bodypara"/>
      </w:pPr>
      <w:r w:rsidRPr="00354DFC">
        <w:t xml:space="preserve">A Generator that is subject to this </w:t>
      </w:r>
      <w:r>
        <w:t>mitigation measure</w:t>
      </w:r>
      <w:r w:rsidRPr="00354DFC">
        <w:t xml:space="preserve"> remain</w:t>
      </w:r>
      <w:r>
        <w:t>s</w:t>
      </w:r>
      <w:r w:rsidRPr="00354DFC">
        <w:t xml:space="preserve"> subject to the </w:t>
      </w:r>
      <w:r>
        <w:t xml:space="preserve">other </w:t>
      </w:r>
      <w:r w:rsidRPr="00354DFC">
        <w:t>provisions of the</w:t>
      </w:r>
      <w:r>
        <w:t>se</w:t>
      </w:r>
      <w:r w:rsidRPr="00354DFC">
        <w:t xml:space="preserve"> Mitigation Measures.  </w:t>
      </w:r>
      <w:r>
        <w:t xml:space="preserve">This </w:t>
      </w:r>
      <w:r>
        <w:t>mitigation measure</w:t>
      </w:r>
      <w:r>
        <w:t xml:space="preserve"> shall not be applied to mitigate a Bid</w:t>
      </w:r>
      <w:r>
        <w:t xml:space="preserve"> or Bid component that has already been mitigated in accordance with </w:t>
      </w:r>
      <w:r>
        <w:t>a different</w:t>
      </w:r>
      <w:r>
        <w:t xml:space="preserve"> Mitigation Measure.</w:t>
      </w:r>
    </w:p>
    <w:p w:rsidR="00657341" w:rsidRPr="00657341" w:rsidRDefault="006643BF" w:rsidP="00657341">
      <w:pPr>
        <w:pStyle w:val="Heading3"/>
      </w:pPr>
      <w:r w:rsidRPr="00657341">
        <w:t>23.8.2</w:t>
      </w:r>
      <w:r w:rsidRPr="00657341">
        <w:tab/>
      </w:r>
      <w:r w:rsidRPr="00657341">
        <w:t xml:space="preserve">Notice of Intent to Apply </w:t>
      </w:r>
      <w:r w:rsidRPr="00657341">
        <w:t>This Mitigation Measure</w:t>
      </w:r>
      <w:r w:rsidRPr="00657341">
        <w:t xml:space="preserve"> to Bids Submitted for </w:t>
      </w:r>
      <w:r>
        <w:t>Other</w:t>
      </w:r>
      <w:r w:rsidRPr="00657341">
        <w:t xml:space="preserve"> Generator</w:t>
      </w:r>
      <w:r w:rsidRPr="00657341">
        <w:t>s</w:t>
      </w:r>
      <w:r w:rsidRPr="00657341">
        <w:t xml:space="preserve">.  </w:t>
      </w:r>
    </w:p>
    <w:p w:rsidR="00454FD1" w:rsidRPr="00354DFC" w:rsidRDefault="006643BF" w:rsidP="00657341">
      <w:pPr>
        <w:pStyle w:val="Bodypara"/>
      </w:pPr>
      <w:r w:rsidRPr="00354DFC">
        <w:t xml:space="preserve">The ISO shall send an electronic copy of its filing proposing to apply this </w:t>
      </w:r>
      <w:r>
        <w:t>mitigation measure</w:t>
      </w:r>
      <w:r w:rsidRPr="00354DFC">
        <w:t xml:space="preserve"> to Bids submitted for a Generator</w:t>
      </w:r>
      <w:r>
        <w:t xml:space="preserve"> other than Saranac, </w:t>
      </w:r>
      <w:smartTag w:uri="urn:schemas-microsoft-com:office:smarttags" w:element="City">
        <w:r>
          <w:t>Sterling</w:t>
        </w:r>
      </w:smartTag>
      <w:r>
        <w:t xml:space="preserve"> or </w:t>
      </w:r>
      <w:smartTag w:uri="urn:schemas-microsoft-com:office:smarttags" w:element="place">
        <w:smartTag w:uri="urn:schemas-microsoft-com:office:smarttags" w:element="City">
          <w:r>
            <w:t>Batavia</w:t>
          </w:r>
        </w:smartTag>
      </w:smartTag>
      <w:r w:rsidRPr="00354DFC">
        <w:t xml:space="preserve"> to the Market Party that is identified as being financially responsible for that Genera</w:t>
      </w:r>
      <w:r w:rsidRPr="00354DFC">
        <w:t>tor in the ISO’s settlement systems.</w:t>
      </w:r>
    </w:p>
    <w:p w:rsidR="00657341" w:rsidRPr="00657341" w:rsidRDefault="006643BF" w:rsidP="00657341">
      <w:pPr>
        <w:pStyle w:val="Heading3"/>
      </w:pPr>
      <w:r w:rsidRPr="00657341">
        <w:t>23.8.3</w:t>
      </w:r>
      <w:r w:rsidRPr="00657341">
        <w:tab/>
      </w:r>
      <w:r w:rsidRPr="00657341">
        <w:t xml:space="preserve">Consultation Regarding Proposed Mitigation.  </w:t>
      </w:r>
    </w:p>
    <w:p w:rsidR="00454FD1" w:rsidRDefault="006643BF" w:rsidP="00657341">
      <w:pPr>
        <w:pStyle w:val="Bodypara"/>
      </w:pPr>
      <w:r w:rsidRPr="00354DFC">
        <w:t xml:space="preserve">The ISO shall electronically inform the Market Party that is identified as being financially responsible for a Generator in the ISO’s settlement systems each time it </w:t>
      </w:r>
      <w:r w:rsidRPr="00354DFC">
        <w:t xml:space="preserve">determines that a Bid, or Bids, or Bid components submitted for the Generator may be subject to mitigation under this Rate Schedule.  The ISO’s notification shall </w:t>
      </w:r>
      <w:r>
        <w:t xml:space="preserve">be issued within 10 business days of the relevant market day, and shall </w:t>
      </w:r>
      <w:r w:rsidRPr="00354DFC">
        <w:t>identify the particul</w:t>
      </w:r>
      <w:r w:rsidRPr="00354DFC">
        <w:t xml:space="preserve">ar day(s) and Bid(s) </w:t>
      </w:r>
      <w:r>
        <w:t xml:space="preserve">or Bid component(s) </w:t>
      </w:r>
      <w:r w:rsidRPr="00354DFC">
        <w:t xml:space="preserve">that </w:t>
      </w:r>
      <w:r>
        <w:t>the ISO</w:t>
      </w:r>
      <w:r w:rsidRPr="00354DFC">
        <w:t xml:space="preserve"> </w:t>
      </w:r>
      <w:r w:rsidRPr="00354DFC">
        <w:t xml:space="preserve">is proposing to mitigate.  </w:t>
      </w:r>
      <w:r>
        <w:t>Following the ISO’s identification of Bids or Bid components that are potentially subject to mitigation</w:t>
      </w:r>
      <w:r>
        <w:t>,</w:t>
      </w:r>
      <w:r>
        <w:t xml:space="preserve"> the ISO and the Market Party shall follow the consultation </w:t>
      </w:r>
      <w:r>
        <w:t>process and</w:t>
      </w:r>
      <w:r>
        <w:t xml:space="preserve"> timeline</w:t>
      </w:r>
      <w:r>
        <w:t xml:space="preserve"> set forth in </w:t>
      </w:r>
      <w:r w:rsidRPr="00DF0412">
        <w:t xml:space="preserve">Section 23.3.3.3.1 </w:t>
      </w:r>
      <w:r>
        <w:t>of these Mitigation Measures</w:t>
      </w:r>
      <w:r>
        <w:t xml:space="preserve">.  </w:t>
      </w:r>
    </w:p>
    <w:p w:rsidR="00454FD1" w:rsidRDefault="006643BF" w:rsidP="00657341">
      <w:pPr>
        <w:pStyle w:val="Bodypara"/>
      </w:pPr>
      <w:r w:rsidRPr="00354DFC">
        <w:t xml:space="preserve">The permissible bases for challenging, or requesting a modification to mitigation applied in accordance with this Rate Schedule shall be </w:t>
      </w:r>
      <w:r>
        <w:t xml:space="preserve">that </w:t>
      </w:r>
      <w:r w:rsidRPr="00354DFC">
        <w:t xml:space="preserve">(a) the costs associated with operating </w:t>
      </w:r>
      <w:r w:rsidRPr="00354DFC">
        <w:t>the Generator exceeded the reference level that the ISO employed when determining the mitigation, or (b) the ISO made a mathematical error when determining that mitigation was appropriate or in calculating the settlement impact of a mitigation.</w:t>
      </w:r>
    </w:p>
    <w:sectPr w:rsidR="00454FD1" w:rsidSect="005241E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6643BF">
      <w:r>
        <w:separator/>
      </w:r>
    </w:p>
  </w:endnote>
  <w:endnote w:type="continuationSeparator" w:id="0">
    <w:p w:rsidR="00000000" w:rsidRDefault="006643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3B78" w:rsidRDefault="006643BF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6/30/2010 - Docket #: ER10-2158-000 -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3B78" w:rsidRDefault="006643BF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6/30/2010 - Docket #: ER10-2158-000 -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</w:rPr>
      <w:t>1</w: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3B78" w:rsidRDefault="006643BF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6/30/2010 - Docket #: ER10-2158-000 -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6643BF">
      <w:r>
        <w:separator/>
      </w:r>
    </w:p>
  </w:footnote>
  <w:footnote w:type="continuationSeparator" w:id="0">
    <w:p w:rsidR="00000000" w:rsidRDefault="006643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3B78" w:rsidRDefault="006643BF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23.8 MST Att H Generator-Specific Mitigation Measure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3B78" w:rsidRDefault="006643BF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23.8 MST Att H Generator-Specific Mitigation Measure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3B78" w:rsidRDefault="006643BF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23.8 MST Att H Generator-Specific Mitigation Measure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7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B78"/>
    <w:rsid w:val="00613B78"/>
    <w:rsid w:val="00664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54FD1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Heading2">
    <w:name w:val="heading 2"/>
    <w:basedOn w:val="Normal"/>
    <w:next w:val="Normal"/>
    <w:qFormat/>
    <w:rsid w:val="005241E3"/>
    <w:pPr>
      <w:keepNext/>
      <w:tabs>
        <w:tab w:val="left" w:pos="1080"/>
      </w:tabs>
      <w:overflowPunct/>
      <w:autoSpaceDE/>
      <w:autoSpaceDN/>
      <w:adjustRightInd/>
      <w:spacing w:before="240" w:after="240"/>
      <w:ind w:left="1080" w:right="14" w:hanging="1080"/>
      <w:textAlignment w:val="auto"/>
      <w:outlineLvl w:val="1"/>
    </w:pPr>
    <w:rPr>
      <w:b/>
      <w:szCs w:val="24"/>
    </w:rPr>
  </w:style>
  <w:style w:type="paragraph" w:styleId="Heading3">
    <w:name w:val="heading 3"/>
    <w:basedOn w:val="Normal"/>
    <w:next w:val="Normal"/>
    <w:qFormat/>
    <w:rsid w:val="00657341"/>
    <w:pPr>
      <w:keepNext/>
      <w:keepLines/>
      <w:tabs>
        <w:tab w:val="left" w:pos="1080"/>
      </w:tabs>
      <w:overflowPunct/>
      <w:autoSpaceDE/>
      <w:autoSpaceDN/>
      <w:adjustRightInd/>
      <w:spacing w:before="240" w:after="240"/>
      <w:ind w:left="1080" w:right="634" w:hanging="1080"/>
      <w:textAlignment w:val="auto"/>
      <w:outlineLvl w:val="2"/>
    </w:pPr>
    <w:rPr>
      <w:b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54FD1"/>
    <w:pPr>
      <w:tabs>
        <w:tab w:val="center" w:pos="4680"/>
        <w:tab w:val="right" w:pos="9360"/>
      </w:tabs>
    </w:pPr>
  </w:style>
  <w:style w:type="paragraph" w:styleId="Footer">
    <w:name w:val="footer"/>
    <w:basedOn w:val="Normal"/>
    <w:link w:val="FooterChar"/>
    <w:rsid w:val="00454FD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semiHidden/>
    <w:rsid w:val="00454FD1"/>
    <w:rPr>
      <w:sz w:val="24"/>
      <w:lang w:val="en-US" w:eastAsia="en-US" w:bidi="ar-SA"/>
    </w:rPr>
  </w:style>
  <w:style w:type="paragraph" w:styleId="BalloonText">
    <w:name w:val="Balloon Text"/>
    <w:basedOn w:val="Normal"/>
    <w:semiHidden/>
    <w:rsid w:val="00C4240D"/>
    <w:rPr>
      <w:rFonts w:ascii="Tahoma" w:hAnsi="Tahoma" w:cs="Tahoma"/>
      <w:sz w:val="16"/>
      <w:szCs w:val="16"/>
    </w:rPr>
  </w:style>
  <w:style w:type="paragraph" w:customStyle="1" w:styleId="Bodypara">
    <w:name w:val="Body para"/>
    <w:basedOn w:val="Normal"/>
    <w:rsid w:val="005241E3"/>
    <w:pPr>
      <w:overflowPunct/>
      <w:autoSpaceDE/>
      <w:autoSpaceDN/>
      <w:adjustRightInd/>
      <w:spacing w:line="480" w:lineRule="auto"/>
      <w:ind w:firstLine="720"/>
      <w:textAlignment w:val="auto"/>
    </w:pPr>
    <w:rPr>
      <w:szCs w:val="24"/>
    </w:rPr>
  </w:style>
  <w:style w:type="paragraph" w:customStyle="1" w:styleId="romannumeralpara">
    <w:name w:val="roman numeral para"/>
    <w:basedOn w:val="Normal"/>
    <w:rsid w:val="00657341"/>
    <w:pPr>
      <w:overflowPunct/>
      <w:autoSpaceDE/>
      <w:autoSpaceDN/>
      <w:adjustRightInd/>
      <w:spacing w:line="480" w:lineRule="auto"/>
      <w:ind w:left="1440" w:hanging="720"/>
      <w:textAlignment w:val="auto"/>
    </w:pPr>
    <w:rPr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zimberlin\Application%20Data\Microsoft\Templates\April%202010%20tariff%20baseline%20forma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April 2010 tariff baseline format</Template>
  <TotalTime>0</TotalTime>
  <Pages>2</Pages>
  <Words>551</Words>
  <Characters>3141</Characters>
  <Application>Microsoft Office Word</Application>
  <DocSecurity>4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York Independent System Operator, Inc</vt:lpstr>
    </vt:vector>
  </TitlesOfParts>
  <Company>Organization</Company>
  <LinksUpToDate>false</LinksUpToDate>
  <CharactersWithSpaces>3685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York Independent System Operator, Inc</dc:title>
  <dc:creator>Alex S</dc:creator>
  <cp:lastModifiedBy>TMSServices Starter</cp:lastModifiedBy>
  <cp:revision>2</cp:revision>
  <dcterms:created xsi:type="dcterms:W3CDTF">2018-09-17T10:36:00Z</dcterms:created>
  <dcterms:modified xsi:type="dcterms:W3CDTF">2018-09-17T10:36:00Z</dcterms:modified>
</cp:coreProperties>
</file>