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FE" w:rsidRDefault="00630E3F">
      <w:pPr>
        <w:pStyle w:val="Heading2"/>
      </w:pPr>
      <w:bookmarkStart w:id="0" w:name="_Toc261444373"/>
      <w:bookmarkStart w:id="1" w:name="_GoBack"/>
      <w:bookmarkEnd w:id="1"/>
      <w:r>
        <w:t>2.7</w:t>
      </w:r>
      <w:r>
        <w:tab/>
        <w:t>Billing and Payment</w:t>
      </w:r>
      <w:bookmarkEnd w:id="0"/>
    </w:p>
    <w:p w:rsidR="00DB05FE" w:rsidRDefault="00630E3F">
      <w:pPr>
        <w:pStyle w:val="Heading3"/>
        <w:ind w:right="0"/>
      </w:pPr>
      <w:bookmarkStart w:id="2" w:name="_Toc261444374"/>
      <w:r>
        <w:t>2.7.1</w:t>
      </w:r>
      <w:r>
        <w:tab/>
        <w:t>ISO as Counterparty; Right to Net or Set Off; ISO Clearing Account</w:t>
      </w:r>
      <w:bookmarkEnd w:id="2"/>
      <w:r>
        <w:t xml:space="preserve"> </w:t>
      </w:r>
    </w:p>
    <w:p w:rsidR="00DB05FE" w:rsidRDefault="00630E3F">
      <w:pPr>
        <w:pStyle w:val="Heading4"/>
      </w:pPr>
      <w:r>
        <w:t>2.7.1.1</w:t>
      </w:r>
      <w:r>
        <w:tab/>
        <w:t>ISO as Counterparty</w:t>
      </w:r>
    </w:p>
    <w:p w:rsidR="00DB05FE" w:rsidRDefault="00630E3F">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DB05FE" w:rsidRDefault="00630E3F">
      <w:pPr>
        <w:pStyle w:val="Heading4"/>
      </w:pPr>
      <w:r>
        <w:t>2.7.1.2</w:t>
      </w:r>
      <w:r>
        <w:tab/>
        <w:t xml:space="preserve">Right to Net or Set Off Obligations Owed </w:t>
      </w:r>
    </w:p>
    <w:p w:rsidR="00DB05FE" w:rsidRDefault="00630E3F">
      <w:pPr>
        <w:pStyle w:val="Bodypara"/>
      </w:pPr>
      <w:r>
        <w:t xml:space="preserve">Unless otherwise specifically set forth in this ISO OATT, if for any settlement period the ISO is required to pay any amount to the Transmission Customer and the Transmission Customer is required </w:t>
      </w:r>
      <w:r>
        <w:t>to pay any amount to the ISO under this ISO OATT or the ISO Services Tariff, such amounts shall be netted, and the party owing the greater aggregate amount shall pay to the other party the difference between the amounts owed.  Additionally, all outstanding</w:t>
      </w:r>
      <w:r>
        <w:t xml:space="preserve"> payment obligations under this ISO OATT and the ISO Services Tariff between the ISO and the Transmission Customer may be netted, offset, set off, or recouped, and payment shall be owed as set forth above.</w:t>
      </w:r>
    </w:p>
    <w:p w:rsidR="00DB05FE" w:rsidRDefault="00630E3F">
      <w:pPr>
        <w:pStyle w:val="Heading4"/>
      </w:pPr>
      <w:r>
        <w:t>2.7.1.3</w:t>
      </w:r>
      <w:r>
        <w:tab/>
        <w:t>ISO Clearing Account</w:t>
      </w:r>
    </w:p>
    <w:p w:rsidR="00DB05FE" w:rsidRDefault="00630E3F">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DB05FE" w:rsidRDefault="00630E3F">
      <w:pPr>
        <w:pStyle w:val="Bodypara"/>
      </w:pPr>
      <w:bookmarkStart w:id="3" w:name="OLE_LINK1"/>
      <w:bookmarkEnd w:id="3"/>
      <w:r>
        <w:t xml:space="preserve">The funds held by the ISO in the ISO Clearing Account shall not be commingled with funds held by the ISO in any other ISO accounts.    </w:t>
      </w:r>
    </w:p>
    <w:p w:rsidR="00DB05FE" w:rsidRDefault="00630E3F">
      <w:pPr>
        <w:pStyle w:val="Heading4"/>
      </w:pPr>
      <w:r>
        <w:lastRenderedPageBreak/>
        <w:t>2.7.1.4</w:t>
      </w:r>
      <w:r>
        <w:tab/>
        <w:t>ISO Liability for Payment</w:t>
      </w:r>
    </w:p>
    <w:p w:rsidR="00DB05FE" w:rsidRDefault="00630E3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DB05FE" w:rsidRDefault="00630E3F">
      <w:pPr>
        <w:pStyle w:val="Heading3"/>
      </w:pPr>
      <w:bookmarkStart w:id="4" w:name="_Toc261444375"/>
      <w:r>
        <w:t>2.7.2</w:t>
      </w:r>
      <w:r>
        <w:tab/>
        <w:t>Determination and Payment of Charges Associated with Transmission Service</w:t>
      </w:r>
      <w:bookmarkEnd w:id="4"/>
    </w:p>
    <w:p w:rsidR="00DB05FE" w:rsidRDefault="00630E3F">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DB05FE" w:rsidRDefault="00630E3F">
      <w:pPr>
        <w:pStyle w:val="Heading4"/>
      </w:pPr>
      <w:bookmarkStart w:id="5" w:name="_Toc261444376"/>
      <w:r>
        <w:t>2.7.2.1</w:t>
      </w:r>
      <w:r>
        <w:tab/>
        <w:t xml:space="preserve">Transmission Service Charge </w:t>
      </w:r>
      <w:r>
        <w:noBreakHyphen/>
        <w:t xml:space="preserve"> General Applicability</w:t>
      </w:r>
      <w:bookmarkEnd w:id="5"/>
    </w:p>
    <w:p w:rsidR="00DB05FE" w:rsidRDefault="00630E3F">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DB05FE" w:rsidRDefault="00630E3F">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DB05FE" w:rsidRDefault="00630E3F">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DB05FE" w:rsidRDefault="00630E3F">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DB05FE" w:rsidRDefault="00630E3F">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DB05FE" w:rsidRDefault="00630E3F">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DB05FE" w:rsidRDefault="00630E3F">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and the applicable Transmission Owner(s) of the TSC charge.  The TSC will be payable by the Transmission Customer directly to the Transmission Owner(s).</w:t>
      </w:r>
    </w:p>
    <w:p w:rsidR="00DB05FE" w:rsidRDefault="00630E3F">
      <w:pPr>
        <w:pStyle w:val="romannumeralpara"/>
        <w:rPr>
          <w:szCs w:val="24"/>
        </w:rPr>
      </w:pPr>
      <w:r>
        <w:rPr>
          <w:b/>
          <w:szCs w:val="24"/>
        </w:rPr>
        <w:t>2.7.2.1.5</w:t>
      </w:r>
      <w:r>
        <w:rPr>
          <w:b/>
          <w:szCs w:val="24"/>
        </w:rPr>
        <w:tab/>
        <w:t xml:space="preserve">Payable by Energy Storage Resources: </w:t>
      </w:r>
      <w:r>
        <w:rPr>
          <w:szCs w:val="24"/>
        </w:rPr>
        <w:t>Energy</w:t>
      </w:r>
      <w:r>
        <w:rPr>
          <w:b/>
          <w:szCs w:val="24"/>
        </w:rPr>
        <w:t xml:space="preserve"> </w:t>
      </w:r>
      <w:r>
        <w:rPr>
          <w:szCs w:val="24"/>
        </w:rPr>
        <w:t>Storage Resourc</w:t>
      </w:r>
      <w:r>
        <w:rPr>
          <w:szCs w:val="24"/>
        </w:rPr>
        <w:t>es will pay a TSC directly to the Transmission Owner in whose Transmission District the Energy Storage Resource is located for Actual Energy Withdrawals by the Energy Storage Resource when it is not providing a service.  However, an Energy Storage Resource</w:t>
      </w:r>
      <w:r>
        <w:rPr>
          <w:szCs w:val="24"/>
        </w:rPr>
        <w:t xml:space="preserve"> that participates as a Co-located Storage Resource will only pay a TSC for net Actual Energy Withdrawals by the combined Co-located Storage Resources.  An Energy Storage Resource that participates as a Co-located Storage Resource will not pay a TSC when i</w:t>
      </w:r>
      <w:r>
        <w:rPr>
          <w:szCs w:val="24"/>
        </w:rPr>
        <w:t>t receives charging Energy from its co-located Intermittent Power Resource behind the Co-located Storage Resources’ shared Point of Injection/Point of Withdrawal.</w:t>
      </w:r>
    </w:p>
    <w:p w:rsidR="00DB05FE" w:rsidRDefault="00630E3F">
      <w:pPr>
        <w:pStyle w:val="romannumeralpara"/>
        <w:ind w:firstLine="720"/>
        <w:rPr>
          <w:szCs w:val="24"/>
        </w:rPr>
      </w:pPr>
      <w:r>
        <w:rPr>
          <w:szCs w:val="24"/>
        </w:rPr>
        <w:t>For purposes of this Section 2.7.2.1.5, an Energy Storage Resource is providing a “service” w</w:t>
      </w:r>
      <w:r>
        <w:rPr>
          <w:szCs w:val="24"/>
        </w:rPr>
        <w:t>hen it is withdrawing Energy if it also: (1) receives a Real-Time Market schedule for Operating Reserves; or (2) receives a Real-Time Market schedule for Regulation Service; or (3) is a qualified Supplier of Voltage Support Service to the ISO in accordance</w:t>
      </w:r>
      <w:r>
        <w:rPr>
          <w:szCs w:val="24"/>
        </w:rPr>
        <w:t xml:space="preserve"> with Section 15.2 of the ISO Services Tariff; or (4) is dispatched by the ISO as Out-of-Merit to meet NYCA or local system reliability in the same hour.  </w:t>
      </w:r>
    </w:p>
    <w:p w:rsidR="00DB05FE" w:rsidRDefault="00630E3F">
      <w:pPr>
        <w:pStyle w:val="romannumeralpara"/>
        <w:ind w:firstLine="720"/>
        <w:rPr>
          <w:szCs w:val="24"/>
        </w:rPr>
      </w:pPr>
      <w:r>
        <w:rPr>
          <w:szCs w:val="24"/>
        </w:rPr>
        <w:t>An Energy Storage Resource that submits Bids utilizing the Self-Committed Fixed bidding mode shall p</w:t>
      </w:r>
      <w:r>
        <w:rPr>
          <w:szCs w:val="24"/>
        </w:rPr>
        <w:t>ay a TSC for its Actual Energy Withdrawals unless the Energy Storage Resource is either: (a) </w:t>
      </w:r>
      <w:r>
        <w:rPr>
          <w:sz w:val="23"/>
          <w:szCs w:val="23"/>
        </w:rPr>
        <w:t xml:space="preserve">committed or </w:t>
      </w:r>
      <w:r>
        <w:rPr>
          <w:szCs w:val="24"/>
        </w:rPr>
        <w:t>dispatched by the ISO as Out-of-Merit to withdraw Energy in the same hour to address NYCA or local system reliability concerns, or (b) a qualified Sup</w:t>
      </w:r>
      <w:r>
        <w:rPr>
          <w:szCs w:val="24"/>
        </w:rPr>
        <w:t>plier of Voltage Support Service to the ISO in accordance with Section 15.2 of the ISO Services Tariff.</w:t>
      </w:r>
    </w:p>
    <w:p w:rsidR="00DB05FE" w:rsidRDefault="00630E3F">
      <w:pPr>
        <w:pStyle w:val="romannumeralpara"/>
        <w:ind w:firstLine="720"/>
        <w:rPr>
          <w:szCs w:val="24"/>
        </w:rPr>
      </w:pPr>
      <w:r>
        <w:rPr>
          <w:szCs w:val="24"/>
        </w:rPr>
        <w:t xml:space="preserve">When an Energy Storage Resource is subjected to a TSC, the TSC shall be payable regardless of whether the withdrawals are scheduled or unscheduled.  </w:t>
      </w:r>
      <w:r>
        <w:t>The</w:t>
      </w:r>
      <w:r>
        <w:t xml:space="preserve"> ISO will determine the amount of Actual Energy Withdrawals subject to the TSC charge and provide this information to both the Energy Storage Resource and the applicable Transmission Owner.  The TSC will be payable by the Energy Storage Resource directly t</w:t>
      </w:r>
      <w:r>
        <w:t>o the Transmission Owner.</w:t>
      </w:r>
    </w:p>
    <w:p w:rsidR="00DB05FE" w:rsidRDefault="00630E3F">
      <w:pPr>
        <w:pStyle w:val="Heading4"/>
      </w:pPr>
      <w:bookmarkStart w:id="6" w:name="_Toc261444377"/>
      <w:r>
        <w:t>2.7.2.2</w:t>
      </w:r>
      <w:r>
        <w:tab/>
        <w:t>Transmission Usage Charge (TUC)</w:t>
      </w:r>
      <w:bookmarkEnd w:id="6"/>
    </w:p>
    <w:p w:rsidR="00DB05FE" w:rsidRDefault="00630E3F">
      <w:pPr>
        <w:pStyle w:val="romannumeralpara"/>
      </w:pPr>
      <w:r>
        <w:rPr>
          <w:b/>
        </w:rPr>
        <w:t>2.7.2.2.1</w:t>
      </w:r>
      <w:r>
        <w:rPr>
          <w:b/>
        </w:rPr>
        <w:tab/>
        <w:t>Payable to the ISO:</w:t>
      </w:r>
      <w:r>
        <w:t xml:space="preserve">  Transmission Usage Charges include Congestion Rents and charges for Marginal Losses.  They are payable directly to the ISO.  Attachment J explains the calculation of the TUC.</w:t>
      </w:r>
    </w:p>
    <w:p w:rsidR="00DB05FE" w:rsidRDefault="00630E3F">
      <w:pPr>
        <w:pStyle w:val="romannumeralpara"/>
      </w:pPr>
      <w:r>
        <w:rPr>
          <w:b/>
        </w:rPr>
        <w:t>2.7.2.2.2</w:t>
      </w:r>
      <w:r>
        <w:tab/>
      </w:r>
      <w:r>
        <w:rPr>
          <w:b/>
        </w:rPr>
        <w:t>Payable by Transmission Customers Scheduling Transmission Service:</w:t>
      </w:r>
      <w:r>
        <w:t xml:space="preserve">  A</w:t>
      </w:r>
      <w:r>
        <w:t xml:space="preserve">ll Transmission Customers scheduling Transmission Service under Part 3 or Part 4 of this Tariff shall pay the applicable TUC charge as calculated in the Attachment J hereto.  </w:t>
      </w:r>
    </w:p>
    <w:p w:rsidR="00DB05FE" w:rsidRDefault="00630E3F">
      <w:pPr>
        <w:pStyle w:val="romannumeralpara"/>
      </w:pPr>
      <w:r>
        <w:rPr>
          <w:b/>
        </w:rPr>
        <w:t>2.7.2.2.3</w:t>
      </w:r>
      <w:r>
        <w:tab/>
      </w:r>
      <w:r>
        <w:rPr>
          <w:b/>
        </w:rPr>
        <w:t>Payable by Transmission Owners Scheduling Bilateral Transactions on</w:t>
      </w:r>
      <w:r>
        <w:t xml:space="preserve"> </w:t>
      </w:r>
      <w:r>
        <w:rPr>
          <w:b/>
        </w:rPr>
        <w:t>Be</w:t>
      </w:r>
      <w:r>
        <w:rPr>
          <w:b/>
        </w:rPr>
        <w:t>half of Bundled Retail Customers:</w:t>
      </w:r>
      <w:r>
        <w:t xml:space="preserve">  Transmission Owners scheduling Transmission Service to supply bundled retail customers shall pay the applicable TUC charge.</w:t>
      </w:r>
    </w:p>
    <w:p w:rsidR="00DB05FE" w:rsidRDefault="00630E3F">
      <w:pPr>
        <w:pStyle w:val="romannumeralpara"/>
      </w:pPr>
      <w:r>
        <w:rPr>
          <w:b/>
        </w:rPr>
        <w:t>2.7.2.2.4</w:t>
      </w:r>
      <w:r>
        <w:tab/>
      </w:r>
      <w:r>
        <w:rPr>
          <w:b/>
        </w:rPr>
        <w:t>Payable by Customers Scheduling Direct LBMP Purchases from the LBMP Market:</w:t>
      </w:r>
      <w:r>
        <w:t xml:space="preserve">  Any Custom</w:t>
      </w:r>
      <w:r>
        <w:t>er purchasing from the LBMP Market will pay the Congestion Rent and Marginal Losses charge applicable to its location.  These Congestion Rent and Marginal Losses charges will be included in the calculation of the LBMP charged by the ISO for the purchase of</w:t>
      </w:r>
      <w:r>
        <w:t xml:space="preserve"> Energy from the LBMP Market.</w:t>
      </w:r>
    </w:p>
    <w:p w:rsidR="00DB05FE" w:rsidRDefault="00630E3F">
      <w:pPr>
        <w:pStyle w:val="Heading4"/>
      </w:pPr>
      <w:bookmarkStart w:id="7" w:name="_Toc261444378"/>
      <w:r>
        <w:t>2.7.2.3</w:t>
      </w:r>
      <w:r>
        <w:tab/>
        <w:t>Ancillary Services</w:t>
      </w:r>
      <w:bookmarkEnd w:id="7"/>
    </w:p>
    <w:p w:rsidR="00DB05FE" w:rsidRDefault="00630E3F">
      <w:pPr>
        <w:pStyle w:val="romannumeralpara"/>
      </w:pPr>
      <w:r>
        <w:rPr>
          <w:b/>
        </w:rPr>
        <w:t>2.7.2.3.1</w:t>
      </w:r>
      <w:r>
        <w:rPr>
          <w:b/>
        </w:rPr>
        <w:tab/>
        <w:t>Payable to the ISO:</w:t>
      </w:r>
      <w:r>
        <w:t xml:space="preserve"> All Ancillary Services charges are payable directly to the ISO.  </w:t>
      </w:r>
    </w:p>
    <w:p w:rsidR="00DB05FE" w:rsidRDefault="00630E3F">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 described in Schedules 1 through 6.  The charges will be assessed on the basis of all Act</w:t>
      </w:r>
      <w:r>
        <w:t>ual Energy Withdrawals by the Load, regardless of whether such withdrawals are scheduled or unscheduled, and regardless of whether they are scheduled on the Load’s behalf by the LSE or by another Transmission Customer.  As explained in Schedule 1, in certa</w:t>
      </w:r>
      <w:r>
        <w:t xml:space="preserve">in circumstances the Schedule 1 charge may vary depending upon the Transmission District in which the Load is located. </w:t>
      </w:r>
    </w:p>
    <w:p w:rsidR="00DB05FE" w:rsidRDefault="00630E3F">
      <w:pPr>
        <w:pStyle w:val="romannumeralpara"/>
      </w:pPr>
      <w:r>
        <w:rPr>
          <w:b/>
        </w:rPr>
        <w:t>2.7.2.3.3</w:t>
      </w:r>
      <w:r>
        <w:rPr>
          <w:b/>
        </w:rPr>
        <w:tab/>
        <w:t>Payable by Customers Scheduling External Transactions:</w:t>
      </w:r>
      <w:r>
        <w:t xml:space="preserve">  Transmission Customers scheduling Export or Wheel</w:t>
      </w:r>
      <w:r>
        <w:noBreakHyphen/>
        <w:t>Through Transactions</w:t>
      </w:r>
      <w:r>
        <w:t xml:space="preserve"> to destinations outside the NYCA, or purchases from the LBMP Market to serve Load outside the NYCA shall pay Ancillary Services charges under Schedules 1, 2, 4, and 5 of this Tariff.  The charges will be assessed on the basis of all Scheduled Energy Withd</w:t>
      </w:r>
      <w:r>
        <w:t>rawals from the NYCA.</w:t>
      </w:r>
    </w:p>
    <w:p w:rsidR="00DB05FE" w:rsidRDefault="00630E3F">
      <w:pPr>
        <w:pStyle w:val="romannumeralpara"/>
        <w:keepNext/>
        <w:widowControl/>
      </w:pPr>
      <w:r>
        <w:rPr>
          <w:b/>
        </w:rPr>
        <w:t>2.7.2.3.4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w:t>
      </w:r>
      <w:r>
        <w:t xml:space="preserve"> charges as described in Schedules 1 to 6 based on Actual Energy Withdrawals.</w:t>
      </w:r>
    </w:p>
    <w:p w:rsidR="00DB05FE" w:rsidRDefault="00630E3F">
      <w:pPr>
        <w:pStyle w:val="Heading4"/>
      </w:pPr>
      <w:bookmarkStart w:id="8" w:name="_Toc261444379"/>
      <w:r>
        <w:t>2.7.2.4</w:t>
      </w:r>
      <w:r>
        <w:tab/>
        <w:t>NYPA Transmission Adjustment Charge (NTAC)</w:t>
      </w:r>
      <w:bookmarkEnd w:id="8"/>
      <w:r>
        <w:t xml:space="preserve">  </w:t>
      </w:r>
    </w:p>
    <w:p w:rsidR="00DB05FE" w:rsidRDefault="00630E3F">
      <w:pPr>
        <w:pStyle w:val="romannumeralpara"/>
      </w:pPr>
      <w:r>
        <w:rPr>
          <w:b/>
        </w:rPr>
        <w:t>2.7.2.4.1</w:t>
      </w:r>
      <w:r>
        <w:rPr>
          <w:b/>
        </w:rPr>
        <w:tab/>
        <w:t>Payable to the ISO:</w:t>
      </w:r>
      <w:r>
        <w:t xml:space="preserve">  NTAC charges are calculated in Attachment H.  All NTAC charges are payable to the ISO.</w:t>
      </w:r>
    </w:p>
    <w:p w:rsidR="00DB05FE" w:rsidRDefault="00630E3F">
      <w:pPr>
        <w:pStyle w:val="romannumeralpara"/>
      </w:pPr>
      <w:r>
        <w:rPr>
          <w:b/>
        </w:rPr>
        <w:t>2.7.2.4</w:t>
      </w:r>
      <w:r>
        <w:rPr>
          <w:b/>
        </w:rPr>
        <w:t>.2</w:t>
      </w:r>
      <w:r>
        <w:rPr>
          <w:b/>
        </w:rPr>
        <w:tab/>
        <w:t>Payable by LSEs Serving Load in the NYCA:</w:t>
      </w:r>
      <w:r>
        <w:t xml:space="preserve">  Each LSE serving Load in the NYCA shall pay an NTAC to the ISO based on the LSE’s Actual Energy Withdrawals.  </w:t>
      </w:r>
    </w:p>
    <w:p w:rsidR="00DB05FE" w:rsidRDefault="00630E3F">
      <w:pPr>
        <w:pStyle w:val="romannumeralpara"/>
      </w:pPr>
      <w:r>
        <w:rPr>
          <w:b/>
        </w:rPr>
        <w:t>2.7.2.4.3</w:t>
      </w:r>
      <w:r>
        <w:rPr>
          <w:b/>
        </w:rPr>
        <w:tab/>
        <w:t>Payable by Transmission Customers Scheduling Export or Wheel</w:t>
      </w:r>
      <w:r>
        <w:rPr>
          <w:b/>
        </w:rPr>
        <w:noBreakHyphen/>
        <w:t>Through Transactions:</w:t>
      </w:r>
      <w:r>
        <w:t xml:space="preserve">  Trans</w:t>
      </w:r>
      <w:r>
        <w:t>mission Customers scheduling Export or Wheel</w:t>
      </w:r>
      <w:r>
        <w:noBreakHyphen/>
        <w:t>Through Transactions shall pay an NTAC based on their Transaction schedules.  The NTAC charge shall not apply to Exports and Wheel-Through Transactions scheduled with the ISO to destinations within the New Engla</w:t>
      </w:r>
      <w:r>
        <w:t>nd Control Area provided that the conditions listed in Section 2.7.2.1.4 of this Tariff are satisfied.</w:t>
      </w:r>
    </w:p>
    <w:p w:rsidR="00DB05FE" w:rsidRDefault="00630E3F">
      <w:pPr>
        <w:pStyle w:val="romannumeralpara"/>
        <w:rPr>
          <w:szCs w:val="24"/>
        </w:rPr>
      </w:pPr>
      <w:r>
        <w:rPr>
          <w:b/>
          <w:szCs w:val="24"/>
        </w:rPr>
        <w:t>2.7.2.4.4</w:t>
      </w:r>
      <w:r>
        <w:rPr>
          <w:b/>
          <w:szCs w:val="24"/>
        </w:rPr>
        <w:tab/>
        <w:t xml:space="preserve">Payable by Energy Storage Resources: </w:t>
      </w:r>
      <w:r>
        <w:rPr>
          <w:szCs w:val="24"/>
        </w:rPr>
        <w:t>Each Energy</w:t>
      </w:r>
      <w:r>
        <w:rPr>
          <w:b/>
          <w:szCs w:val="24"/>
        </w:rPr>
        <w:t xml:space="preserve"> </w:t>
      </w:r>
      <w:r>
        <w:rPr>
          <w:szCs w:val="24"/>
        </w:rPr>
        <w:t>Storage Resource in the NYCA shall pay an NTAC to the ISO based on the Energy Storage Resource</w:t>
      </w:r>
      <w:r>
        <w:rPr>
          <w:szCs w:val="24"/>
        </w:rPr>
        <w:t>’s Actual Energy Withdrawals when the Energy Storage Resource is not providing a service.  However, an Energy Storage Resource that participates as a Co-located Storage Resource will only pay an NTAC for net Actual Energy Withdrawals by the combined Co-loc</w:t>
      </w:r>
      <w:r>
        <w:rPr>
          <w:szCs w:val="24"/>
        </w:rPr>
        <w:t>ated Storage Resources.  An Energy Storage Resource that participates as a Co-located Storage Resource will not pay an NTAC when it receives charging Energy from its co-located Intermittent Power Resource behind the Co-located Storage Resources’ shared Poi</w:t>
      </w:r>
      <w:r>
        <w:rPr>
          <w:szCs w:val="24"/>
        </w:rPr>
        <w:t>nt of Injection/Point of Withdrawal.</w:t>
      </w:r>
    </w:p>
    <w:p w:rsidR="00DB05FE" w:rsidRDefault="00630E3F">
      <w:pPr>
        <w:pStyle w:val="romannumeralpara"/>
        <w:ind w:firstLine="720"/>
        <w:rPr>
          <w:szCs w:val="24"/>
        </w:rPr>
      </w:pPr>
      <w:r>
        <w:rPr>
          <w:szCs w:val="24"/>
        </w:rPr>
        <w:t>For purposes of this Section 2.7.2.4.4, an Energy Storage Resource is providing a “service” when it is withdrawing Energy if it also: (1) receives a Real-Time Market schedule for Operating Reserves; or (2) receives a Re</w:t>
      </w:r>
      <w:r>
        <w:rPr>
          <w:szCs w:val="24"/>
        </w:rPr>
        <w:t>al-Time Market schedule for Regulation Service; or (3) is a qualified Supplier of Voltage Support Service to the ISO in accordance with Section 15.2 of the ISO Services Tariff; or (4) is dispatched by the ISO as Out-of-Merit to meet NYCA or local system re</w:t>
      </w:r>
      <w:r>
        <w:rPr>
          <w:szCs w:val="24"/>
        </w:rPr>
        <w:t xml:space="preserve">liability in the same hour.  </w:t>
      </w:r>
    </w:p>
    <w:p w:rsidR="00DB05FE" w:rsidRDefault="00630E3F">
      <w:pPr>
        <w:pStyle w:val="romannumeralpara"/>
        <w:ind w:firstLine="720"/>
      </w:pPr>
      <w:r>
        <w:rPr>
          <w:szCs w:val="24"/>
        </w:rPr>
        <w:t>An Energy Storage Resource that submits Bids utilizing the Self-Committed Fixed bidding mode shall pay an NTAC for its Actual Energy Withdrawals unless the Energy Storage Resource is either: (a) </w:t>
      </w:r>
      <w:r>
        <w:rPr>
          <w:sz w:val="23"/>
          <w:szCs w:val="23"/>
        </w:rPr>
        <w:t xml:space="preserve">committed or </w:t>
      </w:r>
      <w:r>
        <w:rPr>
          <w:szCs w:val="24"/>
        </w:rPr>
        <w:t xml:space="preserve">dispatched by the </w:t>
      </w:r>
      <w:r>
        <w:rPr>
          <w:szCs w:val="24"/>
        </w:rPr>
        <w:t>ISO as Out-of-Merit to withdraw Energy in the same hour to address NYCA or local system reliability concerns, or (b) a qualified Supplier of Voltage Support Service to the ISO in accordance with Section 15.2 of the ISO Services Tariff.</w:t>
      </w:r>
    </w:p>
    <w:p w:rsidR="00DB05FE" w:rsidRDefault="00630E3F">
      <w:pPr>
        <w:pStyle w:val="Heading4"/>
      </w:pPr>
      <w:bookmarkStart w:id="9" w:name="_Toc261444380"/>
      <w:bookmarkStart w:id="10" w:name="OLE_LINK2"/>
      <w:bookmarkStart w:id="11" w:name="OLE_LINK3"/>
      <w:r>
        <w:t>2.7.2.5</w:t>
      </w:r>
      <w:r>
        <w:tab/>
        <w:t xml:space="preserve">Reliability </w:t>
      </w:r>
      <w:r>
        <w:t>Facilities Charge (“RFC”) and LIPA RFC</w:t>
      </w:r>
      <w:bookmarkEnd w:id="9"/>
    </w:p>
    <w:p w:rsidR="00DB05FE" w:rsidRDefault="00630E3F">
      <w:pPr>
        <w:pStyle w:val="subhead"/>
        <w:rPr>
          <w:b w:val="0"/>
          <w:bCs/>
        </w:rPr>
      </w:pPr>
      <w:r>
        <w:t>2.7.2.5.1</w:t>
      </w:r>
      <w:r>
        <w:rPr>
          <w:bCs/>
        </w:rPr>
        <w:tab/>
      </w:r>
      <w:r>
        <w:t>Payable</w:t>
      </w:r>
      <w:r>
        <w:rPr>
          <w:bCs/>
        </w:rPr>
        <w:t xml:space="preserve"> through the ISO: </w:t>
      </w:r>
      <w:r w:rsidRPr="002D6223">
        <w:rPr>
          <w:b w:val="0"/>
          <w:bCs/>
        </w:rPr>
        <w:t>All RFC and LIPA RFC charges are calculated, collected and payable to the ISO pursuant to Rate Schedule 10.</w:t>
      </w:r>
    </w:p>
    <w:p w:rsidR="00C8293E" w:rsidRDefault="00630E3F">
      <w:pPr>
        <w:pStyle w:val="subhead"/>
      </w:pPr>
      <w:r>
        <w:t>2.7.2.6</w:t>
      </w:r>
      <w:r>
        <w:tab/>
        <w:t>CLCPA Facilities Charge (“CFC”) and LIPA CFC</w:t>
      </w:r>
    </w:p>
    <w:p w:rsidR="00C8293E" w:rsidRDefault="00630E3F" w:rsidP="00C8293E">
      <w:pPr>
        <w:pStyle w:val="subhead"/>
        <w:rPr>
          <w:b w:val="0"/>
          <w:bCs/>
        </w:rPr>
      </w:pPr>
      <w:r>
        <w:t>2.7.2.6.1</w:t>
      </w:r>
      <w:r>
        <w:tab/>
        <w:t xml:space="preserve">Payable to </w:t>
      </w:r>
      <w:r>
        <w:t xml:space="preserve">the ISO: </w:t>
      </w:r>
      <w:r>
        <w:rPr>
          <w:b w:val="0"/>
          <w:bCs/>
        </w:rPr>
        <w:t>All CFC and LIPA CFC charges are calculated, collected, and payable to the ISO in accordance with the requirements of Rate Schedule 1</w:t>
      </w:r>
      <w:r>
        <w:rPr>
          <w:b w:val="0"/>
          <w:bCs/>
        </w:rPr>
        <w:t>9</w:t>
      </w:r>
      <w:r>
        <w:rPr>
          <w:b w:val="0"/>
          <w:bCs/>
        </w:rPr>
        <w:t>.</w:t>
      </w:r>
    </w:p>
    <w:p w:rsidR="00C8293E" w:rsidRPr="001503DB" w:rsidRDefault="00630E3F" w:rsidP="00C8293E">
      <w:pPr>
        <w:pStyle w:val="subhead"/>
        <w:rPr>
          <w:b w:val="0"/>
          <w:bCs/>
        </w:rPr>
      </w:pPr>
      <w:r>
        <w:t>2.7.2.6.2</w:t>
      </w:r>
      <w:r>
        <w:tab/>
        <w:t xml:space="preserve">Payable </w:t>
      </w:r>
      <w:r w:rsidRPr="00C8293E">
        <w:t>by LSEs Serving Load in the NYCA</w:t>
      </w:r>
      <w:r>
        <w:t>:</w:t>
      </w:r>
      <w:r w:rsidRPr="001503DB">
        <w:rPr>
          <w:b w:val="0"/>
          <w:bCs/>
        </w:rPr>
        <w:t xml:space="preserve"> </w:t>
      </w:r>
      <w:r w:rsidRPr="001503DB">
        <w:rPr>
          <w:b w:val="0"/>
          <w:bCs/>
        </w:rPr>
        <w:t xml:space="preserve">In </w:t>
      </w:r>
      <w:r>
        <w:rPr>
          <w:b w:val="0"/>
          <w:bCs/>
        </w:rPr>
        <w:t>accordance with the requirements of Rate Schedule 1</w:t>
      </w:r>
      <w:r>
        <w:rPr>
          <w:b w:val="0"/>
          <w:bCs/>
        </w:rPr>
        <w:t>9</w:t>
      </w:r>
      <w:r>
        <w:rPr>
          <w:b w:val="0"/>
          <w:bCs/>
        </w:rPr>
        <w:t>, ea</w:t>
      </w:r>
      <w:r>
        <w:rPr>
          <w:b w:val="0"/>
          <w:bCs/>
        </w:rPr>
        <w:t>ch LSE</w:t>
      </w:r>
      <w:r>
        <w:rPr>
          <w:b w:val="0"/>
          <w:bCs/>
        </w:rPr>
        <w:t xml:space="preserve"> serving Load in the NYCA shall pay CFC and LIPA CFC</w:t>
      </w:r>
      <w:r>
        <w:rPr>
          <w:b w:val="0"/>
          <w:bCs/>
        </w:rPr>
        <w:t xml:space="preserve"> charges.</w:t>
      </w:r>
      <w:r>
        <w:rPr>
          <w:b w:val="0"/>
          <w:bCs/>
        </w:rPr>
        <w:t xml:space="preserve"> </w:t>
      </w:r>
    </w:p>
    <w:p w:rsidR="00DB05FE" w:rsidRDefault="00630E3F">
      <w:pPr>
        <w:pStyle w:val="Heading3"/>
      </w:pPr>
      <w:bookmarkStart w:id="12" w:name="_Toc261444381"/>
      <w:bookmarkEnd w:id="10"/>
      <w:bookmarkEnd w:id="11"/>
      <w:r>
        <w:t>2.7.3</w:t>
      </w:r>
      <w:r>
        <w:tab/>
        <w:t>Billing and Payment</w:t>
      </w:r>
      <w:bookmarkEnd w:id="12"/>
      <w:r>
        <w:t xml:space="preserve"> Procedures</w:t>
      </w:r>
    </w:p>
    <w:p w:rsidR="00DB05FE" w:rsidRDefault="00630E3F">
      <w:pPr>
        <w:pStyle w:val="Bodypara"/>
        <w:tabs>
          <w:tab w:val="left" w:pos="1800"/>
          <w:tab w:val="left" w:pos="2520"/>
        </w:tabs>
      </w:pPr>
      <w:r>
        <w:t xml:space="preserve">For purposes of this Section 2.7.3: </w:t>
      </w:r>
    </w:p>
    <w:p w:rsidR="00DB05FE" w:rsidRDefault="00630E3F">
      <w:pPr>
        <w:pStyle w:val="Bodypara"/>
        <w:tabs>
          <w:tab w:val="left" w:pos="1800"/>
          <w:tab w:val="left" w:pos="2520"/>
        </w:tabs>
        <w:rPr>
          <w:bCs/>
          <w:color w:val="000000"/>
        </w:rPr>
      </w:pPr>
      <w:r>
        <w:t xml:space="preserve">(i) </w:t>
      </w:r>
      <w:r>
        <w:rPr>
          <w:bCs/>
          <w:color w:val="000000"/>
        </w:rPr>
        <w:t>the term “Complete Week Settlement Period” shall mean the seven day</w:t>
      </w:r>
      <w:r>
        <w:rPr>
          <w:bCs/>
          <w:color w:val="000000"/>
        </w:rPr>
        <w:t xml:space="preserve"> period between Saturday and Friday for which all of the days are in the same month; and</w:t>
      </w:r>
    </w:p>
    <w:p w:rsidR="00DB05FE" w:rsidRDefault="00630E3F">
      <w:pPr>
        <w:spacing w:line="480" w:lineRule="auto"/>
        <w:ind w:firstLine="720"/>
      </w:pPr>
      <w:r>
        <w:rPr>
          <w:bCs/>
          <w:color w:val="000000"/>
        </w:rPr>
        <w:t>(ii) the term “Stub Week Settlement Period” shall mean the six or fewer day period between Saturday and Friday for which all of the days are in the same month.</w:t>
      </w:r>
    </w:p>
    <w:p w:rsidR="00DB05FE" w:rsidRDefault="00630E3F">
      <w:pPr>
        <w:pStyle w:val="Heading4"/>
      </w:pPr>
      <w:bookmarkStart w:id="13" w:name="_Toc261444382"/>
      <w:r>
        <w:t>2.7.3.1</w:t>
      </w:r>
      <w:r>
        <w:tab/>
        <w:t>Billing and Settlement Information</w:t>
      </w:r>
      <w:bookmarkEnd w:id="13"/>
    </w:p>
    <w:p w:rsidR="00DB05FE" w:rsidRDefault="00630E3F">
      <w:pPr>
        <w:pStyle w:val="Bodypara"/>
      </w:pPr>
      <w:r>
        <w:t>The ISO shall provide settlement and billing information to Transmission Customers.  The ISO shall inform each Transmission Customer that provides or is provided services furnished under this ISO OATT or the ISO Services</w:t>
      </w:r>
      <w:r>
        <w:t xml:space="preserve"> Tariff of the payments due for such service.  Such information shall be made electronically available to the Transmission Customer.</w:t>
      </w:r>
    </w:p>
    <w:p w:rsidR="00DB05FE" w:rsidRDefault="00630E3F">
      <w:pPr>
        <w:pStyle w:val="Heading4"/>
      </w:pPr>
      <w:r>
        <w:t>2.7.3.2</w:t>
      </w:r>
      <w:r>
        <w:tab/>
        <w:t>Invoicing and Payment</w:t>
      </w:r>
    </w:p>
    <w:p w:rsidR="00DB05FE" w:rsidRDefault="00630E3F">
      <w:pPr>
        <w:pStyle w:val="subhead"/>
      </w:pPr>
      <w:r>
        <w:t>2.7.3.2.1</w:t>
      </w:r>
      <w:r>
        <w:tab/>
        <w:t xml:space="preserve">Weekly Invoice </w:t>
      </w:r>
    </w:p>
    <w:p w:rsidR="00DB05FE" w:rsidRDefault="00630E3F">
      <w:pPr>
        <w:pStyle w:val="Bodypara"/>
        <w:keepNext/>
        <w:rPr>
          <w:bCs/>
          <w:color w:val="000000"/>
        </w:rPr>
      </w:pPr>
      <w:r>
        <w:rPr>
          <w:bCs/>
          <w:color w:val="000000"/>
        </w:rPr>
        <w:t>On or about each Wednesday, as set forth in ISO Procedures, the ISO</w:t>
      </w:r>
      <w:r>
        <w:rPr>
          <w:bCs/>
          <w:color w:val="000000"/>
        </w:rPr>
        <w:t xml:space="preserve"> shall submit an invoice to a </w:t>
      </w:r>
      <w:r>
        <w:t>Transmission</w:t>
      </w:r>
      <w:r>
        <w:rPr>
          <w:bCs/>
          <w:color w:val="000000"/>
        </w:rPr>
        <w:t xml:space="preserve"> Customer that indicates the net amount owed by or owed to the Transmission Customer for those services furnished under this ISO OATT or the ISO Services Tariff for the previous Complete Week Settlement Period or S</w:t>
      </w:r>
      <w:r>
        <w:rPr>
          <w:bCs/>
          <w:color w:val="000000"/>
        </w:rPr>
        <w:t xml:space="preserve">tub Week Settlement Period that are designated as Weekly Invoice Components in ISO Procedures; </w:t>
      </w:r>
      <w:r>
        <w:rPr>
          <w:bCs/>
          <w:i/>
          <w:color w:val="000000"/>
        </w:rPr>
        <w:t>provided, however</w:t>
      </w:r>
      <w:r>
        <w:rPr>
          <w:bCs/>
          <w:color w:val="000000"/>
        </w:rPr>
        <w:t>, that the net amount owed by or owed to the Transmission Customer for those services furnished for a Stub Week Settlement Period that concludes</w:t>
      </w:r>
      <w:r>
        <w:rPr>
          <w:bCs/>
          <w:color w:val="000000"/>
        </w:rPr>
        <w:t xml:space="preserve"> a month shall be included in the next monthly invoice issued in accordance with Section 2.7.3.2.2 of this ISO OATT. </w:t>
      </w:r>
    </w:p>
    <w:p w:rsidR="00DB05FE" w:rsidRDefault="00630E3F">
      <w:pPr>
        <w:pStyle w:val="subhead"/>
      </w:pPr>
      <w:r>
        <w:t>2.7.3.2.2</w:t>
      </w:r>
      <w:r>
        <w:tab/>
        <w:t>Monthly Invoice</w:t>
      </w:r>
    </w:p>
    <w:p w:rsidR="00DB05FE" w:rsidRDefault="00630E3F">
      <w:pPr>
        <w:pStyle w:val="Bodypara"/>
        <w:tabs>
          <w:tab w:val="left" w:pos="1800"/>
          <w:tab w:val="left" w:pos="2520"/>
        </w:tabs>
        <w:rPr>
          <w:bCs/>
          <w:color w:val="000000"/>
        </w:rPr>
      </w:pPr>
      <w:r>
        <w:rPr>
          <w:bCs/>
          <w:color w:val="000000"/>
        </w:rPr>
        <w:t>Within five (5) business days after the first day of each month, the ISO shall submit an invoice to a Transmissi</w:t>
      </w:r>
      <w:r>
        <w:rPr>
          <w:bCs/>
          <w:color w:val="000000"/>
        </w:rPr>
        <w:t>on Customer that indicates the net amount owed by or owed to the Transmission Customer:</w:t>
      </w:r>
    </w:p>
    <w:p w:rsidR="00DB05FE" w:rsidRDefault="00630E3F">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w:t>
      </w:r>
      <w:r>
        <w:t xml:space="preserve"> as Weekly Invoice Components in ISO Procedures;</w:t>
      </w:r>
    </w:p>
    <w:p w:rsidR="00DB05FE" w:rsidRDefault="00630E3F">
      <w:pPr>
        <w:pStyle w:val="romannumeralpara"/>
        <w:rPr>
          <w:bCs/>
          <w:color w:val="000000"/>
        </w:rPr>
      </w:pPr>
      <w:r>
        <w:rPr>
          <w:bCs/>
          <w:color w:val="000000"/>
        </w:rPr>
        <w:t xml:space="preserve">(ii)  </w:t>
      </w:r>
      <w:r>
        <w:rPr>
          <w:bCs/>
          <w:color w:val="000000"/>
        </w:rPr>
        <w:tab/>
      </w:r>
      <w:r>
        <w:t>f</w:t>
      </w:r>
      <w:r>
        <w:rPr>
          <w:bCs/>
          <w:color w:val="000000"/>
        </w:rPr>
        <w:t>or any adjustments to amounts contained in the weekly invoices issued in the previous month pursuant to Section 2.7.3.2.1 of this ISO OATT;</w:t>
      </w:r>
    </w:p>
    <w:p w:rsidR="00DB05FE" w:rsidRDefault="00630E3F">
      <w:pPr>
        <w:pStyle w:val="romannumeralpara"/>
        <w:rPr>
          <w:bCs/>
          <w:color w:val="000000"/>
        </w:rPr>
      </w:pPr>
      <w:r>
        <w:rPr>
          <w:bCs/>
          <w:color w:val="000000"/>
        </w:rPr>
        <w:t xml:space="preserve">(iii) </w:t>
      </w:r>
      <w:r>
        <w:rPr>
          <w:bCs/>
          <w:color w:val="000000"/>
        </w:rPr>
        <w:tab/>
        <w:t xml:space="preserve">for those services furnished under this ISO OATT or </w:t>
      </w:r>
      <w:r>
        <w:rPr>
          <w:bCs/>
          <w:color w:val="000000"/>
        </w:rPr>
        <w:t>the ISO Services Tariff in the previous month that are designated as Monthly Invoice Components in ISO Procedures;</w:t>
      </w:r>
    </w:p>
    <w:p w:rsidR="00DB05FE" w:rsidRDefault="00630E3F">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w:t>
      </w:r>
      <w:r>
        <w:rPr>
          <w:bCs/>
          <w:color w:val="000000"/>
        </w:rPr>
        <w:t>ys prior to the issuance of this invoice; and</w:t>
      </w:r>
    </w:p>
    <w:p w:rsidR="00DB05FE" w:rsidRDefault="00630E3F">
      <w:pPr>
        <w:pStyle w:val="romannumeralpara"/>
      </w:pPr>
      <w:r>
        <w:t xml:space="preserve">(v) </w:t>
      </w:r>
      <w:r>
        <w:tab/>
        <w:t xml:space="preserve">for any adjustments to amounts contained in a previously issued monthly invoice as </w:t>
      </w:r>
      <w:r>
        <w:rPr>
          <w:bCs/>
          <w:color w:val="000000"/>
        </w:rPr>
        <w:t>part</w:t>
      </w:r>
      <w:r>
        <w:t xml:space="preserve"> of the Close-Out Settlement of that monthly invoice pursuant to Section 2.7.4.2.2 of this ISO OATT.</w:t>
      </w:r>
    </w:p>
    <w:p w:rsidR="00DB05FE" w:rsidRDefault="00630E3F">
      <w:pPr>
        <w:pStyle w:val="subhead"/>
      </w:pPr>
      <w:r>
        <w:t>2.7.3.2.3</w:t>
      </w:r>
      <w:r>
        <w:tab/>
        <w:t>Payment</w:t>
      </w:r>
      <w:r>
        <w:t xml:space="preserve"> by the Transmission Customer</w:t>
      </w:r>
    </w:p>
    <w:p w:rsidR="00DB05FE" w:rsidRDefault="00630E3F">
      <w:pPr>
        <w:pStyle w:val="Bodypara"/>
      </w:pPr>
      <w:r>
        <w:t>A Transmission Customer owing payments on net in its weekly invoice or its monthly invoice shall make those payments to the ISO through the ISO Clearing Account by the second business day after the date on which the weekly inv</w:t>
      </w:r>
      <w:r>
        <w:t xml:space="preserve">oice or monthly invoice is rendered by the ISO unless otherwise specified in ISO Procedures.  </w:t>
      </w:r>
      <w:r>
        <w:rPr>
          <w:bCs/>
          <w:color w:val="000000"/>
        </w:rPr>
        <w:t>In accordance with Section 2.7.1.2 of this ISO OATT, the ISO may net any overpayment by the Transmission Customer for past estimated charges against current amoun</w:t>
      </w:r>
      <w:r>
        <w:rPr>
          <w:bCs/>
          <w:color w:val="000000"/>
        </w:rPr>
        <w:t xml:space="preserve">ts due from the Transmission Customer or, if the Transmission Customer has no outstanding amounts due, the ISO may pay to the Transmission Customer an amount equal to the </w:t>
      </w:r>
      <w:r>
        <w:t>overpayment</w:t>
      </w:r>
      <w:r>
        <w:rPr>
          <w:bCs/>
          <w:color w:val="000000"/>
        </w:rPr>
        <w:t xml:space="preserve">. </w:t>
      </w:r>
    </w:p>
    <w:p w:rsidR="00DB05FE" w:rsidRDefault="00630E3F">
      <w:pPr>
        <w:pStyle w:val="subhead"/>
      </w:pPr>
      <w:r>
        <w:t>2.7.3.2.4</w:t>
      </w:r>
      <w:r>
        <w:tab/>
        <w:t>Payment by the ISO</w:t>
      </w:r>
    </w:p>
    <w:p w:rsidR="00DB05FE" w:rsidRDefault="00630E3F">
      <w:pPr>
        <w:pStyle w:val="Bodypara"/>
        <w:keepNext/>
      </w:pPr>
      <w:r>
        <w:rPr>
          <w:bCs/>
          <w:color w:val="000000"/>
        </w:rPr>
        <w:t>Except as provided in Section 2.7.1.4 of t</w:t>
      </w:r>
      <w:r>
        <w:rPr>
          <w:bCs/>
          <w:color w:val="000000"/>
        </w:rPr>
        <w:t xml:space="preserve">his ISO OATT, </w:t>
      </w:r>
      <w:r>
        <w:t xml:space="preserve">the ISO shall pay all net monies owed to a Transmission Customer in its weekly invoice or its monthly invoice from the ISO Clearing Account by the second business day after the due date for Transmission Customer payments set forth in Section </w:t>
      </w:r>
      <w:r>
        <w:t xml:space="preserve">2.7.3.2.3 of this ISO OATT unless otherwise specified in ISO Procedures. </w:t>
      </w:r>
    </w:p>
    <w:p w:rsidR="00DB05FE" w:rsidRDefault="00630E3F">
      <w:pPr>
        <w:pStyle w:val="Heading4"/>
      </w:pPr>
      <w:r>
        <w:t>2.7.3.3</w:t>
      </w:r>
      <w:r>
        <w:tab/>
        <w:t>Use of Estimated Data and Meter Data</w:t>
      </w:r>
    </w:p>
    <w:p w:rsidR="00DB05FE" w:rsidRDefault="00630E3F">
      <w:pPr>
        <w:pStyle w:val="Bodypara"/>
      </w:pPr>
      <w:r>
        <w:t>The ISO may use estimates, including estimated meter data, in whole or in part to settle a weekly or monthly invoice in accordance with I</w:t>
      </w:r>
      <w:r>
        <w:t>SO Procedures.  The ISO shall use meter data submitted to the ISO in accordance with Section 3.16 of this ISO OATT.  Any charges based on estimates shall be subject to true</w:t>
      </w:r>
      <w:r>
        <w:noBreakHyphen/>
        <w:t>up in invoices subsequently issued by the ISO after the ISO has obtained the requis</w:t>
      </w:r>
      <w:r>
        <w:t xml:space="preserve">ite actual information, provided that the ISO shall only true-up charges based on meter data prior to the deadline for finalizing the meter data established in Section 2.7.4.2 of this ISO OATT.  </w:t>
      </w:r>
      <w:r>
        <w:rPr>
          <w:bCs/>
          <w:color w:val="000000"/>
        </w:rPr>
        <w:t>A trued-up charge shall include interest amounts calculated a</w:t>
      </w:r>
      <w:r>
        <w:rPr>
          <w:bCs/>
          <w:color w:val="000000"/>
        </w:rPr>
        <w:t>t the rate set forth in Section 2.7.4 of this ISO OATT from the weekly or monthly due date for the charge until the date of payment of the trued-up amount for that charge.</w:t>
      </w:r>
    </w:p>
    <w:p w:rsidR="00DB05FE" w:rsidRDefault="00630E3F">
      <w:pPr>
        <w:pStyle w:val="Heading4"/>
      </w:pPr>
      <w:r>
        <w:t>2.7.3.4</w:t>
      </w:r>
      <w:r>
        <w:tab/>
        <w:t>Method of Payment</w:t>
      </w:r>
    </w:p>
    <w:p w:rsidR="00DB05FE" w:rsidRDefault="00630E3F">
      <w:pPr>
        <w:pStyle w:val="Bodypara"/>
      </w:pPr>
      <w:r>
        <w:t>All payments by the Transmission Customer shall be made by</w:t>
      </w:r>
      <w:r>
        <w:t xml:space="preserve"> either (i) wire transfer in immediately available funds payable to the ISO through the ISO Clearing Account or (ii) any other method set forth in ISO Procedures.  All payments by the ISO shall be made either (i) by wire transfer in immediately available f</w:t>
      </w:r>
      <w:r>
        <w:t xml:space="preserve">unds payable to the Transmission Customer by the ISO through the ISO Clearing Account or (ii) any other method set forth in ISO Procedures. </w:t>
      </w:r>
    </w:p>
    <w:p w:rsidR="00DB05FE" w:rsidRDefault="00630E3F">
      <w:pPr>
        <w:pStyle w:val="Heading4"/>
      </w:pPr>
      <w:bookmarkStart w:id="14" w:name="_Toc261444385"/>
      <w:r>
        <w:t>2.7.3.5</w:t>
      </w:r>
      <w:r>
        <w:tab/>
        <w:t>Verification of Payments</w:t>
      </w:r>
      <w:bookmarkEnd w:id="14"/>
    </w:p>
    <w:p w:rsidR="00DB05FE" w:rsidRDefault="00630E3F">
      <w:pPr>
        <w:pStyle w:val="Bodypara"/>
      </w:pPr>
      <w:r>
        <w:t>The ISO shall verify that all payments owed by Transmission Customers in accordanc</w:t>
      </w:r>
      <w:r>
        <w:t>e with this ISO OATT and the ISO Services Tariff  have been paid to the ISO in a timely manner.  If a Transmission Customer fails to make a payment within the time period established in Sections 2.7.3.2.1, 2.7.3.2.2, and 2.7.3.6 of this ISO OATT or pays le</w:t>
      </w:r>
      <w:r>
        <w:t xml:space="preserve">ss than the amount due, the ISO shall take measures pursuant to Section 2.7.5 of this ISO OATT.  </w:t>
      </w:r>
      <w:r>
        <w:rPr>
          <w:bCs/>
          <w:color w:val="000000"/>
        </w:rPr>
        <w:t xml:space="preserve">Except as provided in Section 2.7.1.4 of this ISO OATT, </w:t>
      </w:r>
      <w:r>
        <w:t>the ISO shall also ensure that monies owed to Transmission Customers in accordance with this ISO OATT a</w:t>
      </w:r>
      <w:r>
        <w:t>nd the ISO Services Tariff are paid through the ISO Clearing Account in a timely manner.</w:t>
      </w:r>
    </w:p>
    <w:p w:rsidR="00DB05FE" w:rsidRDefault="00630E3F">
      <w:pPr>
        <w:pStyle w:val="Heading4"/>
      </w:pPr>
      <w:r>
        <w:t>2.7.3.6</w:t>
      </w:r>
      <w:r>
        <w:tab/>
        <w:t>TCC Auction Settlements</w:t>
      </w:r>
    </w:p>
    <w:p w:rsidR="00DB05FE" w:rsidRDefault="00630E3F">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the ISO shall make settlements related to the Centralized TCC Auctio</w:t>
      </w:r>
      <w:r>
        <w:t>n and the Reconfiguration Auction as set forth in this Section 2.7.3.6.</w:t>
      </w:r>
    </w:p>
    <w:p w:rsidR="00DB05FE" w:rsidRDefault="00630E3F">
      <w:pPr>
        <w:pStyle w:val="Bodypara"/>
        <w:rPr>
          <w:bCs/>
          <w:color w:val="000000"/>
        </w:rPr>
      </w:pPr>
      <w:r>
        <w:rPr>
          <w:bCs/>
          <w:color w:val="000000"/>
        </w:rPr>
        <w:t>2.7.3.6.1  The ISO shall submit invoices to, and make settlements with, Transmission Owners in connection with the allocation of Net Auction Revenues in accordance with the timeline se</w:t>
      </w:r>
      <w:r>
        <w:rPr>
          <w:bCs/>
          <w:color w:val="000000"/>
        </w:rPr>
        <w:t xml:space="preserve">t forth in ISO Procedures. </w:t>
      </w:r>
    </w:p>
    <w:p w:rsidR="00DB05FE" w:rsidRDefault="00630E3F">
      <w:pPr>
        <w:pStyle w:val="Bodypara"/>
        <w:rPr>
          <w:bCs/>
          <w:color w:val="000000"/>
        </w:rPr>
      </w:pPr>
      <w:r>
        <w:rPr>
          <w:bCs/>
          <w:color w:val="000000"/>
        </w:rPr>
        <w:t>2.7.3.6.2  Transmission Customers owing payments to the ISO as a result of their activity in or related to a Centralized TCC Auction or Reconfiguration Auction, pursuant to an award notice or a comparable invoice rendered by the</w:t>
      </w:r>
      <w:r>
        <w:rPr>
          <w:bCs/>
          <w:color w:val="000000"/>
        </w:rPr>
        <w:t xml:space="preserve"> ISO, shall make those payments to the ISO through the ISO Clearing Account in accordance with the timeline set forth in ISO Procedures.</w:t>
      </w:r>
      <w:r>
        <w:rPr>
          <w:bCs/>
          <w:color w:val="000000"/>
          <w:vertAlign w:val="superscript"/>
        </w:rPr>
        <w:t xml:space="preserve"> </w:t>
      </w:r>
      <w:r>
        <w:rPr>
          <w:bCs/>
          <w:color w:val="000000"/>
        </w:rPr>
        <w:t xml:space="preserve"> </w:t>
      </w:r>
    </w:p>
    <w:p w:rsidR="00DB05FE" w:rsidRDefault="00630E3F">
      <w:pPr>
        <w:pStyle w:val="Bodypara"/>
        <w:rPr>
          <w:bCs/>
          <w:color w:val="000000"/>
        </w:rPr>
      </w:pPr>
      <w:r>
        <w:rPr>
          <w:bCs/>
          <w:color w:val="000000"/>
        </w:rPr>
        <w:t>2.7.3.6.3  Except as provided in Section 2.7.1.4 of this ISO OATT, the ISO shall pay all net monies owed to Transmiss</w:t>
      </w:r>
      <w:r>
        <w:rPr>
          <w:bCs/>
          <w:color w:val="000000"/>
        </w:rPr>
        <w:t xml:space="preserve">ion Customers as a result of their activity in or related to a Centralized TCC Auction or a Reconfiguration Auction, pursuant to an award notice or a comparable invoice rendered by the ISO, from the ISO Clearing Account in accordance with ISO Procedures.  </w:t>
      </w:r>
    </w:p>
    <w:p w:rsidR="00DB05FE" w:rsidRDefault="00630E3F">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DB05FE" w:rsidRDefault="00630E3F">
      <w:pPr>
        <w:pStyle w:val="Heading4"/>
      </w:pPr>
      <w:bookmarkStart w:id="15" w:name="_Toc261444386"/>
      <w:r>
        <w:t>2.7.3.7</w:t>
      </w:r>
      <w:r>
        <w:tab/>
        <w:t xml:space="preserve">Settlement Information and Billing </w:t>
      </w:r>
      <w:r>
        <w:t>Procedures for TSCs</w:t>
      </w:r>
      <w:bookmarkEnd w:id="15"/>
    </w:p>
    <w:p w:rsidR="00DB05FE" w:rsidRDefault="00630E3F">
      <w:pPr>
        <w:pStyle w:val="Bodypara"/>
      </w:pPr>
      <w:r>
        <w:t>The ISO shall provide each Member System with information to facilitate TSC billing.  Settlement information and billing procedures for payments of the TSC by retail access customers or LSEs serving retail access customers in accordance</w:t>
      </w:r>
      <w:r>
        <w:t xml:space="preserve"> with Section 5 of this ISO OATT shall be separately issued, paid and collected in accordance with Section 5 of this ISO OATT.  Settlement information and billing procedures for payments for TSCs for customers other than retail access customers and LSEs se</w:t>
      </w:r>
      <w:r>
        <w:t>rving retail access customers shall be separately issued, paid and collected in accordance with the terms and conditions set forth in Attachment H of this ISO OATT in accordance with Section 5 of this ISO OATT.</w:t>
      </w:r>
      <w:r>
        <w:rPr>
          <w:vertAlign w:val="superscript"/>
        </w:rPr>
        <w:t xml:space="preserve"> </w:t>
      </w:r>
    </w:p>
    <w:p w:rsidR="00DB05FE" w:rsidRDefault="00630E3F">
      <w:pPr>
        <w:pStyle w:val="Heading4"/>
      </w:pPr>
      <w:bookmarkStart w:id="16" w:name="_Toc261444387"/>
      <w:r>
        <w:t>2.7.3.8</w:t>
      </w:r>
      <w:r>
        <w:tab/>
        <w:t>Billing Procedures for Retail Access</w:t>
      </w:r>
      <w:r>
        <w:t xml:space="preserve"> Programs</w:t>
      </w:r>
      <w:bookmarkEnd w:id="16"/>
    </w:p>
    <w:p w:rsidR="00DB05FE" w:rsidRDefault="00630E3F">
      <w:pPr>
        <w:pStyle w:val="Bodypara"/>
      </w:pPr>
      <w:r>
        <w:t>The billing procedures for customers participating in retail access programs shall be in accordance with Section 5 of this ISO OATT.</w:t>
      </w:r>
    </w:p>
    <w:p w:rsidR="00DB05FE" w:rsidRDefault="00630E3F">
      <w:pPr>
        <w:pStyle w:val="Heading3"/>
      </w:pPr>
      <w:bookmarkStart w:id="17" w:name="_Toc261444388"/>
      <w:r>
        <w:t>2.7.4</w:t>
      </w:r>
      <w:r>
        <w:tab/>
        <w:t>Interest on Unpaid Balances:</w:t>
      </w:r>
      <w:bookmarkEnd w:id="17"/>
      <w:r>
        <w:t xml:space="preserve"> </w:t>
      </w:r>
    </w:p>
    <w:p w:rsidR="00DB05FE" w:rsidRDefault="00630E3F">
      <w:pPr>
        <w:pStyle w:val="Bodypara"/>
      </w:pPr>
      <w:r>
        <w:t>Interest on any unpaid amount whether owed to a Transmission Customer or to t</w:t>
      </w:r>
      <w:r>
        <w:t>he ISO  (including amounts placed in 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w:t>
      </w:r>
      <w:r>
        <w:t xml:space="preserve">the due date of the bill to the date of payment.  Invoices shall be considered as having been paid on the date of receipt of payment by the ISO. </w:t>
      </w:r>
    </w:p>
    <w:p w:rsidR="00DB05FE" w:rsidRDefault="00630E3F">
      <w:pPr>
        <w:pStyle w:val="Bodypara"/>
      </w:pPr>
      <w:r>
        <w:t>If the ISO is unable to provide settlement information on time due to the actions or inactions of the Transmis</w:t>
      </w:r>
      <w:r>
        <w:t xml:space="preserve">sion Customer, in addition to any other remedies the ISO may have at law or in equity, the Transmission Customer shall pay interest on amounts due, as calculated above, from the first day of the Billing Period following the Billing Period in which charges </w:t>
      </w:r>
      <w:r>
        <w:t>are accrued, to the time of payment of those charges.</w:t>
      </w:r>
    </w:p>
    <w:p w:rsidR="00DB05FE" w:rsidRDefault="00630E3F">
      <w:pPr>
        <w:pStyle w:val="Heading4"/>
      </w:pPr>
      <w:bookmarkStart w:id="18" w:name="_Toc261444389"/>
      <w:r>
        <w:t>2.7.4.1</w:t>
      </w:r>
      <w:r>
        <w:tab/>
        <w:t>Billing Disputes:</w:t>
      </w:r>
      <w:bookmarkEnd w:id="18"/>
      <w:r>
        <w:t xml:space="preserve">  </w:t>
      </w:r>
    </w:p>
    <w:p w:rsidR="00DB05FE" w:rsidRDefault="00630E3F">
      <w:pPr>
        <w:pStyle w:val="Bodypara"/>
      </w:pPr>
      <w:r>
        <w:t>This Section 2.7.4.1 establishes the process and timeframe for review, challenge, and correction of Transmission Customer invoices.  For purposes of this Section 2.7.4.1, any</w:t>
      </w:r>
      <w:r>
        <w:t xml:space="preserve"> deadline that falls on a Saturday, Sunday, or holiday for which the ISO is closed shall be observed on the ISO’s next business day.</w:t>
      </w:r>
    </w:p>
    <w:p w:rsidR="00DB05FE" w:rsidRDefault="00630E3F">
      <w:pPr>
        <w:pStyle w:val="Bodypara"/>
      </w:pPr>
      <w:r>
        <w:t>For purposes of this Section 2.7.4.1, “finalized” data and invoices shall not be subject to further correction, including b</w:t>
      </w:r>
      <w:r>
        <w:t xml:space="preserve">y the ISO,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DB05FE" w:rsidRDefault="00630E3F">
      <w:pPr>
        <w:ind w:left="720"/>
        <w:rPr>
          <w:rFonts w:ascii="Times New Roman Bold" w:hAnsi="Times New Roman Bold"/>
          <w:b/>
        </w:rPr>
      </w:pPr>
      <w:bookmarkStart w:id="19" w:name="_Toc261444393"/>
      <w:r>
        <w:rPr>
          <w:rFonts w:ascii="Times New Roman Bold" w:hAnsi="Times New Roman Bold"/>
        </w:rPr>
        <w:t>2.7.4.2</w:t>
      </w:r>
      <w:r>
        <w:rPr>
          <w:rFonts w:ascii="Times New Roman Bold" w:hAnsi="Times New Roman Bold"/>
        </w:rPr>
        <w:tab/>
        <w:t>Settlement Cycle for Services Furnished On and After January 1,</w:t>
      </w:r>
      <w:r>
        <w:rPr>
          <w:rFonts w:ascii="Times New Roman Bold" w:hAnsi="Times New Roman Bold"/>
          <w:bCs/>
        </w:rPr>
        <w:t xml:space="preserve"> 2009</w:t>
      </w:r>
      <w:bookmarkEnd w:id="19"/>
    </w:p>
    <w:p w:rsidR="00DB05FE" w:rsidRDefault="00630E3F">
      <w:pPr>
        <w:pStyle w:val="subhead"/>
      </w:pPr>
      <w:bookmarkStart w:id="20" w:name="_Toc261444394"/>
      <w:r>
        <w:t>2.7.4.2.1</w:t>
      </w:r>
      <w:r>
        <w:tab/>
        <w:t>ISO Corrections or Adjustments and Transmission Customer Challenges to the Accuracy of Settlement Information</w:t>
      </w:r>
      <w:bookmarkEnd w:id="20"/>
    </w:p>
    <w:p w:rsidR="00DB05FE" w:rsidRDefault="00630E3F">
      <w:pPr>
        <w:pStyle w:val="Bodypara"/>
      </w:pPr>
      <w:r>
        <w:t>Settlement information for services furnished beginning Ja</w:t>
      </w:r>
      <w:r>
        <w:t>nuary 1, 2009, and thereafter shall be subject to review, comment, and challenge by a Transmission Customer and correction or adjustment by the ISO for errors at any time for up to five (5) months from the date of the initial invoice for the month in which</w:t>
      </w:r>
      <w:r>
        <w:t xml:space="preserve"> service is rendered as set forth in Section 2.7.3.2.2 of this ISO OATT and as further provided in Section 2.7.4.2.2, subject to the following requirements and limitations:</w:t>
      </w:r>
    </w:p>
    <w:p w:rsidR="00DB05FE" w:rsidRDefault="00630E3F">
      <w:pPr>
        <w:pStyle w:val="romannumeralpara"/>
      </w:pPr>
      <w:r>
        <w:t>(i)</w:t>
      </w:r>
      <w:r>
        <w:tab/>
        <w:t xml:space="preserve">A Supplier or meter authority may review, comment on, and challenge Generator, </w:t>
      </w:r>
      <w:r>
        <w:t>tie-line, and sub-zone Load metering data for fifty-five (55) days from the date of the initial invoice for the month in which service is rendered.  Following this review period, the ISO shall then have five (5) days to process and correct Generator, tie-l</w:t>
      </w:r>
      <w:r>
        <w:t xml:space="preserve">ine, and sub-zone Load metering data, after which time it shall be finalized.  </w:t>
      </w:r>
    </w:p>
    <w:p w:rsidR="00DB05FE" w:rsidRDefault="00630E3F">
      <w:pPr>
        <w:pStyle w:val="romannumeralpara"/>
      </w:pPr>
      <w:r>
        <w:t>(ii)</w:t>
      </w:r>
      <w:r>
        <w:tab/>
        <w:t>The meter authority shall provide to the ISO all LSE bus metering data then available within seventy (70) days from the date of the initial invoice and shall provide any n</w:t>
      </w:r>
      <w:r>
        <w:t>ecessary updates to the LSE bus metering data as soon as possible thereafter.  The ISO shall post all available LSE bus metering data within approximately seventy-five (75) days from the date of the initial invoice and shall continue to post incoming LSE b</w:t>
      </w:r>
      <w:r>
        <w:t>us metering data as soon as practicable after it is received.</w:t>
      </w:r>
    </w:p>
    <w:p w:rsidR="00DB05FE" w:rsidRDefault="00630E3F">
      <w:pPr>
        <w:pStyle w:val="romannumeralpara"/>
      </w:pPr>
      <w:r>
        <w:t>(iii)</w:t>
      </w:r>
      <w:r>
        <w:tab/>
        <w:t>The ISO shall post advisory settlement information, including available LSE bus metering data, within ninety (90) days from the date of the initial</w:t>
      </w:r>
      <w:r>
        <w:rPr>
          <w:u w:val="double"/>
        </w:rPr>
        <w:t xml:space="preserve"> </w:t>
      </w:r>
      <w:r>
        <w:t>invoice.  Transmission Customers may rev</w:t>
      </w:r>
      <w:r>
        <w:t xml:space="preserve">iew, comment on, and challenge this settlement information, except for Generator, tie-line, and sub-zone Load metering data, after which the ISO shall process and correct the data and issue a corrected invoice with the regular monthly invoice issued on or </w:t>
      </w:r>
      <w:r>
        <w:t>about one hundred twenty (120) days from the date of the initial invoice.  Following the ISO’s issuance of a corrected invoice, Transmission Customers may continue to review, comment on, and challenge their settlement information, excepting Generator, tie-</w:t>
      </w:r>
      <w:r>
        <w:t>line, and sub-zone Load metering data, until the end of the five-month review period.</w:t>
      </w:r>
    </w:p>
    <w:p w:rsidR="00DB05FE" w:rsidRDefault="00630E3F">
      <w:pPr>
        <w:pStyle w:val="romannumeralpara"/>
      </w:pPr>
      <w:r>
        <w:t>(iv)</w:t>
      </w:r>
      <w:r>
        <w:tab/>
        <w:t>The meter authority shall provide to the ISO any final updates or corrections to LSE bus metering data within one hundred thirty (130) days from the date of the init</w:t>
      </w:r>
      <w:r>
        <w:t>ial invoice.  The ISO shall then post any updated and corrected LSE bus metering data within one hundred thirty-five (135) days from the date of the initial invoice.  Transmission Customers may then review, comment on, and challenge the LSE bus metering da</w:t>
      </w:r>
      <w:r>
        <w:t>ta for an additional ten (10) days.  Following this review period, the ISO shall have five (5) days to process and correct the LSE bus metering data, after which it shall be finalized.</w:t>
      </w:r>
    </w:p>
    <w:p w:rsidR="00DB05FE" w:rsidRDefault="00630E3F">
      <w:pPr>
        <w:pStyle w:val="Bodypara"/>
      </w:pPr>
      <w:r>
        <w:t>The ISO shall use reasonable means to post metering revisions for revie</w:t>
      </w:r>
      <w:r>
        <w:t xml:space="preserve">w by Transmission Customers and to notify Transmission Customers of the approaching expiration of review periods.  To challenge settlement information contained in an invoice, a Transmission Customer shall first make payment in full, including any amounts </w:t>
      </w:r>
      <w:r>
        <w:t>in dispute.  Transmission Customer challenges to settlement information shall: (i) be submitted to the ISO in writing, (ii) be clearly identified as a settlement challenge, (iii) state the basis for the Transmission Customer’s challenge, and (iv) include s</w:t>
      </w:r>
      <w:r>
        <w:t>upporting documentation, if applicable.  The ISO shall notify all Transmission Customers of errors identified and the details of corrections or adjustments made pursuant to this Section 2.7.4.2.1.</w:t>
      </w:r>
    </w:p>
    <w:p w:rsidR="00DB05FE" w:rsidRDefault="00630E3F">
      <w:pPr>
        <w:pStyle w:val="subhead"/>
      </w:pPr>
      <w:bookmarkStart w:id="21" w:name="_Toc261444395"/>
      <w:r>
        <w:t>2.7.4.2.2</w:t>
      </w:r>
      <w:r>
        <w:tab/>
        <w:t>Review and Correction of Challenged Invoices</w:t>
      </w:r>
      <w:bookmarkEnd w:id="21"/>
    </w:p>
    <w:p w:rsidR="00DB05FE" w:rsidRDefault="00630E3F">
      <w:pPr>
        <w:pStyle w:val="Bodypara"/>
      </w:pPr>
      <w:r>
        <w:t xml:space="preserve">The </w:t>
      </w:r>
      <w:r>
        <w:t xml:space="preserve">ISO shall evaluate a settlement challenge as soon as possible within two (2) months following the conclusion of the challenge period specified in Section 2.7.4.2.1; </w:t>
      </w:r>
      <w:r>
        <w:rPr>
          <w:i/>
          <w:iCs/>
        </w:rPr>
        <w:t>provided, however,</w:t>
      </w:r>
      <w:r>
        <w:t xml:space="preserve"> the ISO may, upon notice to Transmission Customers within this time of e</w:t>
      </w:r>
      <w:r>
        <w:t xml:space="preserve">xtraordinary circumstances requiring a longer evaluation period, take up to six (6) months to evaluate a settlement challenge.  The ISO shall not be limited to the scope of Transmission Customer challenges in its review of a challenged invoice and may, at </w:t>
      </w:r>
      <w:r>
        <w:t>its discretion, review and correct any other elements and intervals of a challenged invoice, except Load and meter data as specified in Section 2.7.4.2.1.  Corrections to a challenged invoice shall be applied to all Transmission Customers that were or shou</w:t>
      </w:r>
      <w:r>
        <w:t xml:space="preserve">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w:t>
      </w:r>
      <w:r>
        <w:t>smission Customers through Rate Schedule 1 of this ISO OATT.</w:t>
      </w:r>
    </w:p>
    <w:p w:rsidR="00DB05FE" w:rsidRDefault="00630E3F">
      <w:pPr>
        <w:pStyle w:val="Bodypara"/>
      </w:pPr>
      <w:r>
        <w:t>Upon completing its evaluation, the ISO shall provide written notice to the challenging Transmission Customer of the ISO’s final determination regarding the Transmission Customer’s settlement cha</w:t>
      </w:r>
      <w:r>
        <w:t>llenge.  If the ISO determines that corrections or adjustments to a challenged invoice are necessary and can quantify them with reasonable certainty, the ISO shall provide all Transmission Customers with the details of the corrections or adjustments within</w:t>
      </w:r>
      <w:r>
        <w:t xml:space="preserve"> the timeframe established in this Section 2.7.4.2.2.  The ISO shall then provide a period of twenty-five (25) days for Transmission Customers to review the corrected settlement information and provide comments to the ISO regarding the implementation of th</w:t>
      </w:r>
      <w:r>
        <w:t xml:space="preserve">ose corrections or adjustments; </w:t>
      </w:r>
      <w:r>
        <w:rPr>
          <w:i/>
        </w:rPr>
        <w:t>provided, however</w:t>
      </w:r>
      <w:r>
        <w:t xml:space="preserve">, that in the event of a dispute resolution proceeding conducted in accordance with Section 2.7.4.3 of this ISO OATT, this twenty-five (25) day period shall not start or, if it has already started, shall be </w:t>
      </w:r>
      <w:r>
        <w:t>suspended until the conclusion of the dispute resolution proceeding.  Following the conclusion of the dispute resolution proceeding, the ISO shall make any corrections to Transmission Customers’ settlement invoices that it determines to be necessary and sh</w:t>
      </w:r>
      <w:r>
        <w:t>all then start or re-start the twenty-five (25) day Transmission Customer comment period.</w:t>
      </w:r>
    </w:p>
    <w:p w:rsidR="00DB05FE" w:rsidRDefault="00630E3F">
      <w:pPr>
        <w:pStyle w:val="Bodypara"/>
      </w:pPr>
      <w:r>
        <w:t>If no errors in the implementation of corrections or adjustments are identified during the twenty-five (25) day Transmission Customer comment period, the ISO shall is</w:t>
      </w:r>
      <w:r>
        <w:t>sue a finalized close-out settlement (“Close-Out Settlement”), clearly identified as such, in the next regular monthly billing invoice.  If an error in the implementation of a correction or adjustment is identified during the twenty-five (25) day Transmiss</w:t>
      </w:r>
      <w:r>
        <w:t>ion Customer comment period, the ISO shall have one (1) month to make such further corrections as are necessary to address the error and provide Transmission Customers with one additional period of twenty-five (25) days to review and comment on the impleme</w:t>
      </w:r>
      <w:r>
        <w:t xml:space="preserve">ntation of those further corrections.  If an error in the implementation of those further corrections is identified, the ISO shall then have one (1) month to make any final corrections that are necessary and shall issue a finalized Close-Out Settlement in </w:t>
      </w:r>
      <w:r>
        <w:t>the next regular monthly billing invoice.</w:t>
      </w:r>
    </w:p>
    <w:p w:rsidR="00DB05FE" w:rsidRDefault="00630E3F">
      <w:pPr>
        <w:pStyle w:val="Heading4"/>
      </w:pPr>
      <w:bookmarkStart w:id="22" w:name="_Toc261444396"/>
      <w:r>
        <w:t>2.7.4.3</w:t>
      </w:r>
      <w:r>
        <w:tab/>
        <w:t>Expedited Dispute Resolution Procedures for Unresolved Settlement Challenges</w:t>
      </w:r>
      <w:bookmarkEnd w:id="22"/>
    </w:p>
    <w:p w:rsidR="00DB05FE" w:rsidRDefault="00630E3F">
      <w:pPr>
        <w:pStyle w:val="subhead"/>
      </w:pPr>
      <w:bookmarkStart w:id="23" w:name="_Toc261444397"/>
      <w:r>
        <w:t>2.7.4.3.1</w:t>
      </w:r>
      <w:r>
        <w:tab/>
        <w:t>Applicability of Expedited Dispute Resolution Procedures</w:t>
      </w:r>
      <w:bookmarkEnd w:id="23"/>
    </w:p>
    <w:p w:rsidR="00DB05FE" w:rsidRDefault="00630E3F">
      <w:pPr>
        <w:pStyle w:val="Bodypara"/>
        <w:rPr>
          <w:bCs/>
        </w:rPr>
      </w:pPr>
      <w:r>
        <w:rPr>
          <w:szCs w:val="24"/>
        </w:rPr>
        <w:t xml:space="preserve">This Section </w:t>
      </w:r>
      <w:r>
        <w:t>2.7.4.3</w:t>
      </w:r>
      <w:r>
        <w:rPr>
          <w:szCs w:val="24"/>
        </w:rPr>
        <w:t xml:space="preserve"> establishes expedited dispute resolution </w:t>
      </w:r>
      <w:r>
        <w:rPr>
          <w:szCs w:val="24"/>
        </w:rPr>
        <w:t xml:space="preserve">procedures applicable </w:t>
      </w:r>
      <w:r>
        <w:rPr>
          <w:bCs/>
        </w:rPr>
        <w:t xml:space="preserve">to address any dispute between a Transmission Customer and the ISO regarding a Transmission Customer settlement that was not resolved in the ordinary settlement review, challenge, and correction process; </w:t>
      </w:r>
      <w:r>
        <w:rPr>
          <w:bCs/>
          <w:i/>
          <w:iCs/>
        </w:rPr>
        <w:t>provided, however</w:t>
      </w:r>
      <w:r>
        <w:rPr>
          <w:bCs/>
        </w:rPr>
        <w:t>, that nothin</w:t>
      </w:r>
      <w:r>
        <w:rPr>
          <w:bCs/>
        </w:rPr>
        <w:t>g herein shall restrict a Transmission Customer or the ISO from seeking redress from the Commission in accordance with the Federal Power Act.</w:t>
      </w:r>
    </w:p>
    <w:p w:rsidR="00DB05FE" w:rsidRDefault="00630E3F">
      <w:pPr>
        <w:pStyle w:val="Bodypara"/>
      </w:pPr>
      <w:r>
        <w:rPr>
          <w:bCs/>
        </w:rPr>
        <w:t xml:space="preserve">A Transmission Customer may request expedited dispute resolution if it has </w:t>
      </w:r>
      <w:r>
        <w:t>previously</w:t>
      </w:r>
      <w:r>
        <w:rPr>
          <w:bCs/>
        </w:rPr>
        <w:t xml:space="preserve"> presented a settlement chall</w:t>
      </w:r>
      <w:r>
        <w:rPr>
          <w:bCs/>
        </w:rPr>
        <w:t xml:space="preserve">enge consistent with the requirements of Section </w:t>
      </w:r>
      <w:r>
        <w:t>2.7.4.2.1</w:t>
      </w:r>
      <w:r>
        <w:rPr>
          <w:bCs/>
        </w:rPr>
        <w:t xml:space="preserve"> of this ISO OATT and has received from the ISO a final, written determination regarding the settlement challenge pursuant to Section </w:t>
      </w:r>
      <w:r>
        <w:t>2.7.4.2.2</w:t>
      </w:r>
      <w:r>
        <w:rPr>
          <w:bCs/>
        </w:rPr>
        <w:t xml:space="preserve"> of this ISO OATT.  The scope of an expedited dispute r</w:t>
      </w:r>
      <w:r>
        <w:rPr>
          <w:bCs/>
        </w:rPr>
        <w:t>esolution proceeding shall be limited to the subject matter of the Transmission Customer’s prior settlement challenge.  Transmission Customer challenges regarding Generator, tie-line, sub-zone Load, and LSE bus metering data shall not be eligible for forma</w:t>
      </w:r>
      <w:r>
        <w:rPr>
          <w:bCs/>
        </w:rPr>
        <w:t>l dispute resolution proceedings under this ISO OATT.  To ensure consistent treatment of disputes, separate requests for expedited dispute resolution regarding the same issue and the same service month or months may be resolved on a consolidated basis, con</w:t>
      </w:r>
      <w:r>
        <w:rPr>
          <w:bCs/>
        </w:rPr>
        <w:t>sistent with applicable confidentiality requirements.</w:t>
      </w:r>
    </w:p>
    <w:p w:rsidR="00DB05FE" w:rsidRDefault="00630E3F">
      <w:pPr>
        <w:pStyle w:val="subhead"/>
      </w:pPr>
      <w:bookmarkStart w:id="24" w:name="_Toc261444398"/>
      <w:r>
        <w:t>2.7.4.3.2</w:t>
      </w:r>
      <w:r>
        <w:tab/>
        <w:t>Initiation of Expedited Dispute Resolution Proceeding</w:t>
      </w:r>
      <w:bookmarkEnd w:id="24"/>
    </w:p>
    <w:p w:rsidR="00DB05FE" w:rsidRDefault="00630E3F">
      <w:pPr>
        <w:pStyle w:val="Bodypara"/>
        <w:rPr>
          <w:bCs/>
        </w:rPr>
      </w:pPr>
      <w:r>
        <w:rPr>
          <w:bCs/>
        </w:rPr>
        <w:t xml:space="preserve">To initiate an expedited dispute resolution proceeding, a Transmission Customer shall submit a written request to the ISO Chief Financial </w:t>
      </w:r>
      <w:r>
        <w:rPr>
          <w:bCs/>
        </w:rPr>
        <w:t>Officer within</w:t>
      </w:r>
      <w:r>
        <w:rPr>
          <w:bCs/>
          <w:u w:val="double"/>
        </w:rPr>
        <w:t xml:space="preserve"> </w:t>
      </w:r>
      <w:r>
        <w:rPr>
          <w:bCs/>
        </w:rPr>
        <w:t xml:space="preserve">eleven (11) business days from the date that the ISO issues a final,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extent known, (iii)</w:t>
      </w:r>
      <w:r>
        <w:rPr>
          <w:bCs/>
        </w:rPr>
        <w:t xml:space="preserve"> an estimate of the amount in controversy, (iv) a description of the Transmission Customer’s claim with sufficient detail to enable the ISO to determine whether the claim is within the subject matter of a settlement challenge previously submitted by the Tr</w:t>
      </w:r>
      <w:r>
        <w:rPr>
          <w:bCs/>
        </w:rPr>
        <w:t>ansmission Customer, (v) copies of the settlement challenge materials previously submitted by the Transmission Customer to the ISO, and (vi) citations to the ISO Tariffs and other relevant materials upon which the Transmission Customer’s settlement challen</w:t>
      </w:r>
      <w:r>
        <w:rPr>
          <w:bCs/>
        </w:rPr>
        <w:t>ge relies.</w:t>
      </w:r>
    </w:p>
    <w:p w:rsidR="00DB05FE" w:rsidRDefault="00630E3F">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in the resoluti</w:t>
      </w:r>
      <w:r>
        <w:rPr>
          <w:bCs/>
        </w:rPr>
        <w:t xml:space="preserve">on of the dispute, the ISO shall accept the Transmission Customer’s request and provide written notice of the proceeding to all Transmission Customers through the ordinary means of communication for settlement issues.  The ISO shall provide written notice </w:t>
      </w:r>
      <w:r>
        <w:rPr>
          <w:bCs/>
        </w:rPr>
        <w:t>to the Transmission Customer in the event that the ISO declines its request for expedited dispute resolution.</w:t>
      </w:r>
    </w:p>
    <w:p w:rsidR="00DB05FE" w:rsidRDefault="00630E3F">
      <w:pPr>
        <w:pStyle w:val="subhead"/>
      </w:pPr>
      <w:bookmarkStart w:id="25" w:name="_Toc261444399"/>
      <w:r>
        <w:t>2.7.4.3.3</w:t>
      </w:r>
      <w:r>
        <w:tab/>
        <w:t>Participation by Other Interested Transmission Customers</w:t>
      </w:r>
      <w:bookmarkEnd w:id="25"/>
    </w:p>
    <w:p w:rsidR="00DB05FE" w:rsidRDefault="00630E3F">
      <w:pPr>
        <w:pStyle w:val="Bodypara"/>
      </w:pPr>
      <w:r>
        <w:rPr>
          <w:bCs/>
        </w:rPr>
        <w:t xml:space="preserve">Any Transmission Customer with rights or interests that would be materially </w:t>
      </w:r>
      <w:r>
        <w:t>aff</w:t>
      </w:r>
      <w:r>
        <w:t>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determination regarding a Transmission Customer settlement challenge must have</w:t>
      </w:r>
      <w:r>
        <w:rPr>
          <w:bCs/>
        </w:rPr>
        <w:t xml:space="preserve"> previously raised the issue in a settlement challenge consistent with the requirements of Section </w:t>
      </w:r>
      <w:r>
        <w:t>2.7.4.2.1</w:t>
      </w:r>
      <w:r>
        <w:rPr>
          <w:bCs/>
        </w:rPr>
        <w:t xml:space="preserve"> of this ISO OATT.  To participate, such Transmission Customer shall submit to the ISO Chief Financial Officer a written request to participate that</w:t>
      </w:r>
      <w:r>
        <w:rPr>
          <w:bCs/>
        </w:rPr>
        <w:t xml:space="preserve"> meets the requirements for an initiating request for expedited dispute resolution within eleven (11) business days from the date that the ISO issues notice of the expedited dispute resolution proceeding.  If the ISO determines that the Transmission Custom</w:t>
      </w:r>
      <w:r>
        <w:rPr>
          <w:bCs/>
        </w:rPr>
        <w:t xml:space="preserve">er has met the requirements of this Section </w:t>
      </w:r>
      <w:r>
        <w:t>2.7.4.3.3</w:t>
      </w:r>
      <w:r>
        <w:rPr>
          <w:bCs/>
        </w:rPr>
        <w:t xml:space="preserve">, the ISO will accept the Transmission Customer’s request to participate in the dispute resolution proceeding. </w:t>
      </w:r>
    </w:p>
    <w:p w:rsidR="00DB05FE" w:rsidRDefault="00630E3F">
      <w:pPr>
        <w:pStyle w:val="subhead"/>
      </w:pPr>
      <w:bookmarkStart w:id="26" w:name="_Toc261444400"/>
      <w:r>
        <w:t>2.7.4.3.4</w:t>
      </w:r>
      <w:r>
        <w:tab/>
        <w:t>Selection of a Neutral</w:t>
      </w:r>
      <w:bookmarkEnd w:id="26"/>
    </w:p>
    <w:p w:rsidR="00DB05FE" w:rsidRDefault="00630E3F">
      <w:pPr>
        <w:pStyle w:val="Bodypara"/>
        <w:rPr>
          <w:bCs/>
        </w:rPr>
      </w:pPr>
      <w:r>
        <w:rPr>
          <w:bCs/>
        </w:rPr>
        <w:t>As soon as reasonably possible following the ISO’s accepta</w:t>
      </w:r>
      <w:r>
        <w:rPr>
          <w:bCs/>
        </w:rPr>
        <w:t xml:space="preserve">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w:t>
      </w:r>
      <w:r>
        <w:rPr>
          <w:bCs/>
        </w:rPr>
        <w:t>ion or (ii) developed by the ISO with input from the appropriate stakeholder committee, until an available neutral is found.  To the extent possible, the neutral shall be knowledgeable in electric utility matters, including electric transmission and bulk p</w:t>
      </w:r>
      <w:r>
        <w:rPr>
          <w:bCs/>
        </w:rPr>
        <w:t xml:space="preserve">ower issues and the financial settlement of electric markets.  </w:t>
      </w:r>
    </w:p>
    <w:p w:rsidR="00DB05FE" w:rsidRDefault="00630E3F">
      <w:pPr>
        <w:pStyle w:val="Bodypara"/>
      </w:pPr>
      <w:r>
        <w:rPr>
          <w:bCs/>
        </w:rPr>
        <w:t xml:space="preserve">No person shall be eligible to act as a neutral who is a past or present officer, employee, or consultant to any of the disputing parties, or of an entity related to or affiliated with any of </w:t>
      </w:r>
      <w:r>
        <w:rPr>
          <w:bCs/>
        </w:rPr>
        <w:t xml:space="preserve">the disputing parties, or is otherwise interested in the </w:t>
      </w:r>
      <w:r>
        <w:t>matter</w:t>
      </w:r>
      <w:r>
        <w:rPr>
          <w:bCs/>
        </w:rPr>
        <w:t xml:space="preserve"> in dispute except upon the express written consent of the parties.  Any individual appointed as a neutral shall make known to the disputing parties any such </w:t>
      </w:r>
      <w:r>
        <w:t>disqualifying</w:t>
      </w:r>
      <w:r>
        <w:rPr>
          <w:bCs/>
        </w:rPr>
        <w:t xml:space="preserve"> relationship or inter</w:t>
      </w:r>
      <w:r>
        <w:rPr>
          <w:bCs/>
        </w:rPr>
        <w:t xml:space="preserve">est and a new neutral shall be appointed, unless express written consent is provided by each party.  </w:t>
      </w:r>
    </w:p>
    <w:p w:rsidR="00DB05FE" w:rsidRDefault="00630E3F">
      <w:pPr>
        <w:pStyle w:val="subhead"/>
      </w:pPr>
      <w:bookmarkStart w:id="27" w:name="_Toc261444401"/>
      <w:r>
        <w:t>2.7.4.3.5</w:t>
      </w:r>
      <w:r>
        <w:tab/>
        <w:t>Conduct of the Expedited Dispute Resolution Proceeding</w:t>
      </w:r>
      <w:bookmarkEnd w:id="27"/>
    </w:p>
    <w:p w:rsidR="00DB05FE" w:rsidRDefault="00630E3F">
      <w:pPr>
        <w:pStyle w:val="Bodypara"/>
        <w:rPr>
          <w:bCs/>
        </w:rPr>
      </w:pPr>
      <w:r>
        <w:rPr>
          <w:bCs/>
        </w:rPr>
        <w:t>The neutral shall schedule the initial meeting of the disputing parties within five (5) b</w:t>
      </w:r>
      <w:r>
        <w:rPr>
          <w:bCs/>
        </w:rPr>
        <w:t xml:space="preserve">usiness days of appointment.  Except as otherwise provided in this Section </w:t>
      </w:r>
      <w:r>
        <w:t>2.7.4.3</w:t>
      </w:r>
      <w:r>
        <w:rPr>
          <w:bCs/>
        </w:rPr>
        <w:t>, the neutral shall have discretion over the conduct of the dispute resolution process including, but not limited to: (i) requiring the disputing parties to meet for discussi</w:t>
      </w:r>
      <w:r>
        <w:rPr>
          <w:bCs/>
        </w:rPr>
        <w:t>on, (ii) allowing or requiring written submissions, (iii) establishing guidelines for such written submissions, and (iv) allowing the participation of Transmission Customers that have requested an opportunity to be heard.</w:t>
      </w:r>
    </w:p>
    <w:p w:rsidR="00DB05FE" w:rsidRDefault="00630E3F">
      <w:pPr>
        <w:pStyle w:val="Bodypara"/>
        <w:rPr>
          <w:bCs/>
        </w:rPr>
      </w:pPr>
      <w:r>
        <w:rPr>
          <w:bCs/>
        </w:rPr>
        <w:t>Within sixty (60) days of the appo</w:t>
      </w:r>
      <w:r>
        <w:rPr>
          <w:bCs/>
        </w:rPr>
        <w:t>intment of the neutral, if the dispute has not been resolved, the neutral shall provide the disputing parties with a written, confidential, and non-binding recommendation for resolving the dispute.  The disputing parties shall then meet in an attempt to re</w:t>
      </w:r>
      <w:r>
        <w:rPr>
          <w:bCs/>
        </w:rPr>
        <w:t xml:space="preserve">solve the dispute in light of the neutral’s recommendation.  If the disputing parties have not resolved the dispute within ten (10) days of receipt of the neutral’s recommendation, the dispute resolution process will be concluded. </w:t>
      </w:r>
    </w:p>
    <w:p w:rsidR="00DB05FE" w:rsidRDefault="00630E3F">
      <w:pPr>
        <w:pStyle w:val="Bodypara"/>
      </w:pPr>
      <w:r>
        <w:rPr>
          <w:bCs/>
        </w:rPr>
        <w:t>Neither the recommendati</w:t>
      </w:r>
      <w:r>
        <w:rPr>
          <w:bCs/>
        </w:rPr>
        <w:t xml:space="preserve">on of the neutral, nor statements made by the neutral or any party, including the ISO, or their representatives, nor written submissions </w:t>
      </w:r>
      <w:r>
        <w:t>prepared</w:t>
      </w:r>
      <w:r>
        <w:rPr>
          <w:bCs/>
        </w:rPr>
        <w:t xml:space="preserve"> for the dispute resolution process, shall be admissible for any purpose in any proceeding.</w:t>
      </w:r>
    </w:p>
    <w:p w:rsidR="00DB05FE" w:rsidRDefault="00630E3F">
      <w:bookmarkStart w:id="28" w:name="_Toc261444402"/>
      <w:r>
        <w:t>2.7.4.3.6</w:t>
      </w:r>
      <w:r>
        <w:tab/>
        <w:t>Allocatio</w:t>
      </w:r>
      <w:r>
        <w:t>n of Costs</w:t>
      </w:r>
      <w:bookmarkEnd w:id="28"/>
      <w:r>
        <w:t xml:space="preserve"> </w:t>
      </w:r>
    </w:p>
    <w:p w:rsidR="00DB05FE" w:rsidRDefault="00630E3F">
      <w:pPr>
        <w:pStyle w:val="Bodypara"/>
      </w:pPr>
      <w:r>
        <w:rPr>
          <w:bCs/>
        </w:rPr>
        <w:t xml:space="preserve">Each party to a dispute resolution proceeding shall be responsible for its own costs </w:t>
      </w:r>
      <w:r>
        <w:t>incurred</w:t>
      </w:r>
      <w:r>
        <w:rPr>
          <w:bCs/>
        </w:rPr>
        <w:t xml:space="preserve"> during the process and for a pro rata share of the costs of a neutral. </w:t>
      </w:r>
    </w:p>
    <w:p w:rsidR="00DB05FE" w:rsidRDefault="00630E3F">
      <w:pPr>
        <w:pStyle w:val="Heading3"/>
      </w:pPr>
      <w:bookmarkStart w:id="29" w:name="_Toc261444403"/>
      <w:r>
        <w:t>2.7.5</w:t>
      </w:r>
      <w:r>
        <w:tab/>
        <w:t>Customer Default</w:t>
      </w:r>
      <w:bookmarkEnd w:id="29"/>
    </w:p>
    <w:p w:rsidR="00DB05FE" w:rsidRDefault="00630E3F">
      <w:pPr>
        <w:pStyle w:val="Heading4"/>
      </w:pPr>
      <w:bookmarkStart w:id="30" w:name="_Toc261444404"/>
      <w:r>
        <w:t>2.7.5.1</w:t>
      </w:r>
      <w:r>
        <w:tab/>
        <w:t>Events of Default</w:t>
      </w:r>
      <w:bookmarkEnd w:id="30"/>
    </w:p>
    <w:p w:rsidR="00DB05FE" w:rsidRDefault="00630E3F">
      <w:pPr>
        <w:pStyle w:val="Bodypara"/>
      </w:pPr>
      <w:r>
        <w:t>A Transmission Customer shall</w:t>
      </w:r>
      <w:r>
        <w:t xml:space="preserve"> be in default, upon written notice from the ISO, in the event that: (i) the Transmission Customer fails to timely make a payment due to the ISO, regardless of whether such payment obligation is in dispute, (ii) the Transmission Customer fails to comply wi</w:t>
      </w:r>
      <w:r>
        <w:t>th the ISO’s creditworthiness requirements, or (iii) the Transmission Customer fails to cure its default in another independent system operator/regional transmission organization market.  In the event of a billing dispute between the ISO and the Transmissi</w:t>
      </w:r>
      <w:r>
        <w:t>on Customer, the ISO will continue to provide service under the Service Agreement as long as the Transmission Customer continues to make all payments.</w:t>
      </w:r>
    </w:p>
    <w:p w:rsidR="00DB05FE" w:rsidRDefault="00630E3F">
      <w:pPr>
        <w:pStyle w:val="Heading4"/>
      </w:pPr>
      <w:bookmarkStart w:id="31" w:name="_Toc261444405"/>
      <w:r>
        <w:t>2.7.5.2</w:t>
      </w:r>
      <w:r>
        <w:tab/>
        <w:t>Cure</w:t>
      </w:r>
      <w:bookmarkEnd w:id="31"/>
    </w:p>
    <w:p w:rsidR="00DB05FE" w:rsidRDefault="00630E3F">
      <w:pPr>
        <w:pStyle w:val="Bodypara"/>
      </w:pPr>
      <w:r>
        <w:t>Unless otherwise provided in Attachment W to this OATT, a Transmission Customer shall have o</w:t>
      </w:r>
      <w:r>
        <w:t>ne (1) business day to cure a default resulting from its failure to timely make a payment due to the ISO.  A Transmission Customer shall have two (2) business days to cure a default resulting from its failure to comply with the ISO’s creditworthiness requi</w:t>
      </w:r>
      <w:r>
        <w:t xml:space="preserve">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DB05FE" w:rsidRDefault="00630E3F">
      <w:pPr>
        <w:pStyle w:val="Heading4"/>
      </w:pPr>
      <w:bookmarkStart w:id="32" w:name="_Toc261444406"/>
      <w:r>
        <w:t>2.7.5.3</w:t>
      </w:r>
      <w:r>
        <w:tab/>
        <w:t>ISO Reme</w:t>
      </w:r>
      <w:r>
        <w:t>dies</w:t>
      </w:r>
      <w:bookmarkEnd w:id="32"/>
    </w:p>
    <w:p w:rsidR="00DB05FE" w:rsidRDefault="00630E3F">
      <w:pPr>
        <w:pStyle w:val="Bodypara"/>
      </w:pPr>
      <w:r>
        <w:t>In addition to any and all other remedies available under the ISO Tariffs or pursuant to law or equity, the ISO shall have the following remedies:</w:t>
      </w:r>
    </w:p>
    <w:p w:rsidR="00DB05FE" w:rsidRDefault="00630E3F">
      <w:pPr>
        <w:pStyle w:val="romannumeralpara"/>
      </w:pPr>
      <w:r>
        <w:rPr>
          <w:b/>
        </w:rPr>
        <w:t>(i)</w:t>
      </w:r>
      <w:r>
        <w:rPr>
          <w:b/>
        </w:rPr>
        <w:tab/>
        <w:t xml:space="preserve">Event of Default.  </w:t>
      </w:r>
      <w:r>
        <w:t xml:space="preserve">Upon an event of default and expiration of the relevant cure period, the ISO may </w:t>
      </w:r>
      <w:r>
        <w:t xml:space="preserve">terminate service to a Transmission Customer immediately upon notice to the Commission.  In addition, in the event of a payment default, the ISO shall have the sole and exclusive right to initiate debt collection procedures against a Transmission Customer </w:t>
      </w:r>
      <w:r>
        <w:t xml:space="preserve">on account of any such default.  The process for declaring and recovering bad debt losses is set forth in Attachment U to this OATT.  </w:t>
      </w:r>
    </w:p>
    <w:p w:rsidR="00DB05FE" w:rsidRDefault="00630E3F">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w:t>
      </w:r>
      <w:r>
        <w:rPr>
          <w:bCs/>
        </w:rPr>
        <w:t xml:space="preserve">fifty percent (50%) or more as determined in accordance with Section 26.5 of Attachment K to the ISO Services Tariff, or (b) as a result of a </w:t>
      </w:r>
      <w:r>
        <w:t>material</w:t>
      </w:r>
      <w:r>
        <w:rPr>
          <w:bCs/>
        </w:rPr>
        <w:t xml:space="preserve"> adverse change as determined in accordance with Section 26.14 of Attachment K to the ISO Services Tariff,</w:t>
      </w:r>
      <w:r>
        <w:rPr>
          <w:bCs/>
        </w:rPr>
        <w:t xml:space="preserve"> then the ISO shall have the right to:  (1) immediately issue an invoice to such Transmission Customer requiring payment within two (2) business days from the invoice date for initial settlements representing the sum of that Billing Period’s daily billing </w:t>
      </w:r>
      <w:r>
        <w:rPr>
          <w:bCs/>
        </w:rPr>
        <w:t>data available as of the invoice date, and/or (2) require such Transmission Customer to prepay estimated charges weekly for up to twelve months in accordance with ISO Procedures.</w:t>
      </w:r>
    </w:p>
    <w:p w:rsidR="00DB05FE" w:rsidRDefault="00630E3F">
      <w:pPr>
        <w:pStyle w:val="romannumeralpara"/>
        <w:rPr>
          <w:bCs/>
          <w:sz w:val="20"/>
        </w:rPr>
      </w:pPr>
      <w:r>
        <w:rPr>
          <w:b/>
          <w:bCs/>
        </w:rPr>
        <w:t>(iii)</w:t>
      </w:r>
      <w:r>
        <w:rPr>
          <w:b/>
          <w:bCs/>
        </w:rPr>
        <w:tab/>
        <w:t xml:space="preserve">Default in Another ISO/RTO. </w:t>
      </w:r>
      <w:r>
        <w:rPr>
          <w:bCs/>
        </w:rPr>
        <w:t xml:space="preserve"> In the event a Transmission Customer </w:t>
      </w:r>
      <w:r>
        <w:t>fails</w:t>
      </w:r>
      <w:r>
        <w:t xml:space="preserve"> to cure its default in another independent system operator/regional transmission organization market, then the ISO shall have the right to:  (1) demand immediate payment by the Transmission Customer to the ISO for any amounts owed as of the date of the de</w:t>
      </w:r>
      <w:r>
        <w:t xml:space="preserve">mand, and/or (2) </w:t>
      </w:r>
      <w:r>
        <w:rPr>
          <w:bCs/>
        </w:rPr>
        <w:t>require the Transmission Customer to prepay estimated charges weekly for a minimum of twelve months in accordance with ISO Procedures, and/or (3) reduce or eliminate the amount of the Transmission Customer’s Unsecured Credit.</w:t>
      </w:r>
    </w:p>
    <w:p w:rsidR="00DB05FE" w:rsidRDefault="00630E3F">
      <w:pPr>
        <w:pStyle w:val="romannumeralpara"/>
      </w:pPr>
      <w:r>
        <w:rPr>
          <w:b/>
          <w:bCs/>
        </w:rPr>
        <w:t>(iv)</w:t>
      </w:r>
      <w:r>
        <w:rPr>
          <w:b/>
          <w:bCs/>
        </w:rPr>
        <w:tab/>
        <w:t>Two Late</w:t>
      </w:r>
      <w:r>
        <w:rPr>
          <w:b/>
          <w:bCs/>
        </w:rPr>
        <w:t xml:space="preserve"> Payments. </w:t>
      </w:r>
      <w:r>
        <w:rPr>
          <w:bCs/>
        </w:rPr>
        <w:t xml:space="preserve"> In the event a Transmission Customer fails to pay its invoice when due on two occasions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months, and/or (2) reduce or eliminate the amount of the Transmission Customer’s Unsecured Credit for up to twelve (12) months.</w:t>
      </w:r>
    </w:p>
    <w:p w:rsidR="00DB05FE" w:rsidRDefault="00630E3F">
      <w:pPr>
        <w:pStyle w:val="Heading4"/>
      </w:pPr>
      <w:bookmarkStart w:id="33" w:name="_DV_M27"/>
      <w:bookmarkStart w:id="34" w:name="_Toc261444407"/>
      <w:bookmarkEnd w:id="33"/>
      <w:r>
        <w:t>2.7.5.4</w:t>
      </w:r>
      <w:r>
        <w:tab/>
        <w:t>Notice to Transmission</w:t>
      </w:r>
      <w:r>
        <w:t xml:space="preserve"> Customers</w:t>
      </w:r>
      <w:bookmarkEnd w:id="34"/>
    </w:p>
    <w:p w:rsidR="00DB05FE" w:rsidRDefault="00630E3F">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w:t>
      </w:r>
      <w:r>
        <w:t xml:space="preserve">ates the Transmission Customer due to the default.  </w:t>
      </w:r>
      <w:r>
        <w:rPr>
          <w:rFonts w:cs="Arial"/>
          <w:szCs w:val="24"/>
        </w:rPr>
        <w:t xml:space="preserve">In the event of a payment default or creditworthiness default, the ISO will disclose in its notice to Transmission Customers the approximate amount of the default as follows:  </w:t>
      </w:r>
    </w:p>
    <w:p w:rsidR="00DB05FE" w:rsidRDefault="00630E3F">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911CA9">
        <w:tc>
          <w:tcPr>
            <w:tcW w:w="2880" w:type="dxa"/>
          </w:tcPr>
          <w:p w:rsidR="00DB05FE" w:rsidRDefault="00630E3F">
            <w:pPr>
              <w:jc w:val="center"/>
              <w:rPr>
                <w:szCs w:val="24"/>
              </w:rPr>
            </w:pPr>
            <w:r>
              <w:rPr>
                <w:szCs w:val="24"/>
              </w:rPr>
              <w:t xml:space="preserve">Default Amount </w:t>
            </w:r>
          </w:p>
        </w:tc>
        <w:tc>
          <w:tcPr>
            <w:tcW w:w="3720" w:type="dxa"/>
            <w:gridSpan w:val="2"/>
          </w:tcPr>
          <w:p w:rsidR="00DB05FE" w:rsidRDefault="00630E3F">
            <w:pPr>
              <w:jc w:val="center"/>
              <w:rPr>
                <w:szCs w:val="24"/>
              </w:rPr>
            </w:pPr>
            <w:r>
              <w:rPr>
                <w:szCs w:val="24"/>
              </w:rPr>
              <w:t xml:space="preserve">Type of </w:t>
            </w:r>
            <w:r>
              <w:rPr>
                <w:szCs w:val="24"/>
              </w:rPr>
              <w:t>Default</w:t>
            </w:r>
          </w:p>
        </w:tc>
      </w:tr>
      <w:tr w:rsidR="00911CA9">
        <w:tc>
          <w:tcPr>
            <w:tcW w:w="2880" w:type="dxa"/>
          </w:tcPr>
          <w:p w:rsidR="00DB05FE" w:rsidRDefault="00630E3F">
            <w:pPr>
              <w:jc w:val="center"/>
              <w:rPr>
                <w:szCs w:val="24"/>
              </w:rPr>
            </w:pPr>
            <w:r>
              <w:rPr>
                <w:szCs w:val="24"/>
              </w:rPr>
              <w:t>Range</w:t>
            </w:r>
          </w:p>
        </w:tc>
        <w:tc>
          <w:tcPr>
            <w:tcW w:w="1864" w:type="dxa"/>
          </w:tcPr>
          <w:p w:rsidR="00DB05FE" w:rsidRDefault="00630E3F">
            <w:pPr>
              <w:jc w:val="center"/>
              <w:rPr>
                <w:szCs w:val="24"/>
              </w:rPr>
            </w:pPr>
            <w:r>
              <w:rPr>
                <w:szCs w:val="24"/>
              </w:rPr>
              <w:t>Payment</w:t>
            </w:r>
          </w:p>
        </w:tc>
        <w:tc>
          <w:tcPr>
            <w:tcW w:w="1856" w:type="dxa"/>
          </w:tcPr>
          <w:p w:rsidR="00DB05FE" w:rsidRDefault="00630E3F">
            <w:pPr>
              <w:jc w:val="center"/>
              <w:rPr>
                <w:szCs w:val="24"/>
              </w:rPr>
            </w:pPr>
            <w:r>
              <w:rPr>
                <w:szCs w:val="24"/>
              </w:rPr>
              <w:t>Creditworthiness</w:t>
            </w:r>
          </w:p>
        </w:tc>
      </w:tr>
      <w:tr w:rsidR="00911CA9">
        <w:tc>
          <w:tcPr>
            <w:tcW w:w="2880" w:type="dxa"/>
          </w:tcPr>
          <w:p w:rsidR="00DB05FE" w:rsidRDefault="00630E3F">
            <w:pPr>
              <w:rPr>
                <w:szCs w:val="24"/>
              </w:rPr>
            </w:pPr>
            <w:r>
              <w:rPr>
                <w:szCs w:val="24"/>
              </w:rPr>
              <w:t>$0 to $100,000</w:t>
            </w:r>
          </w:p>
        </w:tc>
        <w:tc>
          <w:tcPr>
            <w:tcW w:w="1864" w:type="dxa"/>
          </w:tcPr>
          <w:p w:rsidR="00DB05FE" w:rsidRDefault="00630E3F">
            <w:pPr>
              <w:rPr>
                <w:szCs w:val="24"/>
              </w:rPr>
            </w:pPr>
          </w:p>
        </w:tc>
        <w:tc>
          <w:tcPr>
            <w:tcW w:w="1856" w:type="dxa"/>
          </w:tcPr>
          <w:p w:rsidR="00DB05FE" w:rsidRDefault="00630E3F">
            <w:pPr>
              <w:rPr>
                <w:szCs w:val="24"/>
              </w:rPr>
            </w:pPr>
          </w:p>
        </w:tc>
      </w:tr>
      <w:tr w:rsidR="00911CA9">
        <w:tc>
          <w:tcPr>
            <w:tcW w:w="2880" w:type="dxa"/>
          </w:tcPr>
          <w:p w:rsidR="00DB05FE" w:rsidRDefault="00630E3F">
            <w:pPr>
              <w:rPr>
                <w:szCs w:val="24"/>
              </w:rPr>
            </w:pPr>
            <w:r>
              <w:rPr>
                <w:szCs w:val="24"/>
              </w:rPr>
              <w:t>$100,001 to $500,000</w:t>
            </w:r>
          </w:p>
        </w:tc>
        <w:tc>
          <w:tcPr>
            <w:tcW w:w="1864" w:type="dxa"/>
          </w:tcPr>
          <w:p w:rsidR="00DB05FE" w:rsidRDefault="00630E3F">
            <w:pPr>
              <w:rPr>
                <w:szCs w:val="24"/>
              </w:rPr>
            </w:pPr>
          </w:p>
        </w:tc>
        <w:tc>
          <w:tcPr>
            <w:tcW w:w="1856" w:type="dxa"/>
          </w:tcPr>
          <w:p w:rsidR="00DB05FE" w:rsidRDefault="00630E3F">
            <w:pPr>
              <w:rPr>
                <w:szCs w:val="24"/>
              </w:rPr>
            </w:pPr>
          </w:p>
        </w:tc>
      </w:tr>
      <w:tr w:rsidR="00911CA9">
        <w:tc>
          <w:tcPr>
            <w:tcW w:w="2880" w:type="dxa"/>
          </w:tcPr>
          <w:p w:rsidR="00DB05FE" w:rsidRDefault="00630E3F">
            <w:pPr>
              <w:rPr>
                <w:szCs w:val="24"/>
              </w:rPr>
            </w:pPr>
            <w:r>
              <w:rPr>
                <w:szCs w:val="24"/>
              </w:rPr>
              <w:t>$500,001 to $1,000,000</w:t>
            </w:r>
          </w:p>
        </w:tc>
        <w:tc>
          <w:tcPr>
            <w:tcW w:w="1864" w:type="dxa"/>
          </w:tcPr>
          <w:p w:rsidR="00DB05FE" w:rsidRDefault="00630E3F">
            <w:pPr>
              <w:rPr>
                <w:szCs w:val="24"/>
              </w:rPr>
            </w:pPr>
          </w:p>
        </w:tc>
        <w:tc>
          <w:tcPr>
            <w:tcW w:w="1856" w:type="dxa"/>
          </w:tcPr>
          <w:p w:rsidR="00DB05FE" w:rsidRDefault="00630E3F">
            <w:pPr>
              <w:rPr>
                <w:szCs w:val="24"/>
              </w:rPr>
            </w:pPr>
          </w:p>
        </w:tc>
      </w:tr>
      <w:tr w:rsidR="00911CA9">
        <w:tc>
          <w:tcPr>
            <w:tcW w:w="2880" w:type="dxa"/>
          </w:tcPr>
          <w:p w:rsidR="00DB05FE" w:rsidRDefault="00630E3F">
            <w:pPr>
              <w:rPr>
                <w:szCs w:val="24"/>
              </w:rPr>
            </w:pPr>
            <w:r>
              <w:rPr>
                <w:szCs w:val="24"/>
              </w:rPr>
              <w:t>$1,000,001 to $5,000,000</w:t>
            </w:r>
          </w:p>
        </w:tc>
        <w:tc>
          <w:tcPr>
            <w:tcW w:w="1864" w:type="dxa"/>
          </w:tcPr>
          <w:p w:rsidR="00DB05FE" w:rsidRDefault="00630E3F">
            <w:pPr>
              <w:rPr>
                <w:szCs w:val="24"/>
              </w:rPr>
            </w:pPr>
          </w:p>
        </w:tc>
        <w:tc>
          <w:tcPr>
            <w:tcW w:w="1856" w:type="dxa"/>
          </w:tcPr>
          <w:p w:rsidR="00DB05FE" w:rsidRDefault="00630E3F">
            <w:pPr>
              <w:rPr>
                <w:szCs w:val="24"/>
              </w:rPr>
            </w:pPr>
          </w:p>
        </w:tc>
      </w:tr>
      <w:tr w:rsidR="00911CA9">
        <w:tc>
          <w:tcPr>
            <w:tcW w:w="2880" w:type="dxa"/>
          </w:tcPr>
          <w:p w:rsidR="00DB05FE" w:rsidRDefault="00630E3F">
            <w:pPr>
              <w:rPr>
                <w:szCs w:val="24"/>
              </w:rPr>
            </w:pPr>
            <w:r>
              <w:rPr>
                <w:szCs w:val="24"/>
              </w:rPr>
              <w:t>$5,000,001 to $10,000,000</w:t>
            </w:r>
          </w:p>
        </w:tc>
        <w:tc>
          <w:tcPr>
            <w:tcW w:w="1864" w:type="dxa"/>
          </w:tcPr>
          <w:p w:rsidR="00DB05FE" w:rsidRDefault="00630E3F">
            <w:pPr>
              <w:rPr>
                <w:szCs w:val="24"/>
              </w:rPr>
            </w:pPr>
          </w:p>
        </w:tc>
        <w:tc>
          <w:tcPr>
            <w:tcW w:w="1856" w:type="dxa"/>
          </w:tcPr>
          <w:p w:rsidR="00DB05FE" w:rsidRDefault="00630E3F">
            <w:pPr>
              <w:rPr>
                <w:szCs w:val="24"/>
              </w:rPr>
            </w:pPr>
          </w:p>
        </w:tc>
      </w:tr>
      <w:tr w:rsidR="00911CA9">
        <w:tc>
          <w:tcPr>
            <w:tcW w:w="2880" w:type="dxa"/>
          </w:tcPr>
          <w:p w:rsidR="00DB05FE" w:rsidRDefault="00630E3F">
            <w:pPr>
              <w:rPr>
                <w:szCs w:val="24"/>
              </w:rPr>
            </w:pPr>
            <w:r>
              <w:rPr>
                <w:szCs w:val="24"/>
              </w:rPr>
              <w:t>&gt; $10,000,000</w:t>
            </w:r>
          </w:p>
        </w:tc>
        <w:tc>
          <w:tcPr>
            <w:tcW w:w="1864" w:type="dxa"/>
          </w:tcPr>
          <w:p w:rsidR="00DB05FE" w:rsidRDefault="00630E3F">
            <w:pPr>
              <w:rPr>
                <w:szCs w:val="24"/>
              </w:rPr>
            </w:pPr>
          </w:p>
        </w:tc>
        <w:tc>
          <w:tcPr>
            <w:tcW w:w="1856" w:type="dxa"/>
          </w:tcPr>
          <w:p w:rsidR="00DB05FE" w:rsidRDefault="00630E3F">
            <w:pPr>
              <w:rPr>
                <w:szCs w:val="24"/>
              </w:rPr>
            </w:pPr>
          </w:p>
        </w:tc>
      </w:tr>
    </w:tbl>
    <w:p w:rsidR="00DB05FE" w:rsidRDefault="00630E3F">
      <w:pPr>
        <w:rPr>
          <w:szCs w:val="24"/>
        </w:rPr>
      </w:pPr>
    </w:p>
    <w:p w:rsidR="00DB05FE" w:rsidRDefault="00630E3F">
      <w:pPr>
        <w:pStyle w:val="Bodypara"/>
      </w:pPr>
      <w:r>
        <w:rPr>
          <w:rFonts w:cs="Arial"/>
          <w:szCs w:val="24"/>
        </w:rPr>
        <w:t xml:space="preserve">In addition, in the event of a payment default, unless otherwise </w:t>
      </w:r>
      <w:r>
        <w:rPr>
          <w:rFonts w:cs="Arial"/>
          <w:szCs w:val="24"/>
        </w:rPr>
        <w:t>precluded, the ISO will also disclose the amount and type of collateral, if any, held by the ISO to secure the defaulting Transmission Customer's obligations to the ISO.</w:t>
      </w:r>
    </w:p>
    <w:p w:rsidR="00DB05FE" w:rsidRDefault="00630E3F">
      <w:pPr>
        <w:pStyle w:val="Heading3"/>
      </w:pPr>
      <w:bookmarkStart w:id="35" w:name="_DV_M28"/>
      <w:bookmarkStart w:id="36" w:name="_Toc261444408"/>
      <w:bookmarkEnd w:id="35"/>
      <w:r>
        <w:t>2.7.6</w:t>
      </w:r>
      <w:r>
        <w:tab/>
        <w:t>Stranded Costs</w:t>
      </w:r>
      <w:bookmarkEnd w:id="36"/>
    </w:p>
    <w:p w:rsidR="00DB05FE" w:rsidRDefault="00630E3F">
      <w:pPr>
        <w:pStyle w:val="Bodypara"/>
        <w:rPr>
          <w:sz w:val="20"/>
        </w:rPr>
      </w:pPr>
      <w:r>
        <w:t>The Transmission Owners other than NYPA may seek to recover stran</w:t>
      </w:r>
      <w:r>
        <w:t>ded costs from the Transmission Customer pursuant to this Tariff in accordance with the terms, conditions and procedures set forth in Commission Order No. 888.  However, the Transmission Owners must separately file any proposal to recover stranded costs un</w:t>
      </w:r>
      <w:r>
        <w:t>der Section 205 of the FPA.  This provision shall not supersede or otherwise affect a Transmission Owner’s right to recover stranded costs under other authority.  To the extent that LIPA’s rates for service are established by LIPA’s Board of Trustees pursu</w:t>
      </w:r>
      <w:r>
        <w:t>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DB05FE" w:rsidRDefault="00630E3F">
      <w:pPr>
        <w:pStyle w:val="Bodypara"/>
      </w:pPr>
      <w:r>
        <w:t>Upon filing of</w:t>
      </w:r>
      <w:r>
        <w:t xml:space="preserve">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w:t>
      </w:r>
      <w:r>
        <w:t>he collected amounts to the applicable Transmission Owner(s).  Any SIRC rate schedule developed by LIPA under this Tariff will be effective upon receipt by the ISO, subject to any applicable laws and orders.</w:t>
      </w:r>
    </w:p>
    <w:sectPr w:rsidR="00DB05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E3F">
      <w:r>
        <w:separator/>
      </w:r>
    </w:p>
  </w:endnote>
  <w:endnote w:type="continuationSeparator" w:id="0">
    <w:p w:rsidR="00000000" w:rsidRDefault="0063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pPr>
      <w:jc w:val="right"/>
    </w:pPr>
    <w:r>
      <w:rPr>
        <w:rFonts w:ascii="Arial" w:eastAsia="Arial" w:hAnsi="Arial" w:cs="Arial"/>
        <w:color w:val="000000"/>
        <w:sz w:val="16"/>
      </w:rPr>
      <w:t xml:space="preserve">Effective Date: 8/22/2022 - Docket #: ER22-2154-001 -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E3F">
      <w:r>
        <w:separator/>
      </w:r>
    </w:p>
  </w:footnote>
  <w:footnote w:type="continuationSeparator" w:id="0">
    <w:p w:rsidR="00000000" w:rsidRDefault="00630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r>
      <w:rPr>
        <w:rFonts w:ascii="Arial" w:eastAsia="Arial" w:hAnsi="Arial" w:cs="Arial"/>
        <w:color w:val="000000"/>
        <w:sz w:val="16"/>
      </w:rPr>
      <w:t xml:space="preserve">NYISO Tariffs --&gt; Open Access Transmission Tariff (OATT) --&gt; 2 OATT Common Service Provisions --&gt; 2.7 OATT </w:t>
    </w:r>
    <w:r>
      <w:rPr>
        <w:rFonts w:ascii="Arial" w:eastAsia="Arial" w:hAnsi="Arial" w:cs="Arial"/>
        <w:color w:val="000000"/>
        <w:sz w:val="16"/>
      </w:rPr>
      <w:t>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A9" w:rsidRDefault="00630E3F">
    <w:r>
      <w:rPr>
        <w:rFonts w:ascii="Arial" w:eastAsia="Arial" w:hAnsi="Arial" w:cs="Arial"/>
        <w:color w:val="000000"/>
        <w:sz w:val="16"/>
      </w:rPr>
      <w:t xml:space="preserve">NYISO Tariffs --&gt; Open Access Transmission Tariff (OATT) --&gt; 2 OATT Common Service Provisions --&gt; 2.7 </w:t>
    </w:r>
    <w:r>
      <w:rPr>
        <w:rFonts w:ascii="Arial" w:eastAsia="Arial" w:hAnsi="Arial" w:cs="Arial"/>
        <w:color w:val="000000"/>
        <w:sz w:val="16"/>
      </w:rPr>
      <w:t>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6F89F5A">
      <w:start w:val="1"/>
      <w:numFmt w:val="bullet"/>
      <w:pStyle w:val="Bulletpara"/>
      <w:lvlText w:val=""/>
      <w:lvlJc w:val="left"/>
      <w:pPr>
        <w:tabs>
          <w:tab w:val="num" w:pos="720"/>
        </w:tabs>
        <w:ind w:left="720" w:hanging="360"/>
      </w:pPr>
      <w:rPr>
        <w:rFonts w:ascii="Symbol" w:hAnsi="Symbol" w:hint="default"/>
      </w:rPr>
    </w:lvl>
    <w:lvl w:ilvl="1" w:tplc="C0228DE0" w:tentative="1">
      <w:start w:val="1"/>
      <w:numFmt w:val="bullet"/>
      <w:lvlText w:val="o"/>
      <w:lvlJc w:val="left"/>
      <w:pPr>
        <w:tabs>
          <w:tab w:val="num" w:pos="1440"/>
        </w:tabs>
        <w:ind w:left="1440" w:hanging="360"/>
      </w:pPr>
      <w:rPr>
        <w:rFonts w:ascii="Courier New" w:hAnsi="Courier New" w:cs="Courier New" w:hint="default"/>
      </w:rPr>
    </w:lvl>
    <w:lvl w:ilvl="2" w:tplc="459843FA" w:tentative="1">
      <w:start w:val="1"/>
      <w:numFmt w:val="bullet"/>
      <w:lvlText w:val=""/>
      <w:lvlJc w:val="left"/>
      <w:pPr>
        <w:tabs>
          <w:tab w:val="num" w:pos="2160"/>
        </w:tabs>
        <w:ind w:left="2160" w:hanging="360"/>
      </w:pPr>
      <w:rPr>
        <w:rFonts w:ascii="Wingdings" w:hAnsi="Wingdings" w:hint="default"/>
      </w:rPr>
    </w:lvl>
    <w:lvl w:ilvl="3" w:tplc="190AE7A6" w:tentative="1">
      <w:start w:val="1"/>
      <w:numFmt w:val="bullet"/>
      <w:lvlText w:val=""/>
      <w:lvlJc w:val="left"/>
      <w:pPr>
        <w:tabs>
          <w:tab w:val="num" w:pos="2880"/>
        </w:tabs>
        <w:ind w:left="2880" w:hanging="360"/>
      </w:pPr>
      <w:rPr>
        <w:rFonts w:ascii="Symbol" w:hAnsi="Symbol" w:hint="default"/>
      </w:rPr>
    </w:lvl>
    <w:lvl w:ilvl="4" w:tplc="5590F336" w:tentative="1">
      <w:start w:val="1"/>
      <w:numFmt w:val="bullet"/>
      <w:lvlText w:val="o"/>
      <w:lvlJc w:val="left"/>
      <w:pPr>
        <w:tabs>
          <w:tab w:val="num" w:pos="3600"/>
        </w:tabs>
        <w:ind w:left="3600" w:hanging="360"/>
      </w:pPr>
      <w:rPr>
        <w:rFonts w:ascii="Courier New" w:hAnsi="Courier New" w:cs="Courier New" w:hint="default"/>
      </w:rPr>
    </w:lvl>
    <w:lvl w:ilvl="5" w:tplc="20D6FFEA" w:tentative="1">
      <w:start w:val="1"/>
      <w:numFmt w:val="bullet"/>
      <w:lvlText w:val=""/>
      <w:lvlJc w:val="left"/>
      <w:pPr>
        <w:tabs>
          <w:tab w:val="num" w:pos="4320"/>
        </w:tabs>
        <w:ind w:left="4320" w:hanging="360"/>
      </w:pPr>
      <w:rPr>
        <w:rFonts w:ascii="Wingdings" w:hAnsi="Wingdings" w:hint="default"/>
      </w:rPr>
    </w:lvl>
    <w:lvl w:ilvl="6" w:tplc="6E149320" w:tentative="1">
      <w:start w:val="1"/>
      <w:numFmt w:val="bullet"/>
      <w:lvlText w:val=""/>
      <w:lvlJc w:val="left"/>
      <w:pPr>
        <w:tabs>
          <w:tab w:val="num" w:pos="5040"/>
        </w:tabs>
        <w:ind w:left="5040" w:hanging="360"/>
      </w:pPr>
      <w:rPr>
        <w:rFonts w:ascii="Symbol" w:hAnsi="Symbol" w:hint="default"/>
      </w:rPr>
    </w:lvl>
    <w:lvl w:ilvl="7" w:tplc="AD1C9804" w:tentative="1">
      <w:start w:val="1"/>
      <w:numFmt w:val="bullet"/>
      <w:lvlText w:val="o"/>
      <w:lvlJc w:val="left"/>
      <w:pPr>
        <w:tabs>
          <w:tab w:val="num" w:pos="5760"/>
        </w:tabs>
        <w:ind w:left="5760" w:hanging="360"/>
      </w:pPr>
      <w:rPr>
        <w:rFonts w:ascii="Courier New" w:hAnsi="Courier New" w:cs="Courier New" w:hint="default"/>
      </w:rPr>
    </w:lvl>
    <w:lvl w:ilvl="8" w:tplc="3962C24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34AE83E">
      <w:start w:val="1"/>
      <w:numFmt w:val="bullet"/>
      <w:lvlText w:val="­"/>
      <w:lvlJc w:val="left"/>
      <w:pPr>
        <w:tabs>
          <w:tab w:val="num" w:pos="720"/>
        </w:tabs>
        <w:ind w:left="720" w:hanging="360"/>
      </w:pPr>
      <w:rPr>
        <w:rFonts w:ascii="Courier New" w:hAnsi="Courier New" w:hint="default"/>
      </w:rPr>
    </w:lvl>
    <w:lvl w:ilvl="1" w:tplc="56C8A3C4" w:tentative="1">
      <w:start w:val="1"/>
      <w:numFmt w:val="bullet"/>
      <w:lvlText w:val="o"/>
      <w:lvlJc w:val="left"/>
      <w:pPr>
        <w:tabs>
          <w:tab w:val="num" w:pos="1440"/>
        </w:tabs>
        <w:ind w:left="1440" w:hanging="360"/>
      </w:pPr>
      <w:rPr>
        <w:rFonts w:ascii="Courier New" w:hAnsi="Courier New" w:cs="Courier New" w:hint="default"/>
      </w:rPr>
    </w:lvl>
    <w:lvl w:ilvl="2" w:tplc="08ECC9CA" w:tentative="1">
      <w:start w:val="1"/>
      <w:numFmt w:val="bullet"/>
      <w:lvlText w:val=""/>
      <w:lvlJc w:val="left"/>
      <w:pPr>
        <w:tabs>
          <w:tab w:val="num" w:pos="2160"/>
        </w:tabs>
        <w:ind w:left="2160" w:hanging="360"/>
      </w:pPr>
      <w:rPr>
        <w:rFonts w:ascii="Wingdings" w:hAnsi="Wingdings" w:hint="default"/>
      </w:rPr>
    </w:lvl>
    <w:lvl w:ilvl="3" w:tplc="CC2AF7CE" w:tentative="1">
      <w:start w:val="1"/>
      <w:numFmt w:val="bullet"/>
      <w:lvlText w:val=""/>
      <w:lvlJc w:val="left"/>
      <w:pPr>
        <w:tabs>
          <w:tab w:val="num" w:pos="2880"/>
        </w:tabs>
        <w:ind w:left="2880" w:hanging="360"/>
      </w:pPr>
      <w:rPr>
        <w:rFonts w:ascii="Symbol" w:hAnsi="Symbol" w:hint="default"/>
      </w:rPr>
    </w:lvl>
    <w:lvl w:ilvl="4" w:tplc="55285090" w:tentative="1">
      <w:start w:val="1"/>
      <w:numFmt w:val="bullet"/>
      <w:lvlText w:val="o"/>
      <w:lvlJc w:val="left"/>
      <w:pPr>
        <w:tabs>
          <w:tab w:val="num" w:pos="3600"/>
        </w:tabs>
        <w:ind w:left="3600" w:hanging="360"/>
      </w:pPr>
      <w:rPr>
        <w:rFonts w:ascii="Courier New" w:hAnsi="Courier New" w:cs="Courier New" w:hint="default"/>
      </w:rPr>
    </w:lvl>
    <w:lvl w:ilvl="5" w:tplc="3996A222" w:tentative="1">
      <w:start w:val="1"/>
      <w:numFmt w:val="bullet"/>
      <w:lvlText w:val=""/>
      <w:lvlJc w:val="left"/>
      <w:pPr>
        <w:tabs>
          <w:tab w:val="num" w:pos="4320"/>
        </w:tabs>
        <w:ind w:left="4320" w:hanging="360"/>
      </w:pPr>
      <w:rPr>
        <w:rFonts w:ascii="Wingdings" w:hAnsi="Wingdings" w:hint="default"/>
      </w:rPr>
    </w:lvl>
    <w:lvl w:ilvl="6" w:tplc="8C423996" w:tentative="1">
      <w:start w:val="1"/>
      <w:numFmt w:val="bullet"/>
      <w:lvlText w:val=""/>
      <w:lvlJc w:val="left"/>
      <w:pPr>
        <w:tabs>
          <w:tab w:val="num" w:pos="5040"/>
        </w:tabs>
        <w:ind w:left="5040" w:hanging="360"/>
      </w:pPr>
      <w:rPr>
        <w:rFonts w:ascii="Symbol" w:hAnsi="Symbol" w:hint="default"/>
      </w:rPr>
    </w:lvl>
    <w:lvl w:ilvl="7" w:tplc="82AC6728" w:tentative="1">
      <w:start w:val="1"/>
      <w:numFmt w:val="bullet"/>
      <w:lvlText w:val="o"/>
      <w:lvlJc w:val="left"/>
      <w:pPr>
        <w:tabs>
          <w:tab w:val="num" w:pos="5760"/>
        </w:tabs>
        <w:ind w:left="5760" w:hanging="360"/>
      </w:pPr>
      <w:rPr>
        <w:rFonts w:ascii="Courier New" w:hAnsi="Courier New" w:cs="Courier New" w:hint="default"/>
      </w:rPr>
    </w:lvl>
    <w:lvl w:ilvl="8" w:tplc="EBA0E6B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87EE012">
      <w:start w:val="1"/>
      <w:numFmt w:val="lowerRoman"/>
      <w:lvlText w:val="(%1)"/>
      <w:lvlJc w:val="left"/>
      <w:pPr>
        <w:tabs>
          <w:tab w:val="num" w:pos="2448"/>
        </w:tabs>
        <w:ind w:left="2448" w:hanging="648"/>
      </w:pPr>
      <w:rPr>
        <w:rFonts w:hint="default"/>
        <w:b w:val="0"/>
        <w:i w:val="0"/>
        <w:u w:val="none"/>
      </w:rPr>
    </w:lvl>
    <w:lvl w:ilvl="1" w:tplc="AB648D9C" w:tentative="1">
      <w:start w:val="1"/>
      <w:numFmt w:val="lowerLetter"/>
      <w:lvlText w:val="%2."/>
      <w:lvlJc w:val="left"/>
      <w:pPr>
        <w:tabs>
          <w:tab w:val="num" w:pos="1440"/>
        </w:tabs>
        <w:ind w:left="1440" w:hanging="360"/>
      </w:pPr>
    </w:lvl>
    <w:lvl w:ilvl="2" w:tplc="3D5C7982" w:tentative="1">
      <w:start w:val="1"/>
      <w:numFmt w:val="lowerRoman"/>
      <w:lvlText w:val="%3."/>
      <w:lvlJc w:val="right"/>
      <w:pPr>
        <w:tabs>
          <w:tab w:val="num" w:pos="2160"/>
        </w:tabs>
        <w:ind w:left="2160" w:hanging="180"/>
      </w:pPr>
    </w:lvl>
    <w:lvl w:ilvl="3" w:tplc="FCFE1EC4" w:tentative="1">
      <w:start w:val="1"/>
      <w:numFmt w:val="decimal"/>
      <w:lvlText w:val="%4."/>
      <w:lvlJc w:val="left"/>
      <w:pPr>
        <w:tabs>
          <w:tab w:val="num" w:pos="2880"/>
        </w:tabs>
        <w:ind w:left="2880" w:hanging="360"/>
      </w:pPr>
    </w:lvl>
    <w:lvl w:ilvl="4" w:tplc="CC1ABED0" w:tentative="1">
      <w:start w:val="1"/>
      <w:numFmt w:val="lowerLetter"/>
      <w:lvlText w:val="%5."/>
      <w:lvlJc w:val="left"/>
      <w:pPr>
        <w:tabs>
          <w:tab w:val="num" w:pos="3600"/>
        </w:tabs>
        <w:ind w:left="3600" w:hanging="360"/>
      </w:pPr>
    </w:lvl>
    <w:lvl w:ilvl="5" w:tplc="E098A12C" w:tentative="1">
      <w:start w:val="1"/>
      <w:numFmt w:val="lowerRoman"/>
      <w:lvlText w:val="%6."/>
      <w:lvlJc w:val="right"/>
      <w:pPr>
        <w:tabs>
          <w:tab w:val="num" w:pos="4320"/>
        </w:tabs>
        <w:ind w:left="4320" w:hanging="180"/>
      </w:pPr>
    </w:lvl>
    <w:lvl w:ilvl="6" w:tplc="B6DCC284" w:tentative="1">
      <w:start w:val="1"/>
      <w:numFmt w:val="decimal"/>
      <w:lvlText w:val="%7."/>
      <w:lvlJc w:val="left"/>
      <w:pPr>
        <w:tabs>
          <w:tab w:val="num" w:pos="5040"/>
        </w:tabs>
        <w:ind w:left="5040" w:hanging="360"/>
      </w:pPr>
    </w:lvl>
    <w:lvl w:ilvl="7" w:tplc="DEFE4C5C" w:tentative="1">
      <w:start w:val="1"/>
      <w:numFmt w:val="lowerLetter"/>
      <w:lvlText w:val="%8."/>
      <w:lvlJc w:val="left"/>
      <w:pPr>
        <w:tabs>
          <w:tab w:val="num" w:pos="5760"/>
        </w:tabs>
        <w:ind w:left="5760" w:hanging="360"/>
      </w:pPr>
    </w:lvl>
    <w:lvl w:ilvl="8" w:tplc="E76A5FD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73050EE">
      <w:start w:val="1"/>
      <w:numFmt w:val="bullet"/>
      <w:lvlText w:val=""/>
      <w:lvlJc w:val="left"/>
      <w:pPr>
        <w:tabs>
          <w:tab w:val="num" w:pos="5760"/>
        </w:tabs>
        <w:ind w:left="5760" w:hanging="360"/>
      </w:pPr>
      <w:rPr>
        <w:rFonts w:ascii="Symbol" w:hAnsi="Symbol" w:hint="default"/>
        <w:color w:val="auto"/>
        <w:u w:val="none"/>
      </w:rPr>
    </w:lvl>
    <w:lvl w:ilvl="1" w:tplc="2C309562" w:tentative="1">
      <w:start w:val="1"/>
      <w:numFmt w:val="bullet"/>
      <w:lvlText w:val="o"/>
      <w:lvlJc w:val="left"/>
      <w:pPr>
        <w:tabs>
          <w:tab w:val="num" w:pos="3600"/>
        </w:tabs>
        <w:ind w:left="3600" w:hanging="360"/>
      </w:pPr>
      <w:rPr>
        <w:rFonts w:ascii="Courier New" w:hAnsi="Courier New" w:hint="default"/>
      </w:rPr>
    </w:lvl>
    <w:lvl w:ilvl="2" w:tplc="45A2BBC0" w:tentative="1">
      <w:start w:val="1"/>
      <w:numFmt w:val="bullet"/>
      <w:lvlText w:val=""/>
      <w:lvlJc w:val="left"/>
      <w:pPr>
        <w:tabs>
          <w:tab w:val="num" w:pos="4320"/>
        </w:tabs>
        <w:ind w:left="4320" w:hanging="360"/>
      </w:pPr>
      <w:rPr>
        <w:rFonts w:ascii="Wingdings" w:hAnsi="Wingdings" w:hint="default"/>
      </w:rPr>
    </w:lvl>
    <w:lvl w:ilvl="3" w:tplc="62EED104">
      <w:start w:val="1"/>
      <w:numFmt w:val="bullet"/>
      <w:lvlText w:val=""/>
      <w:lvlJc w:val="left"/>
      <w:pPr>
        <w:tabs>
          <w:tab w:val="num" w:pos="5040"/>
        </w:tabs>
        <w:ind w:left="5040" w:hanging="360"/>
      </w:pPr>
      <w:rPr>
        <w:rFonts w:ascii="Symbol" w:hAnsi="Symbol" w:hint="default"/>
      </w:rPr>
    </w:lvl>
    <w:lvl w:ilvl="4" w:tplc="426C84B6" w:tentative="1">
      <w:start w:val="1"/>
      <w:numFmt w:val="bullet"/>
      <w:lvlText w:val="o"/>
      <w:lvlJc w:val="left"/>
      <w:pPr>
        <w:tabs>
          <w:tab w:val="num" w:pos="5760"/>
        </w:tabs>
        <w:ind w:left="5760" w:hanging="360"/>
      </w:pPr>
      <w:rPr>
        <w:rFonts w:ascii="Courier New" w:hAnsi="Courier New" w:hint="default"/>
      </w:rPr>
    </w:lvl>
    <w:lvl w:ilvl="5" w:tplc="CD9A044C" w:tentative="1">
      <w:start w:val="1"/>
      <w:numFmt w:val="bullet"/>
      <w:lvlText w:val=""/>
      <w:lvlJc w:val="left"/>
      <w:pPr>
        <w:tabs>
          <w:tab w:val="num" w:pos="6480"/>
        </w:tabs>
        <w:ind w:left="6480" w:hanging="360"/>
      </w:pPr>
      <w:rPr>
        <w:rFonts w:ascii="Wingdings" w:hAnsi="Wingdings" w:hint="default"/>
      </w:rPr>
    </w:lvl>
    <w:lvl w:ilvl="6" w:tplc="3014D19E" w:tentative="1">
      <w:start w:val="1"/>
      <w:numFmt w:val="bullet"/>
      <w:lvlText w:val=""/>
      <w:lvlJc w:val="left"/>
      <w:pPr>
        <w:tabs>
          <w:tab w:val="num" w:pos="7200"/>
        </w:tabs>
        <w:ind w:left="7200" w:hanging="360"/>
      </w:pPr>
      <w:rPr>
        <w:rFonts w:ascii="Symbol" w:hAnsi="Symbol" w:hint="default"/>
      </w:rPr>
    </w:lvl>
    <w:lvl w:ilvl="7" w:tplc="10DE5B6A" w:tentative="1">
      <w:start w:val="1"/>
      <w:numFmt w:val="bullet"/>
      <w:lvlText w:val="o"/>
      <w:lvlJc w:val="left"/>
      <w:pPr>
        <w:tabs>
          <w:tab w:val="num" w:pos="7920"/>
        </w:tabs>
        <w:ind w:left="7920" w:hanging="360"/>
      </w:pPr>
      <w:rPr>
        <w:rFonts w:ascii="Courier New" w:hAnsi="Courier New" w:hint="default"/>
      </w:rPr>
    </w:lvl>
    <w:lvl w:ilvl="8" w:tplc="7548DC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A9"/>
    <w:rsid w:val="00630E3F"/>
    <w:rsid w:val="00911C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1">
    <w:name w:val="Heading 3 Char1"/>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Normal"/>
    <w:pPr>
      <w:keepNext/>
      <w:widowControl/>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5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6758</Words>
  <Characters>38527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2</vt:lpstr>
    </vt:vector>
  </TitlesOfParts>
  <Company>NYISO</Company>
  <LinksUpToDate>false</LinksUpToDate>
  <CharactersWithSpaces>45195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Schnell, Alex</dc:creator>
  <cp:lastModifiedBy>TMS IIS</cp:lastModifiedBy>
  <cp:revision>2</cp:revision>
  <cp:lastPrinted>2012-02-22T15:29:00Z</cp:lastPrinted>
  <dcterms:created xsi:type="dcterms:W3CDTF">2023-09-15T17:57:00Z</dcterms:created>
  <dcterms:modified xsi:type="dcterms:W3CDTF">2023-09-15T17:57:00Z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290728240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[EXT] Re: &lt;External Sender&gt; Re: Timing of Filing</vt:lpwstr>
  </property>
  <property fmtid="{D5CDD505-2E9C-101B-9397-08002B2CF9AE}" pid="7" name="_NewReviewCycle">
    <vt:lpwstr/>
  </property>
  <property fmtid="{D5CDD505-2E9C-101B-9397-08002B2CF9AE}" pid="8" name="_PreviousAdHocReviewCycleID">
    <vt:i4>-1185148688</vt:i4>
  </property>
  <property fmtid="{D5CDD505-2E9C-101B-9397-08002B2CF9AE}" pid="9" name="_ReviewingToolsShownOnce">
    <vt:lpwstr/>
  </property>
</Properties>
</file>