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E41" w:rsidRPr="00EF1CAD" w:rsidRDefault="004C3747" w:rsidP="00EF1CAD">
      <w:pPr>
        <w:pStyle w:val="Heading2"/>
      </w:pPr>
      <w:bookmarkStart w:id="0" w:name="_Toc263333552"/>
      <w:r w:rsidRPr="00EF1CAD">
        <w:t>19.1</w:t>
      </w:r>
      <w:r w:rsidRPr="00EF1CAD">
        <w:tab/>
        <w:t>Overview of the Sales of TCCs</w:t>
      </w:r>
      <w:bookmarkEnd w:id="0"/>
    </w:p>
    <w:p w:rsidR="00804E41" w:rsidRPr="0032625F" w:rsidRDefault="004C3747" w:rsidP="001C6A83">
      <w:pPr>
        <w:pStyle w:val="Bodypara"/>
      </w:pPr>
      <w:r>
        <w:t>TCCs will be made available through</w:t>
      </w:r>
      <w:r w:rsidRPr="00D83713">
        <w:t>:</w:t>
      </w:r>
      <w:r>
        <w:t xml:space="preserve"> (i) the Centralized TCC Auction </w:t>
      </w:r>
      <w:r w:rsidRPr="0032625F">
        <w:t xml:space="preserve"> a</w:t>
      </w:r>
      <w:r>
        <w:t>nd Reconfiguration Auction, which will be conducted by the ISO; (ii) Direct Sales by the Transmission Owners, which will be non-discriminatory, auditable sales conducted solely on the OASIS in compliance with the applicable requirements and restrictions se</w:t>
      </w:r>
      <w:r>
        <w:t xml:space="preserve">t forth in Order No. </w:t>
      </w:r>
      <w:r w:rsidRPr="00DD3CC4">
        <w:t xml:space="preserve">889 </w:t>
      </w:r>
      <w:r w:rsidRPr="00DD3CC4">
        <w:rPr>
          <w:u w:val="single"/>
        </w:rPr>
        <w:t>et</w:t>
      </w:r>
      <w:r w:rsidRPr="00DD3CC4">
        <w:t xml:space="preserve"> </w:t>
      </w:r>
      <w:r w:rsidRPr="00DD3CC4">
        <w:rPr>
          <w:u w:val="single"/>
        </w:rPr>
        <w:t>seq</w:t>
      </w:r>
      <w:r w:rsidRPr="00DD3CC4">
        <w:t xml:space="preserve">.; </w:t>
      </w:r>
      <w:r w:rsidRPr="00DD3CC4">
        <w:rPr>
          <w:bCs/>
        </w:rPr>
        <w:t xml:space="preserve">(iii) the conversion of transmission </w:t>
      </w:r>
      <w:r w:rsidRPr="00EE5817">
        <w:rPr>
          <w:bCs/>
        </w:rPr>
        <w:t>Capa</w:t>
      </w:r>
      <w:r w:rsidRPr="00DD3CC4">
        <w:rPr>
          <w:bCs/>
        </w:rPr>
        <w:t xml:space="preserve">city associated with certain Existing Transmission Agreements (“ETAs”) pursuant to Section </w:t>
      </w:r>
      <w:r>
        <w:t>19.</w:t>
      </w:r>
      <w:r w:rsidRPr="00DD3CC4">
        <w:rPr>
          <w:bCs/>
        </w:rPr>
        <w:t>2</w:t>
      </w:r>
      <w:r w:rsidRPr="00EE5817">
        <w:rPr>
          <w:bCs/>
        </w:rPr>
        <w:t>.1</w:t>
      </w:r>
      <w:r w:rsidRPr="00DD3CC4">
        <w:rPr>
          <w:bCs/>
        </w:rPr>
        <w:t xml:space="preserve"> of this Attachment M; (iv) the award of </w:t>
      </w:r>
      <w:r>
        <w:rPr>
          <w:bCs/>
        </w:rPr>
        <w:t xml:space="preserve"> Non-Historic Fixed Price TCCs pursuant to </w:t>
      </w:r>
      <w:r>
        <w:rPr>
          <w:bCs/>
        </w:rPr>
        <w:t>Section 19.2.</w:t>
      </w:r>
      <w:r>
        <w:rPr>
          <w:bCs/>
        </w:rPr>
        <w:t>4</w:t>
      </w:r>
      <w:r>
        <w:rPr>
          <w:bCs/>
        </w:rPr>
        <w:t xml:space="preserve"> of this Attachment M; (v) the award of </w:t>
      </w:r>
      <w:r w:rsidRPr="00DD3CC4">
        <w:rPr>
          <w:bCs/>
        </w:rPr>
        <w:t xml:space="preserve">Incremental TCCs pursuant to Section </w:t>
      </w:r>
      <w:r>
        <w:rPr>
          <w:bCs/>
        </w:rPr>
        <w:t>19.</w:t>
      </w:r>
      <w:r w:rsidRPr="00DD3CC4">
        <w:rPr>
          <w:bCs/>
        </w:rPr>
        <w:t>2</w:t>
      </w:r>
      <w:r>
        <w:rPr>
          <w:bCs/>
        </w:rPr>
        <w:t>.</w:t>
      </w:r>
      <w:r>
        <w:rPr>
          <w:bCs/>
        </w:rPr>
        <w:t>4</w:t>
      </w:r>
      <w:r w:rsidRPr="00DD3CC4">
        <w:rPr>
          <w:bCs/>
        </w:rPr>
        <w:t xml:space="preserve"> of this At</w:t>
      </w:r>
      <w:r w:rsidRPr="00EE5817">
        <w:rPr>
          <w:bCs/>
        </w:rPr>
        <w:t>tachment M; (v</w:t>
      </w:r>
      <w:r>
        <w:rPr>
          <w:bCs/>
        </w:rPr>
        <w:t>i</w:t>
      </w:r>
      <w:r w:rsidRPr="00EE5817">
        <w:rPr>
          <w:bCs/>
        </w:rPr>
        <w:t>) the conversion of ETCNL into ETCNL TCCs; and (vi</w:t>
      </w:r>
      <w:r>
        <w:rPr>
          <w:bCs/>
        </w:rPr>
        <w:t>i</w:t>
      </w:r>
      <w:r w:rsidRPr="00EE5817">
        <w:rPr>
          <w:bCs/>
        </w:rPr>
        <w:t>) the conversion of RCRRs into RCRR TCCs.  TCCs may also be available through resa</w:t>
      </w:r>
      <w:r w:rsidRPr="00EE5817">
        <w:rPr>
          <w:bCs/>
        </w:rPr>
        <w:t>le on the Secondary Mar</w:t>
      </w:r>
      <w:r>
        <w:rPr>
          <w:bCs/>
        </w:rPr>
        <w:t>k</w:t>
      </w:r>
      <w:r w:rsidRPr="00EE5817">
        <w:rPr>
          <w:bCs/>
        </w:rPr>
        <w:t>ets.  Prior to the first Centralized TCC Auction, the NYISO distributed to Transmission Owners Original Residual TCCs, the NYISO designated certain transmission Capacity as ETCNL, and some Transmission Owners converted their Grandfa</w:t>
      </w:r>
      <w:r w:rsidRPr="00EE5817">
        <w:rPr>
          <w:bCs/>
        </w:rPr>
        <w:t xml:space="preserve">thered Rights into Grandfathered TCCs. </w:t>
      </w:r>
    </w:p>
    <w:p w:rsidR="00804E41" w:rsidRPr="00EE5817" w:rsidRDefault="004C3747" w:rsidP="001C6A83">
      <w:pPr>
        <w:pStyle w:val="Heading3"/>
      </w:pPr>
      <w:bookmarkStart w:id="1" w:name="_Toc263333553"/>
      <w:r w:rsidRPr="00EE5817">
        <w:t>19.1.1</w:t>
      </w:r>
      <w:r w:rsidRPr="00EE5817">
        <w:tab/>
        <w:t>Preservation of Tax-Exempt Financing</w:t>
      </w:r>
      <w:bookmarkEnd w:id="1"/>
    </w:p>
    <w:p w:rsidR="00804E41" w:rsidRDefault="004C3747" w:rsidP="001C6A83">
      <w:pPr>
        <w:pStyle w:val="Bodypara"/>
        <w:rPr>
          <w:b/>
        </w:rPr>
      </w:pPr>
      <w:r w:rsidRPr="00EE5817">
        <w:t>Notwithstanding</w:t>
      </w:r>
      <w:r w:rsidRPr="00EE5817">
        <w:rPr>
          <w:bCs/>
        </w:rPr>
        <w:t xml:space="preserve"> any other provision of Section </w:t>
      </w:r>
      <w:r w:rsidRPr="00EE5817">
        <w:rPr>
          <w:bCs/>
        </w:rPr>
        <w:t>19.</w:t>
      </w:r>
      <w:r w:rsidRPr="00EE5817">
        <w:rPr>
          <w:bCs/>
        </w:rPr>
        <w:t>2.1 of this Attachment M, neither the ISO nor the Transmission Owners shall be required to grant, or allow the use of, tra</w:t>
      </w:r>
      <w:r w:rsidRPr="00EE5817">
        <w:rPr>
          <w:bCs/>
        </w:rPr>
        <w:t>nsmission rights that</w:t>
      </w:r>
      <w:r>
        <w:rPr>
          <w:bCs/>
        </w:rPr>
        <w:t xml:space="preserve"> </w:t>
      </w:r>
      <w:r w:rsidRPr="00EE5817">
        <w:rPr>
          <w:bCs/>
        </w:rPr>
        <w:t>would jeopardize the tax-exempt status of any Local Furnishing Bond(s), Government Bonds, LIPA Tax-Exempt Bonds or any other tax-exempt debt obligations, or impair the ability of a Transmission Owner to issue future tax-exempt obligat</w:t>
      </w:r>
      <w:r w:rsidRPr="00EE5817">
        <w:rPr>
          <w:bCs/>
        </w:rPr>
        <w:t>ions.</w:t>
      </w:r>
      <w:r w:rsidRPr="00182701">
        <w:rPr>
          <w:b/>
          <w:strike/>
        </w:rPr>
        <w:t xml:space="preserve">  </w:t>
      </w:r>
    </w:p>
    <w:sectPr w:rsidR="00804E41" w:rsidSect="007E1D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419" w:rsidRDefault="00A82419" w:rsidP="00A82419">
      <w:pPr>
        <w:spacing w:after="0" w:line="240" w:lineRule="auto"/>
      </w:pPr>
      <w:r>
        <w:separator/>
      </w:r>
    </w:p>
  </w:endnote>
  <w:endnote w:type="continuationSeparator" w:id="0">
    <w:p w:rsidR="00A82419" w:rsidRDefault="00A82419" w:rsidP="00A824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19" w:rsidRDefault="004C3747">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 Page </w:t>
    </w:r>
    <w:r w:rsidR="00A82419">
      <w:rPr>
        <w:rFonts w:ascii="Arial" w:eastAsia="Arial" w:hAnsi="Arial" w:cs="Arial"/>
        <w:color w:val="000000"/>
        <w:sz w:val="16"/>
      </w:rPr>
      <w:fldChar w:fldCharType="begin"/>
    </w:r>
    <w:r>
      <w:rPr>
        <w:rFonts w:ascii="Arial" w:eastAsia="Arial" w:hAnsi="Arial" w:cs="Arial"/>
        <w:color w:val="000000"/>
        <w:sz w:val="16"/>
      </w:rPr>
      <w:instrText>PAGE</w:instrText>
    </w:r>
    <w:r w:rsidR="00A8241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19" w:rsidRDefault="004C3747">
    <w:pPr>
      <w:jc w:val="right"/>
      <w:rPr>
        <w:rFonts w:ascii="Arial" w:eastAsia="Arial" w:hAnsi="Arial" w:cs="Arial"/>
        <w:color w:val="000000"/>
        <w:sz w:val="16"/>
      </w:rPr>
    </w:pPr>
    <w:r>
      <w:rPr>
        <w:rFonts w:ascii="Arial" w:eastAsia="Arial" w:hAnsi="Arial" w:cs="Arial"/>
        <w:color w:val="000000"/>
        <w:sz w:val="16"/>
      </w:rPr>
      <w:t>Effective Date: 10/24/2</w:t>
    </w:r>
    <w:r>
      <w:rPr>
        <w:rFonts w:ascii="Arial" w:eastAsia="Arial" w:hAnsi="Arial" w:cs="Arial"/>
        <w:color w:val="000000"/>
        <w:sz w:val="16"/>
      </w:rPr>
      <w:t xml:space="preserve">012 - Docket #: ER12-1868-001 - Page </w:t>
    </w:r>
    <w:r w:rsidR="00A8241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8241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19" w:rsidRDefault="004C3747">
    <w:pPr>
      <w:jc w:val="right"/>
      <w:rPr>
        <w:rFonts w:ascii="Arial" w:eastAsia="Arial" w:hAnsi="Arial" w:cs="Arial"/>
        <w:color w:val="000000"/>
        <w:sz w:val="16"/>
      </w:rPr>
    </w:pPr>
    <w:r>
      <w:rPr>
        <w:rFonts w:ascii="Arial" w:eastAsia="Arial" w:hAnsi="Arial" w:cs="Arial"/>
        <w:color w:val="000000"/>
        <w:sz w:val="16"/>
      </w:rPr>
      <w:t>Effective Date: 10/24/2012 - Docket #: E</w:t>
    </w:r>
    <w:r>
      <w:rPr>
        <w:rFonts w:ascii="Arial" w:eastAsia="Arial" w:hAnsi="Arial" w:cs="Arial"/>
        <w:color w:val="000000"/>
        <w:sz w:val="16"/>
      </w:rPr>
      <w:t xml:space="preserve">R12-1868-001 - Page </w:t>
    </w:r>
    <w:r w:rsidR="00A82419">
      <w:rPr>
        <w:rFonts w:ascii="Arial" w:eastAsia="Arial" w:hAnsi="Arial" w:cs="Arial"/>
        <w:color w:val="000000"/>
        <w:sz w:val="16"/>
      </w:rPr>
      <w:fldChar w:fldCharType="begin"/>
    </w:r>
    <w:r>
      <w:rPr>
        <w:rFonts w:ascii="Arial" w:eastAsia="Arial" w:hAnsi="Arial" w:cs="Arial"/>
        <w:color w:val="000000"/>
        <w:sz w:val="16"/>
      </w:rPr>
      <w:instrText>PAGE</w:instrText>
    </w:r>
    <w:r w:rsidR="00A8241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419" w:rsidRDefault="00A82419" w:rsidP="00A82419">
      <w:pPr>
        <w:spacing w:after="0" w:line="240" w:lineRule="auto"/>
      </w:pPr>
      <w:r>
        <w:separator/>
      </w:r>
    </w:p>
  </w:footnote>
  <w:footnote w:type="continuationSeparator" w:id="0">
    <w:p w:rsidR="00A82419" w:rsidRDefault="00A82419" w:rsidP="00A824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19" w:rsidRDefault="004C3747">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 OATT Att M Overview of the Sales of TCCs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19" w:rsidRDefault="004C3747">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19 OATT Attachment M - Sale And Award Of Transmission Conges --&gt; 19.1 OATT Att M Overview of the Sales of TCCs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19" w:rsidRDefault="004C3747">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 OATT Att M Overview of the Sales of TCCs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EED89A58">
      <w:start w:val="1"/>
      <w:numFmt w:val="bullet"/>
      <w:pStyle w:val="Bulletpara"/>
      <w:lvlText w:val=""/>
      <w:lvlJc w:val="left"/>
      <w:pPr>
        <w:tabs>
          <w:tab w:val="num" w:pos="720"/>
        </w:tabs>
        <w:ind w:left="720" w:hanging="360"/>
      </w:pPr>
      <w:rPr>
        <w:rFonts w:ascii="Symbol" w:hAnsi="Symbol" w:hint="default"/>
      </w:rPr>
    </w:lvl>
    <w:lvl w:ilvl="1" w:tplc="AD24BDA4" w:tentative="1">
      <w:start w:val="1"/>
      <w:numFmt w:val="bullet"/>
      <w:lvlText w:val="o"/>
      <w:lvlJc w:val="left"/>
      <w:pPr>
        <w:tabs>
          <w:tab w:val="num" w:pos="1440"/>
        </w:tabs>
        <w:ind w:left="1440" w:hanging="360"/>
      </w:pPr>
      <w:rPr>
        <w:rFonts w:ascii="Courier New" w:hAnsi="Courier New" w:cs="Courier New" w:hint="default"/>
      </w:rPr>
    </w:lvl>
    <w:lvl w:ilvl="2" w:tplc="B3AC7608" w:tentative="1">
      <w:start w:val="1"/>
      <w:numFmt w:val="bullet"/>
      <w:lvlText w:val=""/>
      <w:lvlJc w:val="left"/>
      <w:pPr>
        <w:tabs>
          <w:tab w:val="num" w:pos="2160"/>
        </w:tabs>
        <w:ind w:left="2160" w:hanging="360"/>
      </w:pPr>
      <w:rPr>
        <w:rFonts w:ascii="Wingdings" w:hAnsi="Wingdings" w:hint="default"/>
      </w:rPr>
    </w:lvl>
    <w:lvl w:ilvl="3" w:tplc="6C14D4FA" w:tentative="1">
      <w:start w:val="1"/>
      <w:numFmt w:val="bullet"/>
      <w:lvlText w:val=""/>
      <w:lvlJc w:val="left"/>
      <w:pPr>
        <w:tabs>
          <w:tab w:val="num" w:pos="2880"/>
        </w:tabs>
        <w:ind w:left="2880" w:hanging="360"/>
      </w:pPr>
      <w:rPr>
        <w:rFonts w:ascii="Symbol" w:hAnsi="Symbol" w:hint="default"/>
      </w:rPr>
    </w:lvl>
    <w:lvl w:ilvl="4" w:tplc="12AEEE0A" w:tentative="1">
      <w:start w:val="1"/>
      <w:numFmt w:val="bullet"/>
      <w:lvlText w:val="o"/>
      <w:lvlJc w:val="left"/>
      <w:pPr>
        <w:tabs>
          <w:tab w:val="num" w:pos="3600"/>
        </w:tabs>
        <w:ind w:left="3600" w:hanging="360"/>
      </w:pPr>
      <w:rPr>
        <w:rFonts w:ascii="Courier New" w:hAnsi="Courier New" w:cs="Courier New" w:hint="default"/>
      </w:rPr>
    </w:lvl>
    <w:lvl w:ilvl="5" w:tplc="82964320" w:tentative="1">
      <w:start w:val="1"/>
      <w:numFmt w:val="bullet"/>
      <w:lvlText w:val=""/>
      <w:lvlJc w:val="left"/>
      <w:pPr>
        <w:tabs>
          <w:tab w:val="num" w:pos="4320"/>
        </w:tabs>
        <w:ind w:left="4320" w:hanging="360"/>
      </w:pPr>
      <w:rPr>
        <w:rFonts w:ascii="Wingdings" w:hAnsi="Wingdings" w:hint="default"/>
      </w:rPr>
    </w:lvl>
    <w:lvl w:ilvl="6" w:tplc="A40831EE" w:tentative="1">
      <w:start w:val="1"/>
      <w:numFmt w:val="bullet"/>
      <w:lvlText w:val=""/>
      <w:lvlJc w:val="left"/>
      <w:pPr>
        <w:tabs>
          <w:tab w:val="num" w:pos="5040"/>
        </w:tabs>
        <w:ind w:left="5040" w:hanging="360"/>
      </w:pPr>
      <w:rPr>
        <w:rFonts w:ascii="Symbol" w:hAnsi="Symbol" w:hint="default"/>
      </w:rPr>
    </w:lvl>
    <w:lvl w:ilvl="7" w:tplc="F4C84EEA" w:tentative="1">
      <w:start w:val="1"/>
      <w:numFmt w:val="bullet"/>
      <w:lvlText w:val="o"/>
      <w:lvlJc w:val="left"/>
      <w:pPr>
        <w:tabs>
          <w:tab w:val="num" w:pos="5760"/>
        </w:tabs>
        <w:ind w:left="5760" w:hanging="360"/>
      </w:pPr>
      <w:rPr>
        <w:rFonts w:ascii="Courier New" w:hAnsi="Courier New" w:cs="Courier New" w:hint="default"/>
      </w:rPr>
    </w:lvl>
    <w:lvl w:ilvl="8" w:tplc="D84C5F82"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tplc="51A45888">
      <w:start w:val="1"/>
      <w:numFmt w:val="lowerRoman"/>
      <w:lvlText w:val="(%1)"/>
      <w:lvlJc w:val="left"/>
      <w:pPr>
        <w:tabs>
          <w:tab w:val="num" w:pos="2448"/>
        </w:tabs>
        <w:ind w:left="2448" w:hanging="648"/>
      </w:pPr>
      <w:rPr>
        <w:rFonts w:hint="default"/>
        <w:b w:val="0"/>
        <w:i w:val="0"/>
        <w:u w:val="none"/>
      </w:rPr>
    </w:lvl>
    <w:lvl w:ilvl="1" w:tplc="AEA20380" w:tentative="1">
      <w:start w:val="1"/>
      <w:numFmt w:val="lowerLetter"/>
      <w:lvlText w:val="%2."/>
      <w:lvlJc w:val="left"/>
      <w:pPr>
        <w:tabs>
          <w:tab w:val="num" w:pos="1440"/>
        </w:tabs>
        <w:ind w:left="1440" w:hanging="360"/>
      </w:pPr>
    </w:lvl>
    <w:lvl w:ilvl="2" w:tplc="9D02FCF2" w:tentative="1">
      <w:start w:val="1"/>
      <w:numFmt w:val="lowerRoman"/>
      <w:lvlText w:val="%3."/>
      <w:lvlJc w:val="right"/>
      <w:pPr>
        <w:tabs>
          <w:tab w:val="num" w:pos="2160"/>
        </w:tabs>
        <w:ind w:left="2160" w:hanging="180"/>
      </w:pPr>
    </w:lvl>
    <w:lvl w:ilvl="3" w:tplc="76308822" w:tentative="1">
      <w:start w:val="1"/>
      <w:numFmt w:val="decimal"/>
      <w:lvlText w:val="%4."/>
      <w:lvlJc w:val="left"/>
      <w:pPr>
        <w:tabs>
          <w:tab w:val="num" w:pos="2880"/>
        </w:tabs>
        <w:ind w:left="2880" w:hanging="360"/>
      </w:pPr>
    </w:lvl>
    <w:lvl w:ilvl="4" w:tplc="21D2E9CA" w:tentative="1">
      <w:start w:val="1"/>
      <w:numFmt w:val="lowerLetter"/>
      <w:lvlText w:val="%5."/>
      <w:lvlJc w:val="left"/>
      <w:pPr>
        <w:tabs>
          <w:tab w:val="num" w:pos="3600"/>
        </w:tabs>
        <w:ind w:left="3600" w:hanging="360"/>
      </w:pPr>
    </w:lvl>
    <w:lvl w:ilvl="5" w:tplc="920EBBA4" w:tentative="1">
      <w:start w:val="1"/>
      <w:numFmt w:val="lowerRoman"/>
      <w:lvlText w:val="%6."/>
      <w:lvlJc w:val="right"/>
      <w:pPr>
        <w:tabs>
          <w:tab w:val="num" w:pos="4320"/>
        </w:tabs>
        <w:ind w:left="4320" w:hanging="180"/>
      </w:pPr>
    </w:lvl>
    <w:lvl w:ilvl="6" w:tplc="03CC0034" w:tentative="1">
      <w:start w:val="1"/>
      <w:numFmt w:val="decimal"/>
      <w:lvlText w:val="%7."/>
      <w:lvlJc w:val="left"/>
      <w:pPr>
        <w:tabs>
          <w:tab w:val="num" w:pos="5040"/>
        </w:tabs>
        <w:ind w:left="5040" w:hanging="360"/>
      </w:pPr>
    </w:lvl>
    <w:lvl w:ilvl="7" w:tplc="2B3C2240" w:tentative="1">
      <w:start w:val="1"/>
      <w:numFmt w:val="lowerLetter"/>
      <w:lvlText w:val="%8."/>
      <w:lvlJc w:val="left"/>
      <w:pPr>
        <w:tabs>
          <w:tab w:val="num" w:pos="5760"/>
        </w:tabs>
        <w:ind w:left="5760" w:hanging="360"/>
      </w:pPr>
    </w:lvl>
    <w:lvl w:ilvl="8" w:tplc="4120C5DC"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53384FAB"/>
    <w:multiLevelType w:val="hybridMultilevel"/>
    <w:tmpl w:val="1592D1C2"/>
    <w:lvl w:ilvl="0" w:tplc="136438BC">
      <w:start w:val="1"/>
      <w:numFmt w:val="bullet"/>
      <w:lvlText w:val=""/>
      <w:lvlJc w:val="left"/>
      <w:pPr>
        <w:tabs>
          <w:tab w:val="num" w:pos="2160"/>
        </w:tabs>
        <w:ind w:left="2160" w:hanging="360"/>
      </w:pPr>
      <w:rPr>
        <w:rFonts w:ascii="Symbol" w:hAnsi="Symbol" w:hint="default"/>
      </w:rPr>
    </w:lvl>
    <w:lvl w:ilvl="1" w:tplc="DBE6834E" w:tentative="1">
      <w:start w:val="1"/>
      <w:numFmt w:val="bullet"/>
      <w:lvlText w:val="o"/>
      <w:lvlJc w:val="left"/>
      <w:pPr>
        <w:tabs>
          <w:tab w:val="num" w:pos="2880"/>
        </w:tabs>
        <w:ind w:left="2880" w:hanging="360"/>
      </w:pPr>
      <w:rPr>
        <w:rFonts w:ascii="Courier New" w:hAnsi="Courier New" w:cs="Courier New" w:hint="default"/>
      </w:rPr>
    </w:lvl>
    <w:lvl w:ilvl="2" w:tplc="D9ECC752" w:tentative="1">
      <w:start w:val="1"/>
      <w:numFmt w:val="bullet"/>
      <w:lvlText w:val=""/>
      <w:lvlJc w:val="left"/>
      <w:pPr>
        <w:tabs>
          <w:tab w:val="num" w:pos="3600"/>
        </w:tabs>
        <w:ind w:left="3600" w:hanging="360"/>
      </w:pPr>
      <w:rPr>
        <w:rFonts w:ascii="Wingdings" w:hAnsi="Wingdings" w:hint="default"/>
      </w:rPr>
    </w:lvl>
    <w:lvl w:ilvl="3" w:tplc="237A869A" w:tentative="1">
      <w:start w:val="1"/>
      <w:numFmt w:val="bullet"/>
      <w:lvlText w:val=""/>
      <w:lvlJc w:val="left"/>
      <w:pPr>
        <w:tabs>
          <w:tab w:val="num" w:pos="4320"/>
        </w:tabs>
        <w:ind w:left="4320" w:hanging="360"/>
      </w:pPr>
      <w:rPr>
        <w:rFonts w:ascii="Symbol" w:hAnsi="Symbol" w:hint="default"/>
      </w:rPr>
    </w:lvl>
    <w:lvl w:ilvl="4" w:tplc="5614B122" w:tentative="1">
      <w:start w:val="1"/>
      <w:numFmt w:val="bullet"/>
      <w:lvlText w:val="o"/>
      <w:lvlJc w:val="left"/>
      <w:pPr>
        <w:tabs>
          <w:tab w:val="num" w:pos="5040"/>
        </w:tabs>
        <w:ind w:left="5040" w:hanging="360"/>
      </w:pPr>
      <w:rPr>
        <w:rFonts w:ascii="Courier New" w:hAnsi="Courier New" w:cs="Courier New" w:hint="default"/>
      </w:rPr>
    </w:lvl>
    <w:lvl w:ilvl="5" w:tplc="0660E2DE" w:tentative="1">
      <w:start w:val="1"/>
      <w:numFmt w:val="bullet"/>
      <w:lvlText w:val=""/>
      <w:lvlJc w:val="left"/>
      <w:pPr>
        <w:tabs>
          <w:tab w:val="num" w:pos="5760"/>
        </w:tabs>
        <w:ind w:left="5760" w:hanging="360"/>
      </w:pPr>
      <w:rPr>
        <w:rFonts w:ascii="Wingdings" w:hAnsi="Wingdings" w:hint="default"/>
      </w:rPr>
    </w:lvl>
    <w:lvl w:ilvl="6" w:tplc="E27EB330" w:tentative="1">
      <w:start w:val="1"/>
      <w:numFmt w:val="bullet"/>
      <w:lvlText w:val=""/>
      <w:lvlJc w:val="left"/>
      <w:pPr>
        <w:tabs>
          <w:tab w:val="num" w:pos="6480"/>
        </w:tabs>
        <w:ind w:left="6480" w:hanging="360"/>
      </w:pPr>
      <w:rPr>
        <w:rFonts w:ascii="Symbol" w:hAnsi="Symbol" w:hint="default"/>
      </w:rPr>
    </w:lvl>
    <w:lvl w:ilvl="7" w:tplc="C7DCC050" w:tentative="1">
      <w:start w:val="1"/>
      <w:numFmt w:val="bullet"/>
      <w:lvlText w:val="o"/>
      <w:lvlJc w:val="left"/>
      <w:pPr>
        <w:tabs>
          <w:tab w:val="num" w:pos="7200"/>
        </w:tabs>
        <w:ind w:left="7200" w:hanging="360"/>
      </w:pPr>
      <w:rPr>
        <w:rFonts w:ascii="Courier New" w:hAnsi="Courier New" w:cs="Courier New" w:hint="default"/>
      </w:rPr>
    </w:lvl>
    <w:lvl w:ilvl="8" w:tplc="4F945FE0" w:tentative="1">
      <w:start w:val="1"/>
      <w:numFmt w:val="bullet"/>
      <w:lvlText w:val=""/>
      <w:lvlJc w:val="left"/>
      <w:pPr>
        <w:tabs>
          <w:tab w:val="num" w:pos="7920"/>
        </w:tabs>
        <w:ind w:left="7920" w:hanging="360"/>
      </w:pPr>
      <w:rPr>
        <w:rFonts w:ascii="Wingdings" w:hAnsi="Wingdings" w:hint="default"/>
      </w:rPr>
    </w:lvl>
  </w:abstractNum>
  <w:abstractNum w:abstractNumId="19">
    <w:nsid w:val="5ED84470"/>
    <w:multiLevelType w:val="hybridMultilevel"/>
    <w:tmpl w:val="6D108DF8"/>
    <w:lvl w:ilvl="0" w:tplc="B6F0A6AE">
      <w:start w:val="1"/>
      <w:numFmt w:val="bullet"/>
      <w:lvlText w:val=""/>
      <w:lvlJc w:val="left"/>
      <w:pPr>
        <w:tabs>
          <w:tab w:val="num" w:pos="720"/>
        </w:tabs>
        <w:ind w:left="720" w:hanging="360"/>
      </w:pPr>
      <w:rPr>
        <w:rFonts w:ascii="Symbol" w:hAnsi="Symbol" w:hint="default"/>
      </w:rPr>
    </w:lvl>
    <w:lvl w:ilvl="1" w:tplc="FB08E8A8" w:tentative="1">
      <w:start w:val="1"/>
      <w:numFmt w:val="bullet"/>
      <w:lvlText w:val="o"/>
      <w:lvlJc w:val="left"/>
      <w:pPr>
        <w:tabs>
          <w:tab w:val="num" w:pos="1440"/>
        </w:tabs>
        <w:ind w:left="1440" w:hanging="360"/>
      </w:pPr>
      <w:rPr>
        <w:rFonts w:ascii="Courier New" w:hAnsi="Courier New" w:cs="Courier New" w:hint="default"/>
      </w:rPr>
    </w:lvl>
    <w:lvl w:ilvl="2" w:tplc="2D1E29FA" w:tentative="1">
      <w:start w:val="1"/>
      <w:numFmt w:val="bullet"/>
      <w:lvlText w:val=""/>
      <w:lvlJc w:val="left"/>
      <w:pPr>
        <w:tabs>
          <w:tab w:val="num" w:pos="2160"/>
        </w:tabs>
        <w:ind w:left="2160" w:hanging="360"/>
      </w:pPr>
      <w:rPr>
        <w:rFonts w:ascii="Wingdings" w:hAnsi="Wingdings" w:hint="default"/>
      </w:rPr>
    </w:lvl>
    <w:lvl w:ilvl="3" w:tplc="D4F0BC9A" w:tentative="1">
      <w:start w:val="1"/>
      <w:numFmt w:val="bullet"/>
      <w:lvlText w:val=""/>
      <w:lvlJc w:val="left"/>
      <w:pPr>
        <w:tabs>
          <w:tab w:val="num" w:pos="2880"/>
        </w:tabs>
        <w:ind w:left="2880" w:hanging="360"/>
      </w:pPr>
      <w:rPr>
        <w:rFonts w:ascii="Symbol" w:hAnsi="Symbol" w:hint="default"/>
      </w:rPr>
    </w:lvl>
    <w:lvl w:ilvl="4" w:tplc="E3FE1670" w:tentative="1">
      <w:start w:val="1"/>
      <w:numFmt w:val="bullet"/>
      <w:lvlText w:val="o"/>
      <w:lvlJc w:val="left"/>
      <w:pPr>
        <w:tabs>
          <w:tab w:val="num" w:pos="3600"/>
        </w:tabs>
        <w:ind w:left="3600" w:hanging="360"/>
      </w:pPr>
      <w:rPr>
        <w:rFonts w:ascii="Courier New" w:hAnsi="Courier New" w:cs="Courier New" w:hint="default"/>
      </w:rPr>
    </w:lvl>
    <w:lvl w:ilvl="5" w:tplc="0E5C585C" w:tentative="1">
      <w:start w:val="1"/>
      <w:numFmt w:val="bullet"/>
      <w:lvlText w:val=""/>
      <w:lvlJc w:val="left"/>
      <w:pPr>
        <w:tabs>
          <w:tab w:val="num" w:pos="4320"/>
        </w:tabs>
        <w:ind w:left="4320" w:hanging="360"/>
      </w:pPr>
      <w:rPr>
        <w:rFonts w:ascii="Wingdings" w:hAnsi="Wingdings" w:hint="default"/>
      </w:rPr>
    </w:lvl>
    <w:lvl w:ilvl="6" w:tplc="386A8E62" w:tentative="1">
      <w:start w:val="1"/>
      <w:numFmt w:val="bullet"/>
      <w:lvlText w:val=""/>
      <w:lvlJc w:val="left"/>
      <w:pPr>
        <w:tabs>
          <w:tab w:val="num" w:pos="5040"/>
        </w:tabs>
        <w:ind w:left="5040" w:hanging="360"/>
      </w:pPr>
      <w:rPr>
        <w:rFonts w:ascii="Symbol" w:hAnsi="Symbol" w:hint="default"/>
      </w:rPr>
    </w:lvl>
    <w:lvl w:ilvl="7" w:tplc="CE3E98D2" w:tentative="1">
      <w:start w:val="1"/>
      <w:numFmt w:val="bullet"/>
      <w:lvlText w:val="o"/>
      <w:lvlJc w:val="left"/>
      <w:pPr>
        <w:tabs>
          <w:tab w:val="num" w:pos="5760"/>
        </w:tabs>
        <w:ind w:left="5760" w:hanging="360"/>
      </w:pPr>
      <w:rPr>
        <w:rFonts w:ascii="Courier New" w:hAnsi="Courier New" w:cs="Courier New" w:hint="default"/>
      </w:rPr>
    </w:lvl>
    <w:lvl w:ilvl="8" w:tplc="31D08968" w:tentative="1">
      <w:start w:val="1"/>
      <w:numFmt w:val="bullet"/>
      <w:lvlText w:val=""/>
      <w:lvlJc w:val="left"/>
      <w:pPr>
        <w:tabs>
          <w:tab w:val="num" w:pos="6480"/>
        </w:tabs>
        <w:ind w:left="6480" w:hanging="360"/>
      </w:pPr>
      <w:rPr>
        <w:rFonts w:ascii="Wingdings" w:hAnsi="Wingdings" w:hint="default"/>
      </w:rPr>
    </w:lvl>
  </w:abstractNum>
  <w:abstractNum w:abstractNumId="20">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1">
    <w:nsid w:val="671739E9"/>
    <w:multiLevelType w:val="hybridMultilevel"/>
    <w:tmpl w:val="B29C98A0"/>
    <w:lvl w:ilvl="0" w:tplc="44CA7B0A">
      <w:start w:val="1"/>
      <w:numFmt w:val="bullet"/>
      <w:lvlText w:val=""/>
      <w:lvlJc w:val="left"/>
      <w:pPr>
        <w:tabs>
          <w:tab w:val="num" w:pos="5760"/>
        </w:tabs>
        <w:ind w:left="5760" w:hanging="360"/>
      </w:pPr>
      <w:rPr>
        <w:rFonts w:ascii="Symbol" w:hAnsi="Symbol" w:hint="default"/>
        <w:color w:val="auto"/>
        <w:u w:val="none"/>
      </w:rPr>
    </w:lvl>
    <w:lvl w:ilvl="1" w:tplc="CD18D118" w:tentative="1">
      <w:start w:val="1"/>
      <w:numFmt w:val="bullet"/>
      <w:lvlText w:val="o"/>
      <w:lvlJc w:val="left"/>
      <w:pPr>
        <w:tabs>
          <w:tab w:val="num" w:pos="3600"/>
        </w:tabs>
        <w:ind w:left="3600" w:hanging="360"/>
      </w:pPr>
      <w:rPr>
        <w:rFonts w:ascii="Courier New" w:hAnsi="Courier New" w:hint="default"/>
      </w:rPr>
    </w:lvl>
    <w:lvl w:ilvl="2" w:tplc="297867D2" w:tentative="1">
      <w:start w:val="1"/>
      <w:numFmt w:val="bullet"/>
      <w:lvlText w:val=""/>
      <w:lvlJc w:val="left"/>
      <w:pPr>
        <w:tabs>
          <w:tab w:val="num" w:pos="4320"/>
        </w:tabs>
        <w:ind w:left="4320" w:hanging="360"/>
      </w:pPr>
      <w:rPr>
        <w:rFonts w:ascii="Wingdings" w:hAnsi="Wingdings" w:hint="default"/>
      </w:rPr>
    </w:lvl>
    <w:lvl w:ilvl="3" w:tplc="61C68872">
      <w:start w:val="1"/>
      <w:numFmt w:val="bullet"/>
      <w:lvlText w:val=""/>
      <w:lvlJc w:val="left"/>
      <w:pPr>
        <w:tabs>
          <w:tab w:val="num" w:pos="5040"/>
        </w:tabs>
        <w:ind w:left="5040" w:hanging="360"/>
      </w:pPr>
      <w:rPr>
        <w:rFonts w:ascii="Symbol" w:hAnsi="Symbol" w:hint="default"/>
      </w:rPr>
    </w:lvl>
    <w:lvl w:ilvl="4" w:tplc="0B58977E" w:tentative="1">
      <w:start w:val="1"/>
      <w:numFmt w:val="bullet"/>
      <w:lvlText w:val="o"/>
      <w:lvlJc w:val="left"/>
      <w:pPr>
        <w:tabs>
          <w:tab w:val="num" w:pos="5760"/>
        </w:tabs>
        <w:ind w:left="5760" w:hanging="360"/>
      </w:pPr>
      <w:rPr>
        <w:rFonts w:ascii="Courier New" w:hAnsi="Courier New" w:hint="default"/>
      </w:rPr>
    </w:lvl>
    <w:lvl w:ilvl="5" w:tplc="3342B1A0" w:tentative="1">
      <w:start w:val="1"/>
      <w:numFmt w:val="bullet"/>
      <w:lvlText w:val=""/>
      <w:lvlJc w:val="left"/>
      <w:pPr>
        <w:tabs>
          <w:tab w:val="num" w:pos="6480"/>
        </w:tabs>
        <w:ind w:left="6480" w:hanging="360"/>
      </w:pPr>
      <w:rPr>
        <w:rFonts w:ascii="Wingdings" w:hAnsi="Wingdings" w:hint="default"/>
      </w:rPr>
    </w:lvl>
    <w:lvl w:ilvl="6" w:tplc="CEC87774" w:tentative="1">
      <w:start w:val="1"/>
      <w:numFmt w:val="bullet"/>
      <w:lvlText w:val=""/>
      <w:lvlJc w:val="left"/>
      <w:pPr>
        <w:tabs>
          <w:tab w:val="num" w:pos="7200"/>
        </w:tabs>
        <w:ind w:left="7200" w:hanging="360"/>
      </w:pPr>
      <w:rPr>
        <w:rFonts w:ascii="Symbol" w:hAnsi="Symbol" w:hint="default"/>
      </w:rPr>
    </w:lvl>
    <w:lvl w:ilvl="7" w:tplc="15CCAE82" w:tentative="1">
      <w:start w:val="1"/>
      <w:numFmt w:val="bullet"/>
      <w:lvlText w:val="o"/>
      <w:lvlJc w:val="left"/>
      <w:pPr>
        <w:tabs>
          <w:tab w:val="num" w:pos="7920"/>
        </w:tabs>
        <w:ind w:left="7920" w:hanging="360"/>
      </w:pPr>
      <w:rPr>
        <w:rFonts w:ascii="Courier New" w:hAnsi="Courier New" w:hint="default"/>
      </w:rPr>
    </w:lvl>
    <w:lvl w:ilvl="8" w:tplc="5E381F2E" w:tentative="1">
      <w:start w:val="1"/>
      <w:numFmt w:val="bullet"/>
      <w:lvlText w:val=""/>
      <w:lvlJc w:val="left"/>
      <w:pPr>
        <w:tabs>
          <w:tab w:val="num" w:pos="8640"/>
        </w:tabs>
        <w:ind w:left="8640" w:hanging="360"/>
      </w:pPr>
      <w:rPr>
        <w:rFonts w:ascii="Wingdings" w:hAnsi="Wingdings" w:hint="default"/>
      </w:rPr>
    </w:lvl>
  </w:abstractNum>
  <w:abstractNum w:abstractNumId="2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8"/>
  </w:num>
  <w:num w:numId="14">
    <w:abstractNumId w:val="24"/>
  </w:num>
  <w:num w:numId="15">
    <w:abstractNumId w:val="13"/>
  </w:num>
  <w:num w:numId="16">
    <w:abstractNumId w:val="14"/>
  </w:num>
  <w:num w:numId="17">
    <w:abstractNumId w:val="22"/>
  </w:num>
  <w:num w:numId="18">
    <w:abstractNumId w:val="12"/>
  </w:num>
  <w:num w:numId="19">
    <w:abstractNumId w:val="23"/>
  </w:num>
  <w:num w:numId="20">
    <w:abstractNumId w:val="17"/>
  </w:num>
  <w:num w:numId="21">
    <w:abstractNumId w:val="16"/>
  </w:num>
  <w:num w:numId="22">
    <w:abstractNumId w:val="15"/>
  </w:num>
  <w:num w:numId="23">
    <w:abstractNumId w:val="10"/>
  </w:num>
  <w:num w:numId="24">
    <w:abstractNumId w:val="11"/>
  </w:num>
  <w:num w:numId="25">
    <w:abstractNumId w:val="21"/>
  </w:num>
  <w:num w:numId="26">
    <w:abstractNumId w:val="10"/>
  </w:num>
  <w:num w:numId="27">
    <w:abstractNumId w:val="10"/>
  </w:num>
  <w:num w:numId="28">
    <w:abstractNumId w:val="10"/>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F01"/>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A82419"/>
    <w:rsid w:val="004C3747"/>
    <w:rsid w:val="00A824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93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D94707"/>
    <w:pPr>
      <w:keepNext/>
      <w:spacing w:before="240" w:after="240"/>
      <w:ind w:left="720" w:hanging="720"/>
      <w:outlineLvl w:val="0"/>
    </w:pPr>
    <w:rPr>
      <w:b/>
    </w:rPr>
  </w:style>
  <w:style w:type="paragraph" w:styleId="Heading2">
    <w:name w:val="heading 2"/>
    <w:basedOn w:val="Normal"/>
    <w:next w:val="Normal"/>
    <w:qFormat/>
    <w:rsid w:val="00D947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947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4707"/>
    <w:pPr>
      <w:keepNext/>
      <w:tabs>
        <w:tab w:val="left" w:pos="1800"/>
      </w:tabs>
      <w:spacing w:before="240" w:after="240"/>
      <w:ind w:left="1800" w:hanging="1080"/>
      <w:outlineLvl w:val="3"/>
    </w:pPr>
    <w:rPr>
      <w:b/>
    </w:rPr>
  </w:style>
  <w:style w:type="paragraph" w:styleId="Heading5">
    <w:name w:val="heading 5"/>
    <w:basedOn w:val="Normal"/>
    <w:next w:val="Normal"/>
    <w:qFormat/>
    <w:rsid w:val="00D94707"/>
    <w:pPr>
      <w:keepNext/>
      <w:spacing w:line="480" w:lineRule="auto"/>
      <w:ind w:left="1440" w:right="-90" w:hanging="720"/>
      <w:outlineLvl w:val="4"/>
    </w:pPr>
    <w:rPr>
      <w:b/>
    </w:rPr>
  </w:style>
  <w:style w:type="paragraph" w:styleId="Heading6">
    <w:name w:val="heading 6"/>
    <w:basedOn w:val="Normal"/>
    <w:next w:val="Normal"/>
    <w:qFormat/>
    <w:rsid w:val="00D94707"/>
    <w:pPr>
      <w:keepNext/>
      <w:spacing w:line="480" w:lineRule="auto"/>
      <w:ind w:left="1080" w:right="-90" w:hanging="360"/>
      <w:outlineLvl w:val="5"/>
    </w:pPr>
    <w:rPr>
      <w:b/>
    </w:rPr>
  </w:style>
  <w:style w:type="paragraph" w:styleId="Heading7">
    <w:name w:val="heading 7"/>
    <w:basedOn w:val="Normal"/>
    <w:next w:val="Normal"/>
    <w:qFormat/>
    <w:rsid w:val="00D94707"/>
    <w:pPr>
      <w:keepNext/>
      <w:spacing w:line="480" w:lineRule="auto"/>
      <w:ind w:left="720" w:right="630"/>
      <w:outlineLvl w:val="6"/>
    </w:pPr>
    <w:rPr>
      <w:b/>
    </w:rPr>
  </w:style>
  <w:style w:type="paragraph" w:styleId="Heading8">
    <w:name w:val="heading 8"/>
    <w:basedOn w:val="Normal"/>
    <w:next w:val="Normal"/>
    <w:qFormat/>
    <w:rsid w:val="00D94707"/>
    <w:pPr>
      <w:keepNext/>
      <w:spacing w:line="480" w:lineRule="auto"/>
      <w:ind w:left="720" w:right="-90"/>
      <w:outlineLvl w:val="7"/>
    </w:pPr>
    <w:rPr>
      <w:b/>
    </w:rPr>
  </w:style>
  <w:style w:type="paragraph" w:styleId="Heading9">
    <w:name w:val="heading 9"/>
    <w:basedOn w:val="Normal"/>
    <w:next w:val="Normal"/>
    <w:qFormat/>
    <w:rsid w:val="00D947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94707"/>
    <w:rPr>
      <w:b/>
      <w:snapToGrid w:val="0"/>
      <w:sz w:val="24"/>
      <w:lang w:val="en-US" w:eastAsia="en-US" w:bidi="ar-SA"/>
    </w:rPr>
  </w:style>
  <w:style w:type="paragraph" w:styleId="Header">
    <w:name w:val="header"/>
    <w:basedOn w:val="Normal"/>
    <w:rsid w:val="00D94707"/>
    <w:pPr>
      <w:tabs>
        <w:tab w:val="center" w:pos="4680"/>
        <w:tab w:val="right" w:pos="9360"/>
      </w:tabs>
    </w:pPr>
    <w:rPr>
      <w:szCs w:val="24"/>
    </w:rPr>
  </w:style>
  <w:style w:type="paragraph" w:styleId="Footer">
    <w:name w:val="footer"/>
    <w:basedOn w:val="Normal"/>
    <w:rsid w:val="00A82419"/>
    <w:pPr>
      <w:tabs>
        <w:tab w:val="center" w:pos="4320"/>
        <w:tab w:val="right" w:pos="8640"/>
      </w:tabs>
    </w:pPr>
  </w:style>
  <w:style w:type="character" w:styleId="FootnoteReference">
    <w:name w:val="footnote reference"/>
    <w:semiHidden/>
    <w:rsid w:val="00D94707"/>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sz w:val="24"/>
    </w:rPr>
  </w:style>
  <w:style w:type="paragraph" w:customStyle="1" w:styleId="Level1">
    <w:name w:val="Level 1"/>
    <w:basedOn w:val="Normal"/>
    <w:rsid w:val="00D94707"/>
    <w:pPr>
      <w:ind w:left="1890" w:hanging="720"/>
    </w:pPr>
  </w:style>
  <w:style w:type="paragraph" w:customStyle="1" w:styleId="Definition">
    <w:name w:val="Definition"/>
    <w:basedOn w:val="Normal"/>
    <w:rsid w:val="00D94707"/>
    <w:pPr>
      <w:spacing w:before="240" w:after="240"/>
    </w:pPr>
  </w:style>
  <w:style w:type="paragraph" w:customStyle="1" w:styleId="Definitionindent">
    <w:name w:val="Definition indent"/>
    <w:basedOn w:val="Definition"/>
    <w:rsid w:val="00D94707"/>
    <w:pPr>
      <w:spacing w:before="120" w:after="120"/>
      <w:ind w:left="720"/>
    </w:pPr>
  </w:style>
  <w:style w:type="paragraph" w:customStyle="1" w:styleId="Bodypara">
    <w:name w:val="Body para"/>
    <w:basedOn w:val="Normal"/>
    <w:rsid w:val="00D94707"/>
    <w:pPr>
      <w:spacing w:line="480" w:lineRule="auto"/>
      <w:ind w:firstLine="720"/>
    </w:pPr>
  </w:style>
  <w:style w:type="paragraph" w:customStyle="1" w:styleId="alphapara">
    <w:name w:val="alpha para"/>
    <w:basedOn w:val="Bodypara"/>
    <w:rsid w:val="00D94707"/>
    <w:pPr>
      <w:ind w:left="1440" w:hanging="720"/>
    </w:pPr>
  </w:style>
  <w:style w:type="paragraph" w:styleId="Date">
    <w:name w:val="Date"/>
    <w:basedOn w:val="Normal"/>
    <w:next w:val="Normal"/>
    <w:rsid w:val="00D94707"/>
  </w:style>
  <w:style w:type="paragraph" w:customStyle="1" w:styleId="TOCheading">
    <w:name w:val="TOC heading"/>
    <w:basedOn w:val="Normal"/>
    <w:rsid w:val="00D94707"/>
    <w:pPr>
      <w:spacing w:before="240" w:after="240"/>
    </w:pPr>
    <w:rPr>
      <w:b/>
    </w:rPr>
  </w:style>
  <w:style w:type="paragraph" w:styleId="DocumentMap">
    <w:name w:val="Document Map"/>
    <w:basedOn w:val="Normal"/>
    <w:semiHidden/>
    <w:rsid w:val="00D94707"/>
    <w:pPr>
      <w:shd w:val="clear" w:color="auto" w:fill="000080"/>
    </w:pPr>
    <w:rPr>
      <w:rFonts w:ascii="Tahoma" w:hAnsi="Tahoma" w:cs="Tahoma"/>
      <w:sz w:val="20"/>
    </w:rPr>
  </w:style>
  <w:style w:type="paragraph" w:styleId="BalloonText">
    <w:name w:val="Balloon Text"/>
    <w:basedOn w:val="Normal"/>
    <w:semiHidden/>
    <w:rsid w:val="00D94707"/>
    <w:rPr>
      <w:rFonts w:ascii="Tahoma" w:hAnsi="Tahoma" w:cs="Tahoma"/>
      <w:sz w:val="16"/>
      <w:szCs w:val="16"/>
    </w:rPr>
  </w:style>
  <w:style w:type="paragraph" w:customStyle="1" w:styleId="Footers">
    <w:name w:val="Footers"/>
    <w:basedOn w:val="Heading1"/>
    <w:rsid w:val="00D94707"/>
    <w:pPr>
      <w:tabs>
        <w:tab w:val="left" w:pos="1440"/>
        <w:tab w:val="left" w:pos="7020"/>
        <w:tab w:val="right" w:pos="9360"/>
      </w:tabs>
    </w:pPr>
    <w:rPr>
      <w:b w:val="0"/>
      <w:sz w:val="20"/>
    </w:rPr>
  </w:style>
  <w:style w:type="paragraph" w:customStyle="1" w:styleId="subhead">
    <w:name w:val="subhead"/>
    <w:basedOn w:val="Heading4"/>
    <w:rsid w:val="00D94707"/>
    <w:pPr>
      <w:tabs>
        <w:tab w:val="clear" w:pos="1800"/>
      </w:tabs>
      <w:ind w:left="720" w:firstLine="0"/>
    </w:pPr>
  </w:style>
  <w:style w:type="paragraph" w:customStyle="1" w:styleId="alphaheading">
    <w:name w:val="alpha heading"/>
    <w:basedOn w:val="Normal"/>
    <w:rsid w:val="00D94707"/>
    <w:pPr>
      <w:keepNext/>
      <w:tabs>
        <w:tab w:val="left" w:pos="1440"/>
      </w:tabs>
      <w:spacing w:before="240" w:after="240"/>
      <w:ind w:left="1440" w:hanging="720"/>
    </w:pPr>
    <w:rPr>
      <w:b/>
      <w:szCs w:val="24"/>
    </w:rPr>
  </w:style>
  <w:style w:type="paragraph" w:customStyle="1" w:styleId="romannumeralpara">
    <w:name w:val="roman numeral para"/>
    <w:basedOn w:val="Normal"/>
    <w:rsid w:val="00D94707"/>
    <w:pPr>
      <w:spacing w:line="480" w:lineRule="auto"/>
      <w:ind w:left="1440" w:hanging="720"/>
    </w:pPr>
  </w:style>
  <w:style w:type="paragraph" w:customStyle="1" w:styleId="Bulletpara">
    <w:name w:val="Bullet para"/>
    <w:basedOn w:val="Normal"/>
    <w:rsid w:val="00D94707"/>
    <w:pPr>
      <w:numPr>
        <w:numId w:val="23"/>
      </w:numPr>
      <w:tabs>
        <w:tab w:val="left" w:pos="900"/>
      </w:tabs>
      <w:spacing w:before="120" w:after="120"/>
    </w:pPr>
    <w:rPr>
      <w:szCs w:val="24"/>
    </w:rPr>
  </w:style>
  <w:style w:type="paragraph" w:styleId="TOC1">
    <w:name w:val="toc 1"/>
    <w:basedOn w:val="Normal"/>
    <w:next w:val="Normal"/>
    <w:semiHidden/>
    <w:rsid w:val="00D94707"/>
  </w:style>
  <w:style w:type="paragraph" w:customStyle="1" w:styleId="Tarifftitle">
    <w:name w:val="Tariff title"/>
    <w:basedOn w:val="Normal"/>
    <w:rsid w:val="00D94707"/>
    <w:rPr>
      <w:b/>
      <w:sz w:val="28"/>
      <w:szCs w:val="28"/>
    </w:rPr>
  </w:style>
  <w:style w:type="paragraph" w:styleId="TOC2">
    <w:name w:val="toc 2"/>
    <w:basedOn w:val="Normal"/>
    <w:next w:val="Normal"/>
    <w:semiHidden/>
    <w:rsid w:val="00D94707"/>
    <w:pPr>
      <w:ind w:left="240"/>
    </w:pPr>
  </w:style>
  <w:style w:type="character" w:styleId="Hyperlink">
    <w:name w:val="Hyperlink"/>
    <w:basedOn w:val="DefaultParagraphFont"/>
    <w:rsid w:val="00D94707"/>
    <w:rPr>
      <w:color w:val="0000FF"/>
      <w:u w:val="single"/>
    </w:rPr>
  </w:style>
  <w:style w:type="paragraph" w:styleId="TOC3">
    <w:name w:val="toc 3"/>
    <w:basedOn w:val="Normal"/>
    <w:next w:val="Normal"/>
    <w:semiHidden/>
    <w:rsid w:val="00D94707"/>
    <w:pPr>
      <w:ind w:left="480"/>
    </w:pPr>
  </w:style>
  <w:style w:type="paragraph" w:styleId="TOC4">
    <w:name w:val="toc 4"/>
    <w:basedOn w:val="Normal"/>
    <w:next w:val="Normal"/>
    <w:semiHidden/>
    <w:rsid w:val="00D9470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Brian Hurysz</dc:creator>
  <cp:lastModifiedBy>TMSServices</cp:lastModifiedBy>
  <cp:revision>2</cp:revision>
  <cp:lastPrinted>2010-05-25T22:03:00Z</cp:lastPrinted>
  <dcterms:created xsi:type="dcterms:W3CDTF">2017-11-03T15:00:00Z</dcterms:created>
  <dcterms:modified xsi:type="dcterms:W3CDTF">2017-11-03T15:00:00Z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gFAAXJDLFUo5N7uXJ4MaTo0mz2yOs9cgdb/I7sxBOrVGU08g0X0zp9FSlC9BrqcJd00xAwjkZcFOA57F
lz0mWxXTvXih5fl46mAcTLmRftV+6iii+ZBZDD3QmUSCf8faW3W7vIfF40mL/7BIZU3wHY9BWNkD
2KPO0evXQsAuzQsAlxBh06kGwXPGIk9oYX7cRMYg8VNLY02N9+skU+MztLW3cXtxuTIaHVGTUcZg
LitgHGhR6P7sc0mkp</vt:lpwstr>
  </property>
  <property fmtid="{D5CDD505-2E9C-101B-9397-08002B2CF9AE}" pid="4" name="MAIL_MSG_ID2">
    <vt:lpwstr>QFCx7LKsvLql9DsJCXurN2PvW11Eq2dNX25W4KQRHEKC1P64+XEXOqLUqCP
/CIeq+FbbxQdvLL0nEoMNU+q7jfdnW2Z7yvLNw==</vt:lpwstr>
  </property>
  <property fmtid="{D5CDD505-2E9C-101B-9397-08002B2CF9AE}" pid="5" name="RESPONSE_SENDER_NAME">
    <vt:lpwstr>sAAA4E8dREqJqIqVOpsjlTUsTBSi5hdM+CGoLxQAl47s50s=</vt:lpwstr>
  </property>
  <property fmtid="{D5CDD505-2E9C-101B-9397-08002B2CF9AE}" pid="6" name="SWDocID">
    <vt:lpwstr/>
  </property>
</Properties>
</file>