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082A8A" w:rsidP="00927BFF">
      <w:pPr>
        <w:pStyle w:val="Heading2"/>
      </w:pPr>
      <w:bookmarkStart w:id="0" w:name="_Toc261344293"/>
      <w:r>
        <w:t>30.10</w:t>
      </w:r>
      <w:r w:rsidRPr="004D2FD5">
        <w:tab/>
        <w:t>Reports</w:t>
      </w:r>
      <w:bookmarkEnd w:id="0"/>
    </w:p>
    <w:p w:rsidR="008573AE" w:rsidRPr="004D2FD5" w:rsidRDefault="00082A8A" w:rsidP="00927BFF">
      <w:pPr>
        <w:pStyle w:val="Heading3"/>
      </w:pPr>
      <w:bookmarkStart w:id="1" w:name="_Toc261344294"/>
      <w:r>
        <w:t>30.</w:t>
      </w:r>
      <w:r w:rsidRPr="004D2FD5">
        <w:t>10.1</w:t>
      </w:r>
      <w:r w:rsidRPr="004D2FD5">
        <w:tab/>
        <w:t>Annual Report</w:t>
      </w:r>
      <w:r w:rsidRPr="00097133">
        <w:t>s</w:t>
      </w:r>
      <w:bookmarkEnd w:id="1"/>
    </w:p>
    <w:p w:rsidR="008573AE" w:rsidRPr="00EC0E3D" w:rsidRDefault="00082A8A"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082A8A" w:rsidP="00927BFF">
      <w:pPr>
        <w:pStyle w:val="Heading3"/>
      </w:pPr>
      <w:bookmarkStart w:id="2" w:name="_Toc261344295"/>
      <w:r>
        <w:t>30.</w:t>
      </w:r>
      <w:r w:rsidRPr="004D2FD5">
        <w:t>10.2</w:t>
      </w:r>
      <w:r w:rsidRPr="004D2FD5">
        <w:tab/>
        <w:t>Quarterly Reports</w:t>
      </w:r>
      <w:bookmarkEnd w:id="2"/>
    </w:p>
    <w:p w:rsidR="008573AE" w:rsidRPr="004D2FD5" w:rsidRDefault="00082A8A"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082A8A"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082A8A"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082A8A" w:rsidP="00927BFF">
      <w:pPr>
        <w:pStyle w:val="Heading3"/>
        <w:rPr>
          <w:ins w:id="4" w:author="Author" w:date="2012-07-17T16:02:00Z"/>
        </w:rPr>
      </w:pPr>
      <w:bookmarkStart w:id="5" w:name="_Toc261344297"/>
      <w:r>
        <w:t>30.</w:t>
      </w:r>
      <w:r w:rsidRPr="00B62149">
        <w:t>10.4</w:t>
      </w:r>
      <w:r w:rsidRPr="00B62149">
        <w:tab/>
      </w:r>
      <w:ins w:id="6" w:author="Author" w:date="2012-07-17T16:02:00Z">
        <w:r>
          <w:t>Report</w:t>
        </w:r>
      </w:ins>
      <w:ins w:id="7" w:author="Author" w:date="2012-07-17T16:13:00Z">
        <w:r>
          <w:t>s</w:t>
        </w:r>
      </w:ins>
      <w:ins w:id="8" w:author="Author" w:date="2012-07-17T16:02:00Z">
        <w:r>
          <w:t xml:space="preserve"> on Offer </w:t>
        </w:r>
        <w:r>
          <w:t>Floor or Exemption Determinations</w:t>
        </w:r>
      </w:ins>
    </w:p>
    <w:p w:rsidR="00000000" w:rsidRDefault="00082A8A">
      <w:pPr>
        <w:pStyle w:val="Bodypara"/>
        <w:rPr>
          <w:ins w:id="9" w:author="Author" w:date="2012-07-17T16:02:00Z"/>
          <w:del w:id="10" w:author="Author" w:date="2012-07-30T10:30:00Z"/>
        </w:rPr>
        <w:pPrChange w:id="11" w:author="Author" w:date="2012-08-06T13:51:00Z">
          <w:pPr>
            <w:pStyle w:val="Heading3"/>
            <w:tabs>
              <w:tab w:val="clear" w:pos="1080"/>
            </w:tabs>
            <w:spacing w:line="480" w:lineRule="auto"/>
          </w:pPr>
        </w:pPrChange>
      </w:pPr>
      <w:ins w:id="12" w:author="Author" w:date="2012-07-17T16:03:00Z">
        <w:r>
          <w:t xml:space="preserve">The Market Monitoring Unit shall prepare a written report confirming whether the ISO’s Offer Floor and exemption determinations </w:t>
        </w:r>
      </w:ins>
      <w:ins w:id="13" w:author="Author" w:date="2012-07-30T13:03:00Z">
        <w:r>
          <w:t xml:space="preserve">and calculations conducted </w:t>
        </w:r>
      </w:ins>
      <w:ins w:id="14" w:author="Author" w:date="2012-07-17T16:03:00Z">
        <w:r>
          <w:t>p</w:t>
        </w:r>
      </w:ins>
      <w:ins w:id="15" w:author="Author" w:date="2012-07-17T16:02:00Z">
        <w:r>
          <w:t>ursuant to Section</w:t>
        </w:r>
      </w:ins>
      <w:ins w:id="16" w:author="Author" w:date="2012-07-30T10:29:00Z">
        <w:r>
          <w:t>s</w:t>
        </w:r>
      </w:ins>
      <w:ins w:id="17" w:author="Author" w:date="2012-07-17T16:02:00Z">
        <w:r>
          <w:t xml:space="preserve"> 23.4.5.7</w:t>
        </w:r>
      </w:ins>
      <w:ins w:id="18" w:author="Author" w:date="2012-07-30T10:41:00Z">
        <w:r>
          <w:t>.2</w:t>
        </w:r>
      </w:ins>
      <w:ins w:id="19" w:author="Author" w:date="2012-07-30T10:29:00Z">
        <w:r>
          <w:t xml:space="preserve"> and 23.4.5.7.7</w:t>
        </w:r>
      </w:ins>
      <w:ins w:id="20" w:author="Author" w:date="2012-07-17T16:02:00Z">
        <w:r>
          <w:t xml:space="preserve"> of the Market Mitiga</w:t>
        </w:r>
        <w:r>
          <w:t>tion Measures</w:t>
        </w:r>
      </w:ins>
      <w:ins w:id="21" w:author="Author" w:date="2012-07-30T13:03:00Z">
        <w:r>
          <w:t xml:space="preserve"> were conducted</w:t>
        </w:r>
      </w:ins>
      <w:ins w:id="22" w:author="Author" w:date="2012-07-17T16:02:00Z">
        <w:r>
          <w:t xml:space="preserve"> in accordance with the terms of the Services Tariff</w:t>
        </w:r>
      </w:ins>
      <w:ins w:id="23" w:author="Author" w:date="2012-07-30T13:04:00Z">
        <w:r>
          <w:t xml:space="preserve">, and if not, identifying the flaws </w:t>
        </w:r>
      </w:ins>
      <w:ins w:id="24" w:author="Author" w:date="2012-07-17T16:08:00Z">
        <w:r>
          <w:t>inherent in the ISO’s approach</w:t>
        </w:r>
      </w:ins>
      <w:ins w:id="25" w:author="Author" w:date="2012-07-17T16:04:00Z">
        <w:r>
          <w:t>.  The Market Monitoring Unit</w:t>
        </w:r>
      </w:ins>
      <w:ins w:id="26" w:author="Author" w:date="2012-07-30T13:04:00Z">
        <w:r>
          <w:t xml:space="preserve">’s report shall be presented </w:t>
        </w:r>
      </w:ins>
      <w:ins w:id="27" w:author="Author" w:date="2012-07-17T16:04:00Z">
        <w:r>
          <w:t>concurrently with the ISO’s posting of</w:t>
        </w:r>
      </w:ins>
      <w:ins w:id="28" w:author="Author" w:date="2012-07-30T13:04:00Z">
        <w:r>
          <w:t xml:space="preserve"> the exempt/non-exempt</w:t>
        </w:r>
      </w:ins>
      <w:ins w:id="29" w:author="Author" w:date="2012-07-17T16:04:00Z">
        <w:r>
          <w:t xml:space="preserve"> determinations</w:t>
        </w:r>
      </w:ins>
      <w:ins w:id="30" w:author="Author" w:date="2012-07-17T16:08:00Z">
        <w:r>
          <w:t>.</w:t>
        </w:r>
      </w:ins>
      <w:ins w:id="31" w:author="Author" w:date="2012-07-17T16:02:00Z">
        <w:r>
          <w:t xml:space="preserve">  </w:t>
        </w:r>
      </w:ins>
    </w:p>
    <w:p w:rsidR="00000000" w:rsidRDefault="00082A8A">
      <w:pPr>
        <w:pStyle w:val="Heading3"/>
        <w:pPrChange w:id="32" w:author="Author" w:date="2012-08-06T13:51:00Z">
          <w:pPr>
            <w:pStyle w:val="Heading3"/>
            <w:tabs>
              <w:tab w:val="clear" w:pos="1080"/>
            </w:tabs>
            <w:spacing w:line="480" w:lineRule="auto"/>
          </w:pPr>
        </w:pPrChange>
      </w:pPr>
      <w:ins w:id="33" w:author="Author" w:date="2012-07-17T16:02:00Z">
        <w:r>
          <w:t>30.10.5</w:t>
        </w:r>
        <w:r>
          <w:tab/>
        </w:r>
      </w:ins>
      <w:r>
        <w:t>Conference Calls</w:t>
      </w:r>
      <w:bookmarkEnd w:id="5"/>
    </w:p>
    <w:p w:rsidR="008573AE" w:rsidRPr="00862751" w:rsidRDefault="00082A8A" w:rsidP="00927BFF">
      <w:pPr>
        <w:pStyle w:val="Bodypara"/>
      </w:pPr>
      <w:r w:rsidRPr="00862751">
        <w:t>The Market Monitoring Unit shall participate in regular conference calls for the presentation of market data and analyses of the type regularly gathered and prepared by the Market Monitoring</w:t>
      </w:r>
      <w:r w:rsidRPr="00862751">
        <w:t xml:space="preserve"> Unit under Attachment O, subject to limitations on dissemination of Protected Information.  Market Participants, staff of the Commission and the New York Public Service Commission, and representatives of the ISO may attend such conference calls.  </w:t>
      </w:r>
    </w:p>
    <w:p w:rsidR="008573AE" w:rsidRDefault="00082A8A" w:rsidP="00927BFF">
      <w:pPr>
        <w:pStyle w:val="Heading3"/>
      </w:pPr>
      <w:bookmarkStart w:id="34" w:name="_Toc261344298"/>
      <w:r>
        <w:t>30.10.</w:t>
      </w:r>
      <w:ins w:id="35" w:author="Author" w:date="2012-07-17T16:09:00Z">
        <w:r>
          <w:t>6</w:t>
        </w:r>
      </w:ins>
      <w:del w:id="36" w:author="Author" w:date="2012-07-17T16:09:00Z">
        <w:r w:rsidRPr="00B62149">
          <w:delText>5</w:delText>
        </w:r>
      </w:del>
      <w:r>
        <w:tab/>
        <w:t>Other Reports or Filings</w:t>
      </w:r>
      <w:bookmarkEnd w:id="34"/>
      <w:r>
        <w:t xml:space="preserve"> </w:t>
      </w:r>
    </w:p>
    <w:p w:rsidR="008573AE" w:rsidRDefault="00082A8A" w:rsidP="00927BFF">
      <w:pPr>
        <w:pStyle w:val="Bodypara"/>
      </w:pPr>
      <w:r>
        <w:t xml:space="preserve">The Market Monitoring Unit, with the assistance of the MMA, where appropriate, shall prepare such other periodic or other reports on any matters within their purview as the Market Monitoring Unit determines are necessary, or as </w:t>
      </w:r>
      <w:r>
        <w:t xml:space="preserve">may be requested by the Board, the CEO or the CEO’s designee, the COO, or any of the Interested Government Agencies.  Unless the Board or the Interested Government Agency requesting such report specifies to the contrary, copies of </w:t>
      </w:r>
      <w:r>
        <w:lastRenderedPageBreak/>
        <w:t>such reports shall be mad</w:t>
      </w:r>
      <w:r>
        <w:t xml:space="preserve">e publicly available by the Board, subject to redaction or other measures necessary for the protection of Protected Information.  All reasonable fees and expenses for the </w:t>
      </w:r>
      <w:r w:rsidRPr="004D2FD5">
        <w:t>preparation of reports or other filings relating to the New York Electric Markets tha</w:t>
      </w:r>
      <w:r w:rsidRPr="004D2FD5">
        <w:t>t are requested by an Interested Government Agency from the Market Monitoring Unit, or that are requested by an Interested Government Agency from a former Market Monitoring Unit with respect to conditions or conduct occurring in or relating to the period d</w:t>
      </w:r>
      <w:r w:rsidRPr="004D2FD5">
        <w:t xml:space="preserve">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7D7" w:rsidRDefault="009527D7" w:rsidP="009527D7">
      <w:r>
        <w:separator/>
      </w:r>
    </w:p>
  </w:endnote>
  <w:endnote w:type="continuationSeparator" w:id="0">
    <w:p w:rsidR="009527D7" w:rsidRDefault="009527D7" w:rsidP="00952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6/22/2012 - Docket #: ER12-2414-000 - Page </w:t>
    </w:r>
    <w:r w:rsidR="009527D7">
      <w:rPr>
        <w:rFonts w:ascii="Arial" w:eastAsia="Arial" w:hAnsi="Arial" w:cs="Arial"/>
        <w:color w:val="000000"/>
        <w:sz w:val="16"/>
      </w:rPr>
      <w:fldChar w:fldCharType="begin"/>
    </w:r>
    <w:r>
      <w:rPr>
        <w:rFonts w:ascii="Arial" w:eastAsia="Arial" w:hAnsi="Arial" w:cs="Arial"/>
        <w:color w:val="000000"/>
        <w:sz w:val="16"/>
      </w:rPr>
      <w:instrText>PAGE</w:instrText>
    </w:r>
    <w:r w:rsidR="009527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9527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27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9527D7">
      <w:rPr>
        <w:rFonts w:ascii="Arial" w:eastAsia="Arial" w:hAnsi="Arial" w:cs="Arial"/>
        <w:color w:val="000000"/>
        <w:sz w:val="16"/>
      </w:rPr>
      <w:fldChar w:fldCharType="begin"/>
    </w:r>
    <w:r>
      <w:rPr>
        <w:rFonts w:ascii="Arial" w:eastAsia="Arial" w:hAnsi="Arial" w:cs="Arial"/>
        <w:color w:val="000000"/>
        <w:sz w:val="16"/>
      </w:rPr>
      <w:instrText>PAGE</w:instrText>
    </w:r>
    <w:r w:rsidR="009527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7D7" w:rsidRDefault="009527D7" w:rsidP="009527D7">
      <w:r>
        <w:separator/>
      </w:r>
    </w:p>
  </w:footnote>
  <w:footnote w:type="continuationSeparator" w:id="0">
    <w:p w:rsidR="009527D7" w:rsidRDefault="009527D7" w:rsidP="00952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7" w:rsidRDefault="00082A8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CEE59EC">
      <w:start w:val="1"/>
      <w:numFmt w:val="bullet"/>
      <w:pStyle w:val="Bulletpara"/>
      <w:lvlText w:val=""/>
      <w:lvlJc w:val="left"/>
      <w:pPr>
        <w:tabs>
          <w:tab w:val="num" w:pos="720"/>
        </w:tabs>
        <w:ind w:left="720" w:hanging="360"/>
      </w:pPr>
      <w:rPr>
        <w:rFonts w:ascii="Symbol" w:hAnsi="Symbol" w:hint="default"/>
      </w:rPr>
    </w:lvl>
    <w:lvl w:ilvl="1" w:tplc="1DC69D1E" w:tentative="1">
      <w:start w:val="1"/>
      <w:numFmt w:val="bullet"/>
      <w:lvlText w:val="o"/>
      <w:lvlJc w:val="left"/>
      <w:pPr>
        <w:tabs>
          <w:tab w:val="num" w:pos="1440"/>
        </w:tabs>
        <w:ind w:left="1440" w:hanging="360"/>
      </w:pPr>
      <w:rPr>
        <w:rFonts w:ascii="Courier New" w:hAnsi="Courier New" w:hint="default"/>
      </w:rPr>
    </w:lvl>
    <w:lvl w:ilvl="2" w:tplc="1598E43C" w:tentative="1">
      <w:start w:val="1"/>
      <w:numFmt w:val="bullet"/>
      <w:lvlText w:val=""/>
      <w:lvlJc w:val="left"/>
      <w:pPr>
        <w:tabs>
          <w:tab w:val="num" w:pos="2160"/>
        </w:tabs>
        <w:ind w:left="2160" w:hanging="360"/>
      </w:pPr>
      <w:rPr>
        <w:rFonts w:ascii="Wingdings" w:hAnsi="Wingdings" w:hint="default"/>
      </w:rPr>
    </w:lvl>
    <w:lvl w:ilvl="3" w:tplc="4F4A227E" w:tentative="1">
      <w:start w:val="1"/>
      <w:numFmt w:val="bullet"/>
      <w:lvlText w:val=""/>
      <w:lvlJc w:val="left"/>
      <w:pPr>
        <w:tabs>
          <w:tab w:val="num" w:pos="2880"/>
        </w:tabs>
        <w:ind w:left="2880" w:hanging="360"/>
      </w:pPr>
      <w:rPr>
        <w:rFonts w:ascii="Symbol" w:hAnsi="Symbol" w:hint="default"/>
      </w:rPr>
    </w:lvl>
    <w:lvl w:ilvl="4" w:tplc="80940EE2" w:tentative="1">
      <w:start w:val="1"/>
      <w:numFmt w:val="bullet"/>
      <w:lvlText w:val="o"/>
      <w:lvlJc w:val="left"/>
      <w:pPr>
        <w:tabs>
          <w:tab w:val="num" w:pos="3600"/>
        </w:tabs>
        <w:ind w:left="3600" w:hanging="360"/>
      </w:pPr>
      <w:rPr>
        <w:rFonts w:ascii="Courier New" w:hAnsi="Courier New" w:hint="default"/>
      </w:rPr>
    </w:lvl>
    <w:lvl w:ilvl="5" w:tplc="72D869DA" w:tentative="1">
      <w:start w:val="1"/>
      <w:numFmt w:val="bullet"/>
      <w:lvlText w:val=""/>
      <w:lvlJc w:val="left"/>
      <w:pPr>
        <w:tabs>
          <w:tab w:val="num" w:pos="4320"/>
        </w:tabs>
        <w:ind w:left="4320" w:hanging="360"/>
      </w:pPr>
      <w:rPr>
        <w:rFonts w:ascii="Wingdings" w:hAnsi="Wingdings" w:hint="default"/>
      </w:rPr>
    </w:lvl>
    <w:lvl w:ilvl="6" w:tplc="67BAAB20" w:tentative="1">
      <w:start w:val="1"/>
      <w:numFmt w:val="bullet"/>
      <w:lvlText w:val=""/>
      <w:lvlJc w:val="left"/>
      <w:pPr>
        <w:tabs>
          <w:tab w:val="num" w:pos="5040"/>
        </w:tabs>
        <w:ind w:left="5040" w:hanging="360"/>
      </w:pPr>
      <w:rPr>
        <w:rFonts w:ascii="Symbol" w:hAnsi="Symbol" w:hint="default"/>
      </w:rPr>
    </w:lvl>
    <w:lvl w:ilvl="7" w:tplc="656690C6" w:tentative="1">
      <w:start w:val="1"/>
      <w:numFmt w:val="bullet"/>
      <w:lvlText w:val="o"/>
      <w:lvlJc w:val="left"/>
      <w:pPr>
        <w:tabs>
          <w:tab w:val="num" w:pos="5760"/>
        </w:tabs>
        <w:ind w:left="5760" w:hanging="360"/>
      </w:pPr>
      <w:rPr>
        <w:rFonts w:ascii="Courier New" w:hAnsi="Courier New" w:hint="default"/>
      </w:rPr>
    </w:lvl>
    <w:lvl w:ilvl="8" w:tplc="7098EC5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F0AF082">
      <w:start w:val="1"/>
      <w:numFmt w:val="lowerRoman"/>
      <w:lvlText w:val="(%1)"/>
      <w:lvlJc w:val="left"/>
      <w:pPr>
        <w:tabs>
          <w:tab w:val="num" w:pos="2448"/>
        </w:tabs>
        <w:ind w:left="2448" w:hanging="648"/>
      </w:pPr>
      <w:rPr>
        <w:rFonts w:cs="Times New Roman" w:hint="default"/>
        <w:b w:val="0"/>
        <w:i w:val="0"/>
        <w:u w:val="none"/>
      </w:rPr>
    </w:lvl>
    <w:lvl w:ilvl="1" w:tplc="2E58573A" w:tentative="1">
      <w:start w:val="1"/>
      <w:numFmt w:val="lowerLetter"/>
      <w:lvlText w:val="%2."/>
      <w:lvlJc w:val="left"/>
      <w:pPr>
        <w:tabs>
          <w:tab w:val="num" w:pos="1440"/>
        </w:tabs>
        <w:ind w:left="1440" w:hanging="360"/>
      </w:pPr>
      <w:rPr>
        <w:rFonts w:cs="Times New Roman"/>
      </w:rPr>
    </w:lvl>
    <w:lvl w:ilvl="2" w:tplc="B59CA21E" w:tentative="1">
      <w:start w:val="1"/>
      <w:numFmt w:val="lowerRoman"/>
      <w:lvlText w:val="%3."/>
      <w:lvlJc w:val="right"/>
      <w:pPr>
        <w:tabs>
          <w:tab w:val="num" w:pos="2160"/>
        </w:tabs>
        <w:ind w:left="2160" w:hanging="180"/>
      </w:pPr>
      <w:rPr>
        <w:rFonts w:cs="Times New Roman"/>
      </w:rPr>
    </w:lvl>
    <w:lvl w:ilvl="3" w:tplc="F7807AF0" w:tentative="1">
      <w:start w:val="1"/>
      <w:numFmt w:val="decimal"/>
      <w:lvlText w:val="%4."/>
      <w:lvlJc w:val="left"/>
      <w:pPr>
        <w:tabs>
          <w:tab w:val="num" w:pos="2880"/>
        </w:tabs>
        <w:ind w:left="2880" w:hanging="360"/>
      </w:pPr>
      <w:rPr>
        <w:rFonts w:cs="Times New Roman"/>
      </w:rPr>
    </w:lvl>
    <w:lvl w:ilvl="4" w:tplc="BA583EE8" w:tentative="1">
      <w:start w:val="1"/>
      <w:numFmt w:val="lowerLetter"/>
      <w:lvlText w:val="%5."/>
      <w:lvlJc w:val="left"/>
      <w:pPr>
        <w:tabs>
          <w:tab w:val="num" w:pos="3600"/>
        </w:tabs>
        <w:ind w:left="3600" w:hanging="360"/>
      </w:pPr>
      <w:rPr>
        <w:rFonts w:cs="Times New Roman"/>
      </w:rPr>
    </w:lvl>
    <w:lvl w:ilvl="5" w:tplc="CAD87A00" w:tentative="1">
      <w:start w:val="1"/>
      <w:numFmt w:val="lowerRoman"/>
      <w:lvlText w:val="%6."/>
      <w:lvlJc w:val="right"/>
      <w:pPr>
        <w:tabs>
          <w:tab w:val="num" w:pos="4320"/>
        </w:tabs>
        <w:ind w:left="4320" w:hanging="180"/>
      </w:pPr>
      <w:rPr>
        <w:rFonts w:cs="Times New Roman"/>
      </w:rPr>
    </w:lvl>
    <w:lvl w:ilvl="6" w:tplc="BD68CAC2" w:tentative="1">
      <w:start w:val="1"/>
      <w:numFmt w:val="decimal"/>
      <w:lvlText w:val="%7."/>
      <w:lvlJc w:val="left"/>
      <w:pPr>
        <w:tabs>
          <w:tab w:val="num" w:pos="5040"/>
        </w:tabs>
        <w:ind w:left="5040" w:hanging="360"/>
      </w:pPr>
      <w:rPr>
        <w:rFonts w:cs="Times New Roman"/>
      </w:rPr>
    </w:lvl>
    <w:lvl w:ilvl="7" w:tplc="1AF6C44E" w:tentative="1">
      <w:start w:val="1"/>
      <w:numFmt w:val="lowerLetter"/>
      <w:lvlText w:val="%8."/>
      <w:lvlJc w:val="left"/>
      <w:pPr>
        <w:tabs>
          <w:tab w:val="num" w:pos="5760"/>
        </w:tabs>
        <w:ind w:left="5760" w:hanging="360"/>
      </w:pPr>
      <w:rPr>
        <w:rFonts w:cs="Times New Roman"/>
      </w:rPr>
    </w:lvl>
    <w:lvl w:ilvl="8" w:tplc="A1327FF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578901C">
      <w:start w:val="1"/>
      <w:numFmt w:val="decimal"/>
      <w:lvlText w:val="%1."/>
      <w:lvlJc w:val="left"/>
      <w:pPr>
        <w:tabs>
          <w:tab w:val="num" w:pos="720"/>
        </w:tabs>
        <w:ind w:left="720" w:hanging="360"/>
      </w:pPr>
      <w:rPr>
        <w:rFonts w:cs="Times New Roman"/>
      </w:rPr>
    </w:lvl>
    <w:lvl w:ilvl="1" w:tplc="2C9EF15E" w:tentative="1">
      <w:start w:val="1"/>
      <w:numFmt w:val="lowerLetter"/>
      <w:lvlText w:val="%2."/>
      <w:lvlJc w:val="left"/>
      <w:pPr>
        <w:tabs>
          <w:tab w:val="num" w:pos="1440"/>
        </w:tabs>
        <w:ind w:left="1440" w:hanging="360"/>
      </w:pPr>
      <w:rPr>
        <w:rFonts w:cs="Times New Roman"/>
      </w:rPr>
    </w:lvl>
    <w:lvl w:ilvl="2" w:tplc="6DF835E0" w:tentative="1">
      <w:start w:val="1"/>
      <w:numFmt w:val="lowerRoman"/>
      <w:lvlText w:val="%3."/>
      <w:lvlJc w:val="right"/>
      <w:pPr>
        <w:tabs>
          <w:tab w:val="num" w:pos="2160"/>
        </w:tabs>
        <w:ind w:left="2160" w:hanging="180"/>
      </w:pPr>
      <w:rPr>
        <w:rFonts w:cs="Times New Roman"/>
      </w:rPr>
    </w:lvl>
    <w:lvl w:ilvl="3" w:tplc="64A0E2E8" w:tentative="1">
      <w:start w:val="1"/>
      <w:numFmt w:val="decimal"/>
      <w:lvlText w:val="%4."/>
      <w:lvlJc w:val="left"/>
      <w:pPr>
        <w:tabs>
          <w:tab w:val="num" w:pos="2880"/>
        </w:tabs>
        <w:ind w:left="2880" w:hanging="360"/>
      </w:pPr>
      <w:rPr>
        <w:rFonts w:cs="Times New Roman"/>
      </w:rPr>
    </w:lvl>
    <w:lvl w:ilvl="4" w:tplc="86EED758" w:tentative="1">
      <w:start w:val="1"/>
      <w:numFmt w:val="lowerLetter"/>
      <w:lvlText w:val="%5."/>
      <w:lvlJc w:val="left"/>
      <w:pPr>
        <w:tabs>
          <w:tab w:val="num" w:pos="3600"/>
        </w:tabs>
        <w:ind w:left="3600" w:hanging="360"/>
      </w:pPr>
      <w:rPr>
        <w:rFonts w:cs="Times New Roman"/>
      </w:rPr>
    </w:lvl>
    <w:lvl w:ilvl="5" w:tplc="E55A2F54" w:tentative="1">
      <w:start w:val="1"/>
      <w:numFmt w:val="lowerRoman"/>
      <w:lvlText w:val="%6."/>
      <w:lvlJc w:val="right"/>
      <w:pPr>
        <w:tabs>
          <w:tab w:val="num" w:pos="4320"/>
        </w:tabs>
        <w:ind w:left="4320" w:hanging="180"/>
      </w:pPr>
      <w:rPr>
        <w:rFonts w:cs="Times New Roman"/>
      </w:rPr>
    </w:lvl>
    <w:lvl w:ilvl="6" w:tplc="12828B8A" w:tentative="1">
      <w:start w:val="1"/>
      <w:numFmt w:val="decimal"/>
      <w:lvlText w:val="%7."/>
      <w:lvlJc w:val="left"/>
      <w:pPr>
        <w:tabs>
          <w:tab w:val="num" w:pos="5040"/>
        </w:tabs>
        <w:ind w:left="5040" w:hanging="360"/>
      </w:pPr>
      <w:rPr>
        <w:rFonts w:cs="Times New Roman"/>
      </w:rPr>
    </w:lvl>
    <w:lvl w:ilvl="7" w:tplc="9702BFF6" w:tentative="1">
      <w:start w:val="1"/>
      <w:numFmt w:val="lowerLetter"/>
      <w:lvlText w:val="%8."/>
      <w:lvlJc w:val="left"/>
      <w:pPr>
        <w:tabs>
          <w:tab w:val="num" w:pos="5760"/>
        </w:tabs>
        <w:ind w:left="5760" w:hanging="360"/>
      </w:pPr>
      <w:rPr>
        <w:rFonts w:cs="Times New Roman"/>
      </w:rPr>
    </w:lvl>
    <w:lvl w:ilvl="8" w:tplc="C1FA1B6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0DC8B1E">
      <w:start w:val="1"/>
      <w:numFmt w:val="bullet"/>
      <w:lvlText w:val=""/>
      <w:lvlJc w:val="left"/>
      <w:pPr>
        <w:tabs>
          <w:tab w:val="num" w:pos="5760"/>
        </w:tabs>
        <w:ind w:left="5760" w:hanging="360"/>
      </w:pPr>
      <w:rPr>
        <w:rFonts w:ascii="Symbol" w:hAnsi="Symbol" w:hint="default"/>
        <w:color w:val="auto"/>
        <w:u w:val="none"/>
      </w:rPr>
    </w:lvl>
    <w:lvl w:ilvl="1" w:tplc="66961462" w:tentative="1">
      <w:start w:val="1"/>
      <w:numFmt w:val="bullet"/>
      <w:lvlText w:val="o"/>
      <w:lvlJc w:val="left"/>
      <w:pPr>
        <w:tabs>
          <w:tab w:val="num" w:pos="3600"/>
        </w:tabs>
        <w:ind w:left="3600" w:hanging="360"/>
      </w:pPr>
      <w:rPr>
        <w:rFonts w:ascii="Courier New" w:hAnsi="Courier New" w:hint="default"/>
      </w:rPr>
    </w:lvl>
    <w:lvl w:ilvl="2" w:tplc="62560E32" w:tentative="1">
      <w:start w:val="1"/>
      <w:numFmt w:val="bullet"/>
      <w:lvlText w:val=""/>
      <w:lvlJc w:val="left"/>
      <w:pPr>
        <w:tabs>
          <w:tab w:val="num" w:pos="4320"/>
        </w:tabs>
        <w:ind w:left="4320" w:hanging="360"/>
      </w:pPr>
      <w:rPr>
        <w:rFonts w:ascii="Wingdings" w:hAnsi="Wingdings" w:hint="default"/>
      </w:rPr>
    </w:lvl>
    <w:lvl w:ilvl="3" w:tplc="ED1832FC">
      <w:start w:val="1"/>
      <w:numFmt w:val="bullet"/>
      <w:lvlText w:val=""/>
      <w:lvlJc w:val="left"/>
      <w:pPr>
        <w:tabs>
          <w:tab w:val="num" w:pos="5040"/>
        </w:tabs>
        <w:ind w:left="5040" w:hanging="360"/>
      </w:pPr>
      <w:rPr>
        <w:rFonts w:ascii="Symbol" w:hAnsi="Symbol" w:hint="default"/>
      </w:rPr>
    </w:lvl>
    <w:lvl w:ilvl="4" w:tplc="61C66532" w:tentative="1">
      <w:start w:val="1"/>
      <w:numFmt w:val="bullet"/>
      <w:lvlText w:val="o"/>
      <w:lvlJc w:val="left"/>
      <w:pPr>
        <w:tabs>
          <w:tab w:val="num" w:pos="5760"/>
        </w:tabs>
        <w:ind w:left="5760" w:hanging="360"/>
      </w:pPr>
      <w:rPr>
        <w:rFonts w:ascii="Courier New" w:hAnsi="Courier New" w:hint="default"/>
      </w:rPr>
    </w:lvl>
    <w:lvl w:ilvl="5" w:tplc="ABD0F2BA" w:tentative="1">
      <w:start w:val="1"/>
      <w:numFmt w:val="bullet"/>
      <w:lvlText w:val=""/>
      <w:lvlJc w:val="left"/>
      <w:pPr>
        <w:tabs>
          <w:tab w:val="num" w:pos="6480"/>
        </w:tabs>
        <w:ind w:left="6480" w:hanging="360"/>
      </w:pPr>
      <w:rPr>
        <w:rFonts w:ascii="Wingdings" w:hAnsi="Wingdings" w:hint="default"/>
      </w:rPr>
    </w:lvl>
    <w:lvl w:ilvl="6" w:tplc="50EE20C2" w:tentative="1">
      <w:start w:val="1"/>
      <w:numFmt w:val="bullet"/>
      <w:lvlText w:val=""/>
      <w:lvlJc w:val="left"/>
      <w:pPr>
        <w:tabs>
          <w:tab w:val="num" w:pos="7200"/>
        </w:tabs>
        <w:ind w:left="7200" w:hanging="360"/>
      </w:pPr>
      <w:rPr>
        <w:rFonts w:ascii="Symbol" w:hAnsi="Symbol" w:hint="default"/>
      </w:rPr>
    </w:lvl>
    <w:lvl w:ilvl="7" w:tplc="31969504" w:tentative="1">
      <w:start w:val="1"/>
      <w:numFmt w:val="bullet"/>
      <w:lvlText w:val="o"/>
      <w:lvlJc w:val="left"/>
      <w:pPr>
        <w:tabs>
          <w:tab w:val="num" w:pos="7920"/>
        </w:tabs>
        <w:ind w:left="7920" w:hanging="360"/>
      </w:pPr>
      <w:rPr>
        <w:rFonts w:ascii="Courier New" w:hAnsi="Courier New" w:hint="default"/>
      </w:rPr>
    </w:lvl>
    <w:lvl w:ilvl="8" w:tplc="531CBE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C881242">
      <w:start w:val="1"/>
      <w:numFmt w:val="decimal"/>
      <w:lvlText w:val="(%1)"/>
      <w:lvlJc w:val="left"/>
      <w:pPr>
        <w:tabs>
          <w:tab w:val="num" w:pos="2520"/>
        </w:tabs>
        <w:ind w:left="2520" w:hanging="720"/>
      </w:pPr>
      <w:rPr>
        <w:rFonts w:cs="Times New Roman" w:hint="default"/>
      </w:rPr>
    </w:lvl>
    <w:lvl w:ilvl="1" w:tplc="B4D87346">
      <w:start w:val="1"/>
      <w:numFmt w:val="lowerRoman"/>
      <w:lvlText w:val="(%2)"/>
      <w:lvlJc w:val="left"/>
      <w:pPr>
        <w:tabs>
          <w:tab w:val="num" w:pos="1800"/>
        </w:tabs>
        <w:ind w:left="1800" w:hanging="720"/>
      </w:pPr>
      <w:rPr>
        <w:rFonts w:cs="Times New Roman" w:hint="default"/>
        <w:b w:val="0"/>
      </w:rPr>
    </w:lvl>
    <w:lvl w:ilvl="2" w:tplc="D0304A46">
      <w:start w:val="1"/>
      <w:numFmt w:val="decimal"/>
      <w:lvlText w:val="(%3)"/>
      <w:lvlJc w:val="right"/>
      <w:pPr>
        <w:tabs>
          <w:tab w:val="num" w:pos="2160"/>
        </w:tabs>
        <w:ind w:left="2160" w:hanging="180"/>
      </w:pPr>
      <w:rPr>
        <w:rFonts w:ascii="Times New Roman" w:eastAsia="Times New Roman" w:hAnsi="Times New Roman" w:cs="Times New Roman"/>
        <w:b w:val="0"/>
      </w:rPr>
    </w:lvl>
    <w:lvl w:ilvl="3" w:tplc="DD907936">
      <w:start w:val="1"/>
      <w:numFmt w:val="lowerRoman"/>
      <w:lvlText w:val="(%4)"/>
      <w:lvlJc w:val="left"/>
      <w:pPr>
        <w:tabs>
          <w:tab w:val="num" w:pos="2520"/>
        </w:tabs>
        <w:ind w:left="2880" w:hanging="360"/>
      </w:pPr>
      <w:rPr>
        <w:rFonts w:cs="Times New Roman" w:hint="default"/>
        <w:b w:val="0"/>
      </w:rPr>
    </w:lvl>
    <w:lvl w:ilvl="4" w:tplc="ADD07C9E" w:tentative="1">
      <w:start w:val="1"/>
      <w:numFmt w:val="lowerLetter"/>
      <w:lvlText w:val="%5."/>
      <w:lvlJc w:val="left"/>
      <w:pPr>
        <w:tabs>
          <w:tab w:val="num" w:pos="3600"/>
        </w:tabs>
        <w:ind w:left="3600" w:hanging="360"/>
      </w:pPr>
      <w:rPr>
        <w:rFonts w:cs="Times New Roman"/>
      </w:rPr>
    </w:lvl>
    <w:lvl w:ilvl="5" w:tplc="24147F44" w:tentative="1">
      <w:start w:val="1"/>
      <w:numFmt w:val="lowerRoman"/>
      <w:lvlText w:val="%6."/>
      <w:lvlJc w:val="right"/>
      <w:pPr>
        <w:tabs>
          <w:tab w:val="num" w:pos="4320"/>
        </w:tabs>
        <w:ind w:left="4320" w:hanging="180"/>
      </w:pPr>
      <w:rPr>
        <w:rFonts w:cs="Times New Roman"/>
      </w:rPr>
    </w:lvl>
    <w:lvl w:ilvl="6" w:tplc="BFA4AA1C" w:tentative="1">
      <w:start w:val="1"/>
      <w:numFmt w:val="decimal"/>
      <w:lvlText w:val="%7."/>
      <w:lvlJc w:val="left"/>
      <w:pPr>
        <w:tabs>
          <w:tab w:val="num" w:pos="5040"/>
        </w:tabs>
        <w:ind w:left="5040" w:hanging="360"/>
      </w:pPr>
      <w:rPr>
        <w:rFonts w:cs="Times New Roman"/>
      </w:rPr>
    </w:lvl>
    <w:lvl w:ilvl="7" w:tplc="73BA14BA" w:tentative="1">
      <w:start w:val="1"/>
      <w:numFmt w:val="lowerLetter"/>
      <w:lvlText w:val="%8."/>
      <w:lvlJc w:val="left"/>
      <w:pPr>
        <w:tabs>
          <w:tab w:val="num" w:pos="5760"/>
        </w:tabs>
        <w:ind w:left="5760" w:hanging="360"/>
      </w:pPr>
      <w:rPr>
        <w:rFonts w:cs="Times New Roman"/>
      </w:rPr>
    </w:lvl>
    <w:lvl w:ilvl="8" w:tplc="70386E0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7D7"/>
    <w:rsid w:val="00082A8A"/>
    <w:rsid w:val="009527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3551</Characters>
  <Application>Microsoft Office Word</Application>
  <DocSecurity>4</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