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E7" w:rsidRDefault="00F42BF7">
      <w:pPr>
        <w:pStyle w:val="Heading2"/>
      </w:pPr>
      <w:bookmarkStart w:id="0" w:name="_DV_M53"/>
      <w:bookmarkStart w:id="1" w:name="_DV_M54"/>
      <w:bookmarkStart w:id="2" w:name="_Toc261445995"/>
      <w:bookmarkEnd w:id="0"/>
      <w:bookmarkEnd w:id="1"/>
      <w:r>
        <w:t>2.3</w:t>
      </w:r>
      <w:r>
        <w:tab/>
        <w:t>Definitions - C</w:t>
      </w:r>
      <w:bookmarkEnd w:id="2"/>
    </w:p>
    <w:p w:rsidR="000C33E7" w:rsidRDefault="00F42BF7">
      <w:pPr>
        <w:pStyle w:val="Definition"/>
      </w:pPr>
      <w:r>
        <w:rPr>
          <w:b/>
        </w:rPr>
        <w:t xml:space="preserve">Capability Period: </w:t>
      </w:r>
      <w:r>
        <w:t xml:space="preserve">Six-month periods which are established as follows:  (i) from May 1 through October 31 of each year (“Summer Capability Period”); and (ii) from November 1 of each year through April 30 of the following year (“Winter </w:t>
      </w:r>
      <w:r>
        <w:t>Capability Period”).</w:t>
      </w:r>
    </w:p>
    <w:p w:rsidR="000C33E7" w:rsidRDefault="00F42BF7">
      <w:pPr>
        <w:pStyle w:val="Definition"/>
        <w:rPr>
          <w:bCs/>
        </w:rPr>
      </w:pPr>
      <w:r>
        <w:rPr>
          <w:b/>
        </w:rPr>
        <w:t xml:space="preserve">Capability Period Auction: </w:t>
      </w:r>
      <w:r>
        <w:rPr>
          <w:bCs/>
        </w:rPr>
        <w:tab/>
        <w:t>An auction conducted no later than thirty (30) days prior to the start of each Capability Period in which Unforced Capacity may be purchased and sold in a six-month strip.</w:t>
      </w:r>
    </w:p>
    <w:p w:rsidR="000C33E7" w:rsidRDefault="00F42BF7">
      <w:pPr>
        <w:pStyle w:val="Definition"/>
      </w:pPr>
      <w:r>
        <w:rPr>
          <w:b/>
        </w:rPr>
        <w:t xml:space="preserve">Capability Year: </w:t>
      </w:r>
      <w:r>
        <w:t>A Summer Capabilit</w:t>
      </w:r>
      <w:r>
        <w:t>y Period, followed by a Winter Capability Period (</w:t>
      </w:r>
      <w:r>
        <w:rPr>
          <w:i/>
        </w:rPr>
        <w:t xml:space="preserve">i.e., </w:t>
      </w:r>
      <w:r>
        <w:t>May 1 through April 30).</w:t>
      </w:r>
    </w:p>
    <w:p w:rsidR="000C33E7" w:rsidRDefault="00F42BF7">
      <w:pPr>
        <w:pStyle w:val="Definition"/>
      </w:pPr>
      <w:r>
        <w:rPr>
          <w:b/>
        </w:rPr>
        <w:t xml:space="preserve">Capacity: </w:t>
      </w:r>
      <w:r>
        <w:t>The capability to generate or transmit electrical power, or the ability to control demand at the direction of the ISO, measured in megawatts (“MW”).</w:t>
      </w:r>
    </w:p>
    <w:p w:rsidR="000C33E7" w:rsidRDefault="00F42BF7">
      <w:pPr>
        <w:pStyle w:val="Definition"/>
        <w:rPr>
          <w:bCs/>
        </w:rPr>
      </w:pPr>
      <w:r>
        <w:rPr>
          <w:b/>
        </w:rPr>
        <w:t>Capacity Limited</w:t>
      </w:r>
      <w:r>
        <w:rPr>
          <w:b/>
        </w:rPr>
        <w:t xml:space="preserve"> Resource: </w:t>
      </w:r>
      <w:r>
        <w:rPr>
          <w:bCs/>
        </w:rPr>
        <w:t xml:space="preserve">A Resource that is constrained in its ability to supply Energy above its </w:t>
      </w:r>
      <w:smartTag w:uri="urn:schemas:contacts" w:element="Sn">
        <w:r>
          <w:rPr>
            <w:bCs/>
          </w:rPr>
          <w:t>Normal</w:t>
        </w:r>
      </w:smartTag>
      <w:r>
        <w:rPr>
          <w:bCs/>
        </w:rPr>
        <w:t xml:space="preserve"> Upper Operating Limit by operational or plant configuration characteristics.  Capacity Limited Resources must </w:t>
      </w:r>
      <w:r>
        <w:t>register</w:t>
      </w:r>
      <w:r>
        <w:rPr>
          <w:bCs/>
        </w:rPr>
        <w:t xml:space="preserve"> their </w:t>
      </w:r>
      <w:r>
        <w:t>Capacity</w:t>
      </w:r>
      <w:r>
        <w:rPr>
          <w:bCs/>
        </w:rPr>
        <w:t xml:space="preserve"> limiting characteristics with, </w:t>
      </w:r>
      <w:r>
        <w:rPr>
          <w:bCs/>
        </w:rPr>
        <w:t>and justify them to, the ISO consistent with ISO Procedures.  Capacity Limited Resources may submit a schedule indicating that their Normal Upper Operating Limit is a function depending on one or more variables, such as temperature or pondage levels, in wh</w:t>
      </w:r>
      <w:r>
        <w:rPr>
          <w:bCs/>
        </w:rPr>
        <w:t>ich case the Normal Upper Operating Limit applicable at any time shall be determined by reference to that schedule.</w:t>
      </w:r>
    </w:p>
    <w:p w:rsidR="000C33E7" w:rsidRDefault="00F42BF7">
      <w:pPr>
        <w:pStyle w:val="Definition"/>
      </w:pPr>
      <w:r>
        <w:rPr>
          <w:b/>
        </w:rPr>
        <w:t>Capacity</w:t>
      </w:r>
      <w:r>
        <w:rPr>
          <w:b/>
          <w:bCs/>
        </w:rPr>
        <w:t xml:space="preserve"> Reservation Cap: </w:t>
      </w:r>
      <w:r>
        <w:t>The maximum percentage of transmission Capacity from a Transmission Owner’s sets of ETCNL that may be converted in</w:t>
      </w:r>
      <w:r>
        <w:t>to ETCNL TCCs or the maximum percentage of a Transmission Owner’s RCRRs that may be converted into RCRR TCCs, as the case may be, as established by the ISO pursuant to Section 19.4.3 of Attachment M of the OATT.</w:t>
      </w:r>
    </w:p>
    <w:p w:rsidR="000C33E7" w:rsidRDefault="00F42BF7">
      <w:pPr>
        <w:tabs>
          <w:tab w:val="left" w:pos="720"/>
          <w:tab w:val="left" w:pos="1440"/>
          <w:tab w:val="right" w:pos="9360"/>
        </w:tabs>
      </w:pPr>
      <w:r>
        <w:rPr>
          <w:b/>
          <w:bCs/>
        </w:rPr>
        <w:t>CARL</w:t>
      </w:r>
      <w:r>
        <w:rPr>
          <w:b/>
        </w:rPr>
        <w:t xml:space="preserve"> </w:t>
      </w:r>
      <w:r>
        <w:rPr>
          <w:b/>
          <w:bCs/>
        </w:rPr>
        <w:t xml:space="preserve">Data: </w:t>
      </w:r>
      <w:r>
        <w:t>Control Area Resource and Load (“</w:t>
      </w:r>
      <w:r>
        <w:t>CARL”) data submitted by Control Area System Resources to the ISO.</w:t>
      </w:r>
    </w:p>
    <w:p w:rsidR="000C33E7" w:rsidRDefault="00F42BF7">
      <w:pPr>
        <w:pStyle w:val="Definition"/>
      </w:pPr>
      <w:r>
        <w:rPr>
          <w:b/>
        </w:rPr>
        <w:t>Centralized</w:t>
      </w:r>
      <w:r>
        <w:rPr>
          <w:b/>
          <w:bCs/>
        </w:rPr>
        <w:t xml:space="preserve"> Transmission Congestion Contracts (“TCC”) Auction (“Auction”): </w:t>
      </w:r>
      <w:r>
        <w:t xml:space="preserve">The </w:t>
      </w:r>
      <w:r>
        <w:rPr>
          <w:b/>
        </w:rPr>
        <w:t>process</w:t>
      </w:r>
      <w:r>
        <w:t xml:space="preserve"> by which TCCs are released for sale for the Centralized TCC Auction period, through a bidding process </w:t>
      </w:r>
      <w:r>
        <w:t>administered by the ISO or an auctioneer.</w:t>
      </w:r>
    </w:p>
    <w:p w:rsidR="000C33E7" w:rsidRDefault="00F42BF7">
      <w:pPr>
        <w:pStyle w:val="Definition"/>
      </w:pPr>
      <w:r>
        <w:rPr>
          <w:b/>
        </w:rPr>
        <w:t xml:space="preserve">Code of Conduct: </w:t>
      </w:r>
      <w:r>
        <w:t xml:space="preserve">The rules, procedures and restrictions concerning the conduct of the ISO directors and employees, contained in Attachment F to the ISO Open Access Transmission Tariff.  </w:t>
      </w:r>
    </w:p>
    <w:p w:rsidR="000C33E7" w:rsidRDefault="00F42BF7">
      <w:pPr>
        <w:pStyle w:val="Definition"/>
      </w:pPr>
      <w:r>
        <w:rPr>
          <w:b/>
        </w:rPr>
        <w:lastRenderedPageBreak/>
        <w:t xml:space="preserve">Commission (“FERC”): </w:t>
      </w:r>
      <w:r>
        <w:t>The Fe</w:t>
      </w:r>
      <w:r>
        <w:t xml:space="preserve">deral Energy Regulatory Commission, or any successor agency.  </w:t>
      </w:r>
    </w:p>
    <w:p w:rsidR="000C33E7" w:rsidRDefault="00F42BF7">
      <w:pPr>
        <w:pStyle w:val="BodyTextIndent3"/>
        <w:widowControl w:val="0"/>
        <w:tabs>
          <w:tab w:val="left" w:pos="720"/>
          <w:tab w:val="left" w:pos="1440"/>
          <w:tab w:val="right" w:pos="9360"/>
        </w:tabs>
        <w:ind w:left="0"/>
        <w:rPr>
          <w:rStyle w:val="DeltaViewInsertion"/>
          <w:sz w:val="24"/>
          <w:szCs w:val="24"/>
          <w:u w:val="none"/>
        </w:rPr>
      </w:pPr>
      <w:r>
        <w:rPr>
          <w:b/>
          <w:sz w:val="24"/>
          <w:szCs w:val="24"/>
        </w:rPr>
        <w:t xml:space="preserve">Compensable Overgeneration: </w:t>
      </w:r>
      <w:r>
        <w:rPr>
          <w:sz w:val="24"/>
          <w:szCs w:val="24"/>
        </w:rPr>
        <w:t>A quantity of Energy injected over a given RTD interval in which a Supplier has offered Energy</w:t>
      </w:r>
      <w:r>
        <w:rPr>
          <w:rStyle w:val="DeltaViewInsertion"/>
          <w:sz w:val="24"/>
          <w:szCs w:val="24"/>
          <w:u w:val="none"/>
        </w:rPr>
        <w:t xml:space="preserve"> that exceeds the Real-Time Scheduled Energy Injection established by t</w:t>
      </w:r>
      <w:r>
        <w:rPr>
          <w:rStyle w:val="DeltaViewInsertion"/>
          <w:sz w:val="24"/>
          <w:szCs w:val="24"/>
          <w:u w:val="none"/>
        </w:rPr>
        <w:t xml:space="preserve">he ISO for that Supplier and for which the Supplier may be paid pursuant to this Section and ISO Procedures.  </w:t>
      </w:r>
    </w:p>
    <w:p w:rsidR="000C33E7" w:rsidRDefault="00F42BF7">
      <w:pPr>
        <w:pStyle w:val="Definitionindent"/>
      </w:pPr>
      <w:r>
        <w:t xml:space="preserve">For Suppliers </w:t>
      </w:r>
      <w:r>
        <w:rPr>
          <w:rStyle w:val="DeltaViewInsertion"/>
          <w:u w:val="none"/>
        </w:rPr>
        <w:t>not covered by other provisions of this Section</w:t>
      </w:r>
      <w:r>
        <w:t xml:space="preserve"> and Intermittent Power Resources </w:t>
      </w:r>
      <w:r>
        <w:rPr>
          <w:iCs/>
        </w:rPr>
        <w:t>depending on wind as their fuel</w:t>
      </w:r>
      <w:r>
        <w:t xml:space="preserve"> for which the ISO </w:t>
      </w:r>
      <w:r>
        <w:t xml:space="preserve">has imposed a Wind Output Limit in the given RTD interval,  Compensable Overgeneration shall initially equal three percent ( 3%) of the Supplier’s </w:t>
      </w:r>
      <w:r>
        <w:rPr>
          <w:iCs/>
        </w:rPr>
        <w:t>Normal U</w:t>
      </w:r>
      <w:r>
        <w:t xml:space="preserve">pper </w:t>
      </w:r>
      <w:r>
        <w:rPr>
          <w:iCs/>
        </w:rPr>
        <w:t>O</w:t>
      </w:r>
      <w:r>
        <w:t xml:space="preserve">perating </w:t>
      </w:r>
      <w:r>
        <w:rPr>
          <w:iCs/>
        </w:rPr>
        <w:t>L</w:t>
      </w:r>
      <w:r>
        <w:t>imit which may be modified by the ISO if necessary to maintain good Control Performan</w:t>
      </w:r>
      <w:r>
        <w:t xml:space="preserve">ce. </w:t>
      </w:r>
    </w:p>
    <w:p w:rsidR="000C33E7" w:rsidRDefault="00F42BF7">
      <w:pPr>
        <w:pStyle w:val="Definitionindent"/>
        <w:widowControl w:val="0"/>
        <w:tabs>
          <w:tab w:val="left" w:pos="720"/>
          <w:tab w:val="left" w:pos="1440"/>
          <w:tab w:val="right" w:pos="9360"/>
        </w:tabs>
        <w:rPr>
          <w:rStyle w:val="DeltaViewInsertion"/>
          <w:u w:val="none"/>
        </w:rPr>
      </w:pPr>
      <w:r>
        <w:t xml:space="preserve">For a Generator which is operating in Start-Up or Shutdown Periods, or Testing Periods, </w:t>
      </w:r>
      <w:r>
        <w:rPr>
          <w:rStyle w:val="DeltaViewInsertion"/>
          <w:u w:val="none"/>
        </w:rPr>
        <w:t>or which  is an Intermittent Power Resource that depends on solar energy or landfill gas for  its fuel and which has offered its Energy to the ISO in a given inter</w:t>
      </w:r>
      <w:r>
        <w:rPr>
          <w:rStyle w:val="DeltaViewInsertion"/>
          <w:u w:val="none"/>
        </w:rPr>
        <w:t>val not using the ISO-committed Flexible or Self-Committed Flexible bid mode,  Compensable Overgeneration shall mean all Energy actually injected by the Generator that exceeds the Real-Time Scheduled Energy Injection established by the ISO for that Generat</w:t>
      </w:r>
      <w:r>
        <w:rPr>
          <w:rStyle w:val="DeltaViewInsertion"/>
          <w:u w:val="none"/>
        </w:rPr>
        <w:t>or. For a Generator operating in intervals when it has been designated as operating Out of Merit at the request of a Transmission Owner or the ISO, Compensable Overgeneration shall mean all Energy actually injected by the Generator that exceeds the Real-Ti</w:t>
      </w:r>
      <w:r>
        <w:rPr>
          <w:rStyle w:val="DeltaViewInsertion"/>
          <w:u w:val="none"/>
        </w:rPr>
        <w:t>me Scheduled Energy Injection up to the Energy level directed by the Transmission Owner or the ISO.</w:t>
      </w:r>
    </w:p>
    <w:p w:rsidR="000C33E7" w:rsidRDefault="00F42BF7">
      <w:pPr>
        <w:pStyle w:val="Definitionindent"/>
        <w:widowControl w:val="0"/>
        <w:tabs>
          <w:tab w:val="left" w:pos="720"/>
          <w:tab w:val="left" w:pos="1440"/>
          <w:tab w:val="right" w:pos="9360"/>
        </w:tabs>
        <w:rPr>
          <w:rStyle w:val="DeltaViewInsertion"/>
          <w:u w:val="none"/>
        </w:rPr>
      </w:pPr>
      <w:r>
        <w:t xml:space="preserve">For Intermittent Power Resources that depend on wind as their fuel and Limited Control Run of River Hydro Resources not using the ISO-Committed Flexible or </w:t>
      </w:r>
      <w:r>
        <w:t>Self-Committed Flexible bid mode, that were in operation on or before November 18, 1999 within the NYCA, plus an additional 3,300 MW of such Resources,  Compensable Overgeneration shall mean that quantity of Energy injected by a Generator, over a given RTD</w:t>
      </w:r>
      <w:r>
        <w:t xml:space="preserve"> interval that exceeds the Real-Time Scheduled Energy Injection established by the ISO for that Generator and for which the Generator may be paid pursuant to ISO Procedures</w:t>
      </w:r>
      <w:r>
        <w:rPr>
          <w:rStyle w:val="DeltaViewInsertion"/>
          <w:u w:val="none"/>
        </w:rPr>
        <w:t>; provided however, this definition of Compensable Overgeneration shall not apply to</w:t>
      </w:r>
      <w:r>
        <w:rPr>
          <w:rStyle w:val="DeltaViewInsertion"/>
          <w:u w:val="none"/>
        </w:rPr>
        <w:t xml:space="preserve"> an Intermittent Power Resource depending on wind as its fuel for any interval for which the ISO has imposed a Wind Output Limit.</w:t>
      </w:r>
    </w:p>
    <w:p w:rsidR="000C33E7" w:rsidRDefault="00F42BF7">
      <w:pPr>
        <w:pStyle w:val="Definitionindent"/>
      </w:pPr>
      <w:r>
        <w:t>For a Generator comprised of a group of generating units at a single location, which grouped generating units are separately c</w:t>
      </w:r>
      <w:r>
        <w:t>ommitted and dispatched by the ISO, and for which Energy injections are measured at a single location, Compensable Overgeneration shall mean that quantity of Energy injected by the Generator, during the period when one of its grouped generating units is op</w:t>
      </w:r>
      <w:r>
        <w:t>erating in a Start-Up or Shutdown Period, that exceeds the Real-Time Scheduled Energy Injection established by the ISO for that period, for that Generator, and for which the Generator may be paid pursuant to ISO Procedures.</w:t>
      </w:r>
    </w:p>
    <w:p w:rsidR="000C33E7" w:rsidRDefault="00F42BF7">
      <w:pPr>
        <w:pStyle w:val="Definition"/>
      </w:pPr>
      <w:r>
        <w:rPr>
          <w:b/>
        </w:rPr>
        <w:t xml:space="preserve">Completed Application: </w:t>
      </w:r>
      <w:r>
        <w:t>An Applic</w:t>
      </w:r>
      <w:r>
        <w:t xml:space="preserve">ation that satisfies all of the information and other requirements for service under the ISO Services Tariff.  </w:t>
      </w:r>
    </w:p>
    <w:p w:rsidR="000C33E7" w:rsidRDefault="00F42BF7">
      <w:pPr>
        <w:pStyle w:val="Definition"/>
      </w:pPr>
      <w:r>
        <w:rPr>
          <w:b/>
        </w:rPr>
        <w:lastRenderedPageBreak/>
        <w:t>Confidential</w:t>
      </w:r>
      <w:r>
        <w:t xml:space="preserve"> </w:t>
      </w:r>
      <w:r>
        <w:rPr>
          <w:b/>
        </w:rPr>
        <w:t>Information:</w:t>
      </w:r>
      <w:r>
        <w:t xml:space="preserve"> Information and/or data that has been designated by a Customer to be proprietary and confidential, provided that such </w:t>
      </w:r>
      <w:r>
        <w:t xml:space="preserve">designation is consistent with the ISO Procedures, the ISO Services Tariff, and the ISO Code of Conduct.  </w:t>
      </w:r>
    </w:p>
    <w:p w:rsidR="000C33E7" w:rsidRDefault="00F42BF7">
      <w:pPr>
        <w:pStyle w:val="Definition"/>
      </w:pPr>
      <w:r>
        <w:rPr>
          <w:b/>
        </w:rPr>
        <w:t xml:space="preserve">Congestion: </w:t>
      </w:r>
      <w:r>
        <w:t>A characteristic of the transmission system produced by a constraint on the optimum economic operation of the power system, such that the</w:t>
      </w:r>
      <w:r>
        <w:t xml:space="preserve"> marginal price of Energy to serve the next increment of Load, exclusive of losses, at different locations on the transmission system is unequal.</w:t>
      </w:r>
    </w:p>
    <w:p w:rsidR="000C33E7" w:rsidRDefault="00F42BF7">
      <w:pPr>
        <w:pStyle w:val="Definition"/>
      </w:pPr>
      <w:r>
        <w:rPr>
          <w:b/>
        </w:rPr>
        <w:t>Congestion</w:t>
      </w:r>
      <w:r>
        <w:rPr>
          <w:b/>
          <w:bCs/>
        </w:rPr>
        <w:t xml:space="preserve"> Component: </w:t>
      </w:r>
      <w:r>
        <w:t>The component of the LBMP measured at a location or the Transmission Usage Charge betwee</w:t>
      </w:r>
      <w:r>
        <w:t>n two locations that is attributable to the cost of transmission Congestion</w:t>
      </w:r>
      <w:ins w:id="3" w:author="Author" w:date="2011-12-12T11:58:00Z">
        <w:r>
          <w:t xml:space="preserve"> as is more completely defined in Attachment B of the Services Tariff</w:t>
        </w:r>
      </w:ins>
      <w:r>
        <w:t>.</w:t>
      </w:r>
    </w:p>
    <w:p w:rsidR="000C33E7" w:rsidRDefault="00F42BF7">
      <w:pPr>
        <w:pStyle w:val="Definition"/>
      </w:pPr>
      <w:r>
        <w:rPr>
          <w:b/>
        </w:rPr>
        <w:t>Congestion</w:t>
      </w:r>
      <w:r>
        <w:rPr>
          <w:b/>
          <w:bCs/>
        </w:rPr>
        <w:t xml:space="preserve"> Rent</w:t>
      </w:r>
      <w:r>
        <w:t>: The</w:t>
      </w:r>
      <w:r>
        <w:rPr>
          <w:b/>
        </w:rPr>
        <w:t xml:space="preserve"> </w:t>
      </w:r>
      <w:r>
        <w:t xml:space="preserve">opportunity costs of transmission Constraints on the NYS Transmission System. Congestion </w:t>
      </w:r>
      <w:r>
        <w:t>Rents are collected by the ISO from Loads through its facilitation of LBMP Market Transactions and the collection of Transmission Usage Charges from Bilateral Transactions.</w:t>
      </w:r>
    </w:p>
    <w:p w:rsidR="000C33E7" w:rsidRDefault="00F42BF7">
      <w:pPr>
        <w:pStyle w:val="Definition"/>
      </w:pPr>
      <w:r>
        <w:rPr>
          <w:b/>
          <w:bCs/>
        </w:rPr>
        <w:t>Congestion Rent Shortfall</w:t>
      </w:r>
      <w:r>
        <w:t>: A condition in which the Congestion Rent revenue collect</w:t>
      </w:r>
      <w:r>
        <w:t>ed by the ISO in the Day</w:t>
      </w:r>
      <w:r>
        <w:noBreakHyphen/>
        <w:t>Ahead Market for Energy is less than the amount of Congestion Rent revenue in the Day</w:t>
      </w:r>
      <w:r>
        <w:noBreakHyphen/>
        <w:t>Ahead Market for Energy that the ISO is obligated under the ISO OATT to pay out to the Primary Holders of TCCs.</w:t>
      </w:r>
    </w:p>
    <w:p w:rsidR="000C33E7" w:rsidRDefault="00F42BF7">
      <w:pPr>
        <w:pStyle w:val="Definition"/>
        <w:rPr>
          <w:b/>
          <w:bCs/>
        </w:rPr>
      </w:pPr>
      <w:r>
        <w:rPr>
          <w:b/>
        </w:rPr>
        <w:t>Constraint</w:t>
      </w:r>
      <w:r>
        <w:t>: An upper or lower lim</w:t>
      </w:r>
      <w:r>
        <w:t xml:space="preserve">it placed on a variable or set of variables that are used by the ISO in its SCUC, </w:t>
      </w:r>
      <w:r>
        <w:rPr>
          <w:iCs/>
        </w:rPr>
        <w:t>RTC,</w:t>
      </w:r>
      <w:r>
        <w:t xml:space="preserve"> or </w:t>
      </w:r>
      <w:r>
        <w:rPr>
          <w:iCs/>
        </w:rPr>
        <w:t>RTD</w:t>
      </w:r>
      <w:r>
        <w:t xml:space="preserve"> programs to control and/or facilitate the operation of the NYS Transmission System.</w:t>
      </w:r>
    </w:p>
    <w:p w:rsidR="000C33E7" w:rsidRDefault="00F42BF7">
      <w:pPr>
        <w:pStyle w:val="Definition"/>
      </w:pPr>
      <w:r>
        <w:rPr>
          <w:b/>
        </w:rPr>
        <w:t xml:space="preserve">Contingency: </w:t>
      </w:r>
      <w:r>
        <w:t>An actual or potential unexpected failure or outage of a system c</w:t>
      </w:r>
      <w:r>
        <w:t>omponent, such as a Generator, transmission line, circuit breaker, switch or other electrical element.  A Contingency also may include multiple components, which are related by situations leading to simultaneous component outages.</w:t>
      </w:r>
    </w:p>
    <w:p w:rsidR="000C33E7" w:rsidRDefault="00F42BF7">
      <w:pPr>
        <w:pStyle w:val="Definition"/>
      </w:pPr>
      <w:r>
        <w:rPr>
          <w:b/>
        </w:rPr>
        <w:t xml:space="preserve">Control Area: </w:t>
      </w:r>
      <w:r>
        <w:t>An electric</w:t>
      </w:r>
      <w:r>
        <w:t xml:space="preserve"> system or combination of electric power systems to which a common Automatic Generation Control scheme is applied in order to: (1) match, at all times, the power output of the Generators within the electric power system(s) and Capacity and Energy purchased</w:t>
      </w:r>
      <w:r>
        <w:t xml:space="preserve"> from entities outside the electric power system(s), with the Load within the electric power system(s); (2) maintain scheduled interchange with other Control Areas, within the limits of Good Utility Practice; (3) maintain the frequency of the electric powe</w:t>
      </w:r>
      <w:r>
        <w:t xml:space="preserve">r system(s) within reasonable limits in accordance with Good Utility Practice; and (4) provide sufficient Capacity to maintain </w:t>
      </w:r>
      <w:r>
        <w:rPr>
          <w:iCs/>
        </w:rPr>
        <w:t>O</w:t>
      </w:r>
      <w:r>
        <w:t xml:space="preserve">perating </w:t>
      </w:r>
      <w:r>
        <w:rPr>
          <w:iCs/>
        </w:rPr>
        <w:t>R</w:t>
      </w:r>
      <w:r>
        <w:t>eserves in accordance with Good Utility Practice.</w:t>
      </w:r>
    </w:p>
    <w:p w:rsidR="000C33E7" w:rsidRDefault="00F42BF7">
      <w:pPr>
        <w:pStyle w:val="Definition"/>
        <w:rPr>
          <w:u w:val="double"/>
        </w:rPr>
      </w:pPr>
      <w:r>
        <w:rPr>
          <w:b/>
        </w:rPr>
        <w:t xml:space="preserve">Control Area System Resource: </w:t>
      </w:r>
      <w:r>
        <w:t>A set of Resources owned or controlled</w:t>
      </w:r>
      <w:r>
        <w:t xml:space="preserve"> by an entity within a Control Area that also is the operator of such Control Area.  Entities supplying Unforced Capacity using Control Area System Resources will not designate particular Resources as the suppliers of Unforced Capacity.</w:t>
      </w:r>
    </w:p>
    <w:p w:rsidR="000C33E7" w:rsidRDefault="00F42BF7">
      <w:pPr>
        <w:pStyle w:val="Definition"/>
      </w:pPr>
      <w:r>
        <w:rPr>
          <w:b/>
        </w:rPr>
        <w:t>Control Performance</w:t>
      </w:r>
      <w:r>
        <w:rPr>
          <w:b/>
        </w:rPr>
        <w:t xml:space="preserve">: </w:t>
      </w:r>
      <w:r>
        <w:t>A standard for measuring the degree to which a Control Area is providing Regulation Service in conformance with NERC requirements.</w:t>
      </w:r>
    </w:p>
    <w:p w:rsidR="000C33E7" w:rsidRDefault="00F42BF7">
      <w:pPr>
        <w:pStyle w:val="Definition"/>
      </w:pPr>
      <w:r>
        <w:rPr>
          <w:b/>
        </w:rPr>
        <w:t xml:space="preserve">Controllable Transmission: </w:t>
      </w:r>
      <w:r>
        <w:t>Any Transmission facility over which power-flow can be directly controlled by power-flow control</w:t>
      </w:r>
      <w:r>
        <w:t xml:space="preserve"> devices without having to re-dispatch generation.</w:t>
      </w:r>
    </w:p>
    <w:p w:rsidR="000C33E7" w:rsidRDefault="00F42BF7">
      <w:pPr>
        <w:pStyle w:val="Definition"/>
      </w:pPr>
      <w:r>
        <w:rPr>
          <w:b/>
        </w:rPr>
        <w:t xml:space="preserve">Credit Assessment: </w:t>
      </w:r>
      <w:r>
        <w:t>An assessment of a Customer’s creditworthiness, conducted by the ISO in accordance with Section 26.5.3 of Attachment K to this Services Tariff.</w:t>
      </w:r>
    </w:p>
    <w:p w:rsidR="000C33E7" w:rsidRDefault="00A66DEB">
      <w:pPr>
        <w:pStyle w:val="Definition"/>
        <w:rPr>
          <w:ins w:id="4" w:author="Author" w:date="2011-12-12T12:13:00Z"/>
        </w:rPr>
      </w:pPr>
      <w:r>
        <w:rPr>
          <w:b/>
          <w:bCs/>
        </w:rPr>
        <w:t>Cross-Sound</w:t>
      </w:r>
      <w:r w:rsidR="00F42BF7">
        <w:rPr>
          <w:b/>
          <w:bCs/>
        </w:rPr>
        <w:t xml:space="preserve"> Scheduled Line:</w:t>
      </w:r>
      <w:r w:rsidR="00F42BF7">
        <w:rPr>
          <w:bCs/>
        </w:rPr>
        <w:t xml:space="preserve"> </w:t>
      </w:r>
      <w:r w:rsidR="00F42BF7">
        <w:t>A transmission</w:t>
      </w:r>
      <w:r w:rsidR="00F42BF7">
        <w:t xml:space="preserve"> facility that interconnects the NYCA to the New England Control Area at </w:t>
      </w:r>
      <w:smartTag w:uri="urn:schemas-microsoft-com:office:smarttags" w:element="PersonName">
        <w:r w:rsidR="00F42BF7">
          <w:t>Shoreham</w:t>
        </w:r>
      </w:smartTag>
      <w:r w:rsidR="00F42BF7">
        <w:t xml:space="preserve">, </w:t>
      </w:r>
      <w:smartTag w:uri="urn:schemas:contacts" w:element="GivenName">
        <w:r w:rsidR="00F42BF7">
          <w:t>New York</w:t>
        </w:r>
      </w:smartTag>
      <w:r w:rsidR="00F42BF7">
        <w:t xml:space="preserve"> and terminates near </w:t>
      </w:r>
      <w:smartTag w:uri="urn:schemas-microsoft-com:office:smarttags" w:element="PersonName">
        <w:smartTag w:uri="urn:schemas:contacts" w:element="Sn">
          <w:r w:rsidR="00F42BF7">
            <w:t>New Haven</w:t>
          </w:r>
        </w:smartTag>
        <w:r w:rsidR="00F42BF7">
          <w:t>, Connecticut</w:t>
        </w:r>
      </w:smartTag>
      <w:r w:rsidR="00F42BF7">
        <w:t>.</w:t>
      </w:r>
    </w:p>
    <w:p w:rsidR="00000000" w:rsidRDefault="00A66DEB">
      <w:pPr>
        <w:pStyle w:val="Definition"/>
        <w:rPr>
          <w:ins w:id="5" w:author="Author" w:date="2011-12-12T12:16:00Z"/>
        </w:rPr>
      </w:pPr>
      <w:ins w:id="6" w:author="Author" w:date="2011-12-12T12:15:00Z">
        <w:r w:rsidRPr="00A66DEB">
          <w:rPr>
            <w:b/>
            <w:rPrChange w:id="7" w:author="Author" w:date="2011-12-12T16:56:00Z">
              <w:rPr/>
            </w:rPrChange>
          </w:rPr>
          <w:t>CTS Enabled Interface:</w:t>
        </w:r>
        <w:r w:rsidR="00F42BF7">
          <w:t xml:space="preserve"> An External Interface at which the ISO has authorized the use of Coordinated Transaction Scheduli</w:t>
        </w:r>
        <w:r w:rsidR="00F42BF7">
          <w:t>ng (</w:t>
        </w:r>
      </w:ins>
      <w:ins w:id="8" w:author="Author" w:date="2011-12-12T12:16:00Z">
        <w:r w:rsidR="00F42BF7">
          <w:t>“CTS”) market rules and which includes a CTS Enabled Proxy Generator Bus for New York and a CTS Enabled Proxy Generator Bus for the neighboring Control Area.</w:t>
        </w:r>
      </w:ins>
    </w:p>
    <w:p w:rsidR="00000000" w:rsidRDefault="00A66DEB">
      <w:pPr>
        <w:pStyle w:val="Definition"/>
        <w:rPr>
          <w:ins w:id="9" w:author="Author" w:date="2011-12-12T12:15:00Z"/>
        </w:rPr>
      </w:pPr>
      <w:ins w:id="10" w:author="Author" w:date="2011-12-12T12:17:00Z">
        <w:r w:rsidRPr="00A66DEB">
          <w:rPr>
            <w:b/>
            <w:rPrChange w:id="11" w:author="Author" w:date="2011-12-12T16:56:00Z">
              <w:rPr/>
            </w:rPrChange>
          </w:rPr>
          <w:t>CTS Enabled Proxy Generator Bus:</w:t>
        </w:r>
        <w:r w:rsidR="00F42BF7">
          <w:t xml:space="preserve">  A Proxy Generator Bus at which the ISO </w:t>
        </w:r>
      </w:ins>
      <w:ins w:id="12" w:author="Author" w:date="2011-12-27T14:36:00Z">
        <w:r w:rsidR="00F42BF7">
          <w:t>requires</w:t>
        </w:r>
      </w:ins>
      <w:ins w:id="13" w:author="Author" w:date="2011-12-12T12:17:00Z">
        <w:r w:rsidR="00F42BF7">
          <w:t xml:space="preserve"> the use of CTS Interface Bids </w:t>
        </w:r>
      </w:ins>
      <w:ins w:id="14" w:author="Author" w:date="2011-12-27T14:37:00Z">
        <w:r w:rsidR="00F42BF7">
          <w:t xml:space="preserve">for Import and Export Transactions and the use of </w:t>
        </w:r>
      </w:ins>
      <w:ins w:id="15" w:author="Author" w:date="2011-12-27T14:38:00Z">
        <w:r w:rsidR="00F42BF7">
          <w:t>D</w:t>
        </w:r>
      </w:ins>
      <w:ins w:id="16" w:author="Author" w:date="2011-12-27T14:37:00Z">
        <w:r w:rsidR="00F42BF7">
          <w:t xml:space="preserve">ecremental </w:t>
        </w:r>
      </w:ins>
      <w:ins w:id="17" w:author="Author" w:date="2011-12-27T14:38:00Z">
        <w:r w:rsidR="00F42BF7">
          <w:t>B</w:t>
        </w:r>
      </w:ins>
      <w:ins w:id="18" w:author="Author" w:date="2011-12-27T14:37:00Z">
        <w:r w:rsidR="00F42BF7">
          <w:t xml:space="preserve">ids </w:t>
        </w:r>
      </w:ins>
      <w:ins w:id="19" w:author="Author" w:date="2011-12-27T14:38:00Z">
        <w:r w:rsidR="00F42BF7">
          <w:t xml:space="preserve">for Wheels Through </w:t>
        </w:r>
      </w:ins>
      <w:ins w:id="20" w:author="Author" w:date="2011-12-12T12:17:00Z">
        <w:r w:rsidR="00F42BF7">
          <w:t>in the Real-Time Market.</w:t>
        </w:r>
      </w:ins>
    </w:p>
    <w:p w:rsidR="00000000" w:rsidRDefault="00A66DEB">
      <w:pPr>
        <w:pStyle w:val="Definition"/>
        <w:rPr>
          <w:ins w:id="21" w:author="Author" w:date="2011-12-12T12:19:00Z"/>
        </w:rPr>
      </w:pPr>
      <w:ins w:id="22" w:author="Author" w:date="2011-12-12T12:13:00Z">
        <w:r w:rsidRPr="00A66DEB">
          <w:rPr>
            <w:b/>
            <w:rPrChange w:id="23" w:author="Author" w:date="2011-12-12T16:56:00Z">
              <w:rPr/>
            </w:rPrChange>
          </w:rPr>
          <w:t>CTS Interface Bid:</w:t>
        </w:r>
        <w:r w:rsidR="00F42BF7">
          <w:t xml:space="preserve"> A Real-Time Bid provided by an entity engaged in a Transaction at a CTS Enabled Interface</w:t>
        </w:r>
        <w:r w:rsidR="00F42BF7" w:rsidRPr="00CA6A12">
          <w:t xml:space="preserve"> </w:t>
        </w:r>
        <w:r w:rsidR="00F42BF7">
          <w:t>other</w:t>
        </w:r>
        <w:r w:rsidR="00F42BF7">
          <w:t xml:space="preserve"> than a Real-Time Bid provided by an entity for a </w:t>
        </w:r>
      </w:ins>
      <w:ins w:id="24" w:author="Author" w:date="2011-12-27T17:14:00Z">
        <w:r w:rsidR="00F42BF7">
          <w:t>T</w:t>
        </w:r>
      </w:ins>
      <w:ins w:id="25" w:author="Author" w:date="2011-12-12T12:13:00Z">
        <w:r w:rsidR="00F42BF7">
          <w:t xml:space="preserve">ransaction to wheel </w:t>
        </w:r>
      </w:ins>
      <w:ins w:id="26" w:author="Author" w:date="2011-12-27T17:14:00Z">
        <w:r w:rsidR="00F42BF7">
          <w:t>E</w:t>
        </w:r>
      </w:ins>
      <w:ins w:id="27" w:author="Author" w:date="2011-12-12T12:13:00Z">
        <w:r w:rsidR="00F42BF7">
          <w:t>nergy through New York or through the neighboring Control Area which Bid includes a MW amount, a direction indicating whether the proposed Transaction is to Import Energy to, or Export</w:t>
        </w:r>
        <w:r w:rsidR="00F42BF7">
          <w:t xml:space="preserve"> Energy from, the New York Control Area</w:t>
        </w:r>
        <w:r w:rsidR="00F42BF7" w:rsidRPr="008F62A2">
          <w:t xml:space="preserve">, and a </w:t>
        </w:r>
        <w:r w:rsidR="00F42BF7">
          <w:t>Bid Price.</w:t>
        </w:r>
        <w:del w:id="28" w:author="Author" w:date="2011-11-01T14:30:00Z">
          <w:r w:rsidR="00F42BF7">
            <w:delText xml:space="preserve"> </w:delText>
          </w:r>
        </w:del>
      </w:ins>
    </w:p>
    <w:p w:rsidR="00000000" w:rsidRDefault="00A66DEB">
      <w:pPr>
        <w:pStyle w:val="Definition"/>
        <w:rPr>
          <w:ins w:id="29" w:author="Author" w:date="2011-12-12T16:11:00Z"/>
        </w:rPr>
      </w:pPr>
      <w:ins w:id="30" w:author="Author" w:date="2011-12-12T12:19:00Z">
        <w:r w:rsidRPr="00A66DEB">
          <w:rPr>
            <w:b/>
            <w:rPrChange w:id="31" w:author="Author" w:date="2011-12-12T16:56:00Z">
              <w:rPr/>
            </w:rPrChange>
          </w:rPr>
          <w:t>CTS Sink Control Area:</w:t>
        </w:r>
        <w:r w:rsidR="00F42BF7">
          <w:t xml:space="preserve"> The Control Area with which the Point of Withdrawal for a CTS Interface Bid is associated. </w:t>
        </w:r>
      </w:ins>
    </w:p>
    <w:p w:rsidR="00000000" w:rsidRDefault="00A66DEB">
      <w:pPr>
        <w:pStyle w:val="Definition"/>
        <w:rPr>
          <w:ins w:id="32" w:author="Author" w:date="2011-12-12T16:11:00Z"/>
        </w:rPr>
        <w:pPrChange w:id="33" w:author="Author" w:date="2011-12-12T16:55:00Z">
          <w:pPr>
            <w:autoSpaceDE w:val="0"/>
            <w:autoSpaceDN w:val="0"/>
          </w:pPr>
        </w:pPrChange>
      </w:pPr>
      <w:ins w:id="34" w:author="Author" w:date="2011-12-12T16:11:00Z">
        <w:r w:rsidRPr="00A66DEB">
          <w:rPr>
            <w:b/>
            <w:rPrChange w:id="35" w:author="Author" w:date="2011-12-12T16:56:00Z">
              <w:rPr>
                <w:b/>
                <w:bCs/>
              </w:rPr>
            </w:rPrChange>
          </w:rPr>
          <w:t>CTS Sink Control Area Price:</w:t>
        </w:r>
        <w:r w:rsidR="00F42BF7">
          <w:t xml:space="preserve"> The </w:t>
        </w:r>
      </w:ins>
      <w:ins w:id="36" w:author="Author" w:date="2011-12-27T14:40:00Z">
        <w:r w:rsidR="00F42BF7">
          <w:t>price at which the Sink Control Area settles</w:t>
        </w:r>
      </w:ins>
      <w:ins w:id="37" w:author="Author" w:date="2011-12-12T16:11:00Z">
        <w:r w:rsidR="00F42BF7">
          <w:t xml:space="preserve"> CTS </w:t>
        </w:r>
        <w:r w:rsidR="00F42BF7">
          <w:t>Interface Bid</w:t>
        </w:r>
      </w:ins>
      <w:ins w:id="38" w:author="Author" w:date="2011-12-27T14:40:00Z">
        <w:r w:rsidR="00F42BF7">
          <w:t>s</w:t>
        </w:r>
      </w:ins>
      <w:ins w:id="39" w:author="Author" w:date="2011-12-12T16:11:00Z">
        <w:r w:rsidR="00F42BF7">
          <w:t>.</w:t>
        </w:r>
      </w:ins>
    </w:p>
    <w:p w:rsidR="00000000" w:rsidRDefault="00A66DEB">
      <w:pPr>
        <w:pStyle w:val="Definition"/>
        <w:rPr>
          <w:ins w:id="40" w:author="Author" w:date="2011-12-12T16:11:00Z"/>
        </w:rPr>
        <w:pPrChange w:id="41" w:author="Author" w:date="2011-12-12T16:55:00Z">
          <w:pPr>
            <w:autoSpaceDE w:val="0"/>
            <w:autoSpaceDN w:val="0"/>
            <w:adjustRightInd w:val="0"/>
          </w:pPr>
        </w:pPrChange>
      </w:pPr>
      <w:ins w:id="42" w:author="Author" w:date="2011-12-12T16:11:00Z">
        <w:r>
          <w:rPr>
            <w:b/>
          </w:rPr>
          <w:t>CTS Source Control Area</w:t>
        </w:r>
      </w:ins>
      <w:ins w:id="43" w:author="Author" w:date="2011-12-12T16:12:00Z">
        <w:r>
          <w:rPr>
            <w:b/>
          </w:rPr>
          <w:t>:</w:t>
        </w:r>
        <w:r w:rsidRPr="00A66DEB">
          <w:rPr>
            <w:rPrChange w:id="44" w:author="Author" w:date="2011-12-12T16:16:00Z">
              <w:rPr>
                <w:b/>
              </w:rPr>
            </w:rPrChange>
          </w:rPr>
          <w:t xml:space="preserve"> </w:t>
        </w:r>
      </w:ins>
      <w:ins w:id="45" w:author="Author" w:date="2011-12-12T16:11:00Z">
        <w:r w:rsidR="00F42BF7">
          <w:t>The Control Area with which the</w:t>
        </w:r>
        <w:r w:rsidR="00F42BF7" w:rsidRPr="007C46ED">
          <w:t xml:space="preserve"> </w:t>
        </w:r>
        <w:r w:rsidR="00F42BF7">
          <w:t>Point of Injection for a CTS Interface Bid is associated.</w:t>
        </w:r>
      </w:ins>
    </w:p>
    <w:p w:rsidR="00000000" w:rsidRDefault="00A66DEB">
      <w:pPr>
        <w:pStyle w:val="Definition"/>
        <w:pPrChange w:id="46" w:author="Author" w:date="2011-12-27T13:50:00Z">
          <w:pPr>
            <w:autoSpaceDE w:val="0"/>
            <w:autoSpaceDN w:val="0"/>
            <w:adjustRightInd w:val="0"/>
          </w:pPr>
        </w:pPrChange>
      </w:pPr>
      <w:ins w:id="47" w:author="Author" w:date="2011-12-12T16:11:00Z">
        <w:r w:rsidRPr="00A66DEB">
          <w:rPr>
            <w:b/>
            <w:rPrChange w:id="48" w:author="Author" w:date="2011-12-12T16:56:00Z">
              <w:rPr/>
            </w:rPrChange>
          </w:rPr>
          <w:t>CTS Source Control Area Price:</w:t>
        </w:r>
        <w:r w:rsidR="00F42BF7" w:rsidRPr="0002621D">
          <w:t xml:space="preserve"> </w:t>
        </w:r>
      </w:ins>
      <w:ins w:id="49" w:author="Author" w:date="2011-12-27T14:41:00Z">
        <w:r w:rsidR="00F42BF7">
          <w:t>The price at which the Source Control Area settles CTS Interface Bids</w:t>
        </w:r>
      </w:ins>
      <w:ins w:id="50" w:author="Author" w:date="2011-12-12T16:11:00Z">
        <w:r w:rsidR="00F42BF7" w:rsidRPr="0002621D">
          <w:t>.</w:t>
        </w:r>
      </w:ins>
    </w:p>
    <w:p w:rsidR="000C33E7" w:rsidRDefault="00F42BF7">
      <w:pPr>
        <w:pStyle w:val="Definition"/>
      </w:pPr>
      <w:r>
        <w:rPr>
          <w:b/>
        </w:rPr>
        <w:t>Curtailment or Curtail</w:t>
      </w:r>
      <w:r>
        <w:t>:</w:t>
      </w:r>
      <w:r>
        <w:t xml:space="preserve"> A reduction in Firm or Non</w:t>
      </w:r>
      <w:r>
        <w:noBreakHyphen/>
        <w:t>Firm Transmission Service in response to a transmission Capacity shortage as a result of system reliability conditions.</w:t>
      </w:r>
    </w:p>
    <w:p w:rsidR="000C33E7" w:rsidRDefault="00F42BF7">
      <w:pPr>
        <w:pStyle w:val="Definition"/>
      </w:pPr>
      <w:r>
        <w:rPr>
          <w:b/>
        </w:rPr>
        <w:t xml:space="preserve">Curtailment Customer Aggregator: </w:t>
      </w:r>
      <w:r>
        <w:t>A Curtailment Services Provider that produces real-time verified reductions</w:t>
      </w:r>
      <w:r>
        <w:t xml:space="preserve"> in NYCA load of at least 100 kW through contracts with retail end-users.  The procedure for qualifying as a Curtailment Customer Aggregator is set forth in ISO procedures. </w:t>
      </w:r>
    </w:p>
    <w:p w:rsidR="000C33E7" w:rsidRDefault="00F42BF7">
      <w:pPr>
        <w:pStyle w:val="Definition"/>
      </w:pPr>
      <w:r>
        <w:rPr>
          <w:b/>
        </w:rPr>
        <w:t xml:space="preserve">Curtailment Initiation Cost: </w:t>
      </w:r>
      <w:r>
        <w:t>The fixed payment, separate from a variable Demand Re</w:t>
      </w:r>
      <w:r>
        <w:t>duction Bid, required by a qualified Demand Reduction Provider in order to cover the cost of reducing demand.</w:t>
      </w:r>
    </w:p>
    <w:p w:rsidR="000C33E7" w:rsidRDefault="00F42BF7">
      <w:pPr>
        <w:pStyle w:val="Definition"/>
        <w:rPr>
          <w:u w:val="double"/>
        </w:rPr>
      </w:pPr>
      <w:r>
        <w:rPr>
          <w:b/>
        </w:rPr>
        <w:t xml:space="preserve">Curtailment Services Provider: </w:t>
      </w:r>
      <w:r>
        <w:t>A qualified entity that can produce real-time, verified reductions in NYCA Load of at least 100 kW in a single Load</w:t>
      </w:r>
      <w:r>
        <w:t xml:space="preserve"> Zone, pursuant to the Emergency Demand Response Program and related ISO procedures. The procedure for qualifying as a Curtailment Services Provider is set forth in Section 3 below and in ISO Procedures.</w:t>
      </w:r>
    </w:p>
    <w:p w:rsidR="000C33E7" w:rsidRDefault="00F42BF7">
      <w:pPr>
        <w:pStyle w:val="Definition"/>
      </w:pPr>
      <w:r>
        <w:rPr>
          <w:b/>
        </w:rPr>
        <w:t xml:space="preserve">Curtailment Services Provider Capacity: </w:t>
      </w:r>
      <w:r>
        <w:t>Capacity fro</w:t>
      </w:r>
      <w:r>
        <w:t>m a Demand Side Resource nominated by a Curtailment Services Provider for participation in the Emergency Demand Response Program.</w:t>
      </w:r>
    </w:p>
    <w:p w:rsidR="000C33E7" w:rsidRDefault="00F42BF7">
      <w:pPr>
        <w:pStyle w:val="Definition"/>
        <w:rPr>
          <w:b/>
        </w:rPr>
      </w:pPr>
      <w:r>
        <w:rPr>
          <w:b/>
        </w:rPr>
        <w:t>Customer</w:t>
      </w:r>
      <w:r>
        <w:t>: An entity which has complied with the requirements contained in the ISO Services Tariff, including having signed a S</w:t>
      </w:r>
      <w:r>
        <w:t>ervice Agreement, and is qualified to utilize the Market Services and the Control Area Services provided by the ISO under the ISO Services Tariff; provided, however, that a party taking services under the Tariff pursuant to an unsigned Service Agreement fi</w:t>
      </w:r>
      <w:r>
        <w:t xml:space="preserve">led with the Commission by the ISO shall be deemed a Customer. </w:t>
      </w:r>
    </w:p>
    <w:p w:rsidR="000C33E7" w:rsidRDefault="00F42BF7">
      <w:pPr>
        <w:tabs>
          <w:tab w:val="right" w:pos="9360"/>
        </w:tabs>
      </w:pPr>
    </w:p>
    <w:sectPr w:rsidR="000C33E7" w:rsidSect="00A66D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DEB" w:rsidRDefault="00A66DEB" w:rsidP="00A66DEB">
      <w:r>
        <w:separator/>
      </w:r>
    </w:p>
  </w:endnote>
  <w:endnote w:type="continuationSeparator" w:id="0">
    <w:p w:rsidR="00A66DEB" w:rsidRDefault="00A66DEB" w:rsidP="00A66DEB">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EB" w:rsidRDefault="00F42BF7">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A66DEB">
      <w:rPr>
        <w:rFonts w:ascii="Arial" w:eastAsia="Arial" w:hAnsi="Arial" w:cs="Arial"/>
        <w:color w:val="000000"/>
        <w:sz w:val="16"/>
      </w:rPr>
      <w:fldChar w:fldCharType="begin"/>
    </w:r>
    <w:r>
      <w:rPr>
        <w:rFonts w:ascii="Arial" w:eastAsia="Arial" w:hAnsi="Arial" w:cs="Arial"/>
        <w:color w:val="000000"/>
        <w:sz w:val="16"/>
      </w:rPr>
      <w:instrText>PAGE</w:instrText>
    </w:r>
    <w:r w:rsidR="00A66DE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EB" w:rsidRDefault="00F42BF7">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w:t>
    </w:r>
    <w:r>
      <w:rPr>
        <w:rFonts w:ascii="Arial" w:eastAsia="Arial" w:hAnsi="Arial" w:cs="Arial"/>
        <w:color w:val="000000"/>
        <w:sz w:val="16"/>
      </w:rPr>
      <w:t xml:space="preserve">Page </w:t>
    </w:r>
    <w:r w:rsidR="00A66DE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66DE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EB" w:rsidRDefault="00F42BF7">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A66DEB">
      <w:rPr>
        <w:rFonts w:ascii="Arial" w:eastAsia="Arial" w:hAnsi="Arial" w:cs="Arial"/>
        <w:color w:val="000000"/>
        <w:sz w:val="16"/>
      </w:rPr>
      <w:fldChar w:fldCharType="begin"/>
    </w:r>
    <w:r>
      <w:rPr>
        <w:rFonts w:ascii="Arial" w:eastAsia="Arial" w:hAnsi="Arial" w:cs="Arial"/>
        <w:color w:val="000000"/>
        <w:sz w:val="16"/>
      </w:rPr>
      <w:instrText>PAGE</w:instrText>
    </w:r>
    <w:r w:rsidR="00A66DE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DEB" w:rsidRDefault="00A66DEB" w:rsidP="00A66DEB">
      <w:r>
        <w:separator/>
      </w:r>
    </w:p>
  </w:footnote>
  <w:footnote w:type="continuationSeparator" w:id="0">
    <w:p w:rsidR="00A66DEB" w:rsidRDefault="00A66DEB" w:rsidP="00A66D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EB" w:rsidRDefault="00F42BF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2.3 MST Definitions </w:t>
    </w:r>
    <w:r>
      <w:rPr>
        <w:rFonts w:ascii="Arial" w:eastAsia="Arial" w:hAnsi="Arial" w:cs="Arial"/>
        <w:color w:val="000000"/>
        <w:sz w:val="16"/>
      </w:rPr>
      <w:t>-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EB" w:rsidRDefault="00F42BF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EB" w:rsidRDefault="00F42BF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7F2CD90">
      <w:start w:val="1"/>
      <w:numFmt w:val="bullet"/>
      <w:lvlText w:val=""/>
      <w:lvlJc w:val="left"/>
      <w:pPr>
        <w:tabs>
          <w:tab w:val="num" w:pos="720"/>
        </w:tabs>
        <w:ind w:left="720" w:hanging="360"/>
      </w:pPr>
      <w:rPr>
        <w:rFonts w:ascii="Symbol" w:hAnsi="Symbol" w:hint="default"/>
      </w:rPr>
    </w:lvl>
    <w:lvl w:ilvl="1" w:tplc="994A2EB4" w:tentative="1">
      <w:start w:val="1"/>
      <w:numFmt w:val="bullet"/>
      <w:lvlText w:val="o"/>
      <w:lvlJc w:val="left"/>
      <w:pPr>
        <w:tabs>
          <w:tab w:val="num" w:pos="1440"/>
        </w:tabs>
        <w:ind w:left="1440" w:hanging="360"/>
      </w:pPr>
      <w:rPr>
        <w:rFonts w:ascii="Courier New" w:hAnsi="Courier New" w:cs="Courier New" w:hint="default"/>
      </w:rPr>
    </w:lvl>
    <w:lvl w:ilvl="2" w:tplc="3B86FF16" w:tentative="1">
      <w:start w:val="1"/>
      <w:numFmt w:val="bullet"/>
      <w:lvlText w:val=""/>
      <w:lvlJc w:val="left"/>
      <w:pPr>
        <w:tabs>
          <w:tab w:val="num" w:pos="2160"/>
        </w:tabs>
        <w:ind w:left="2160" w:hanging="360"/>
      </w:pPr>
      <w:rPr>
        <w:rFonts w:ascii="Wingdings" w:hAnsi="Wingdings" w:hint="default"/>
      </w:rPr>
    </w:lvl>
    <w:lvl w:ilvl="3" w:tplc="9992F41C" w:tentative="1">
      <w:start w:val="1"/>
      <w:numFmt w:val="bullet"/>
      <w:lvlText w:val=""/>
      <w:lvlJc w:val="left"/>
      <w:pPr>
        <w:tabs>
          <w:tab w:val="num" w:pos="2880"/>
        </w:tabs>
        <w:ind w:left="2880" w:hanging="360"/>
      </w:pPr>
      <w:rPr>
        <w:rFonts w:ascii="Symbol" w:hAnsi="Symbol" w:hint="default"/>
      </w:rPr>
    </w:lvl>
    <w:lvl w:ilvl="4" w:tplc="59580892" w:tentative="1">
      <w:start w:val="1"/>
      <w:numFmt w:val="bullet"/>
      <w:lvlText w:val="o"/>
      <w:lvlJc w:val="left"/>
      <w:pPr>
        <w:tabs>
          <w:tab w:val="num" w:pos="3600"/>
        </w:tabs>
        <w:ind w:left="3600" w:hanging="360"/>
      </w:pPr>
      <w:rPr>
        <w:rFonts w:ascii="Courier New" w:hAnsi="Courier New" w:cs="Courier New" w:hint="default"/>
      </w:rPr>
    </w:lvl>
    <w:lvl w:ilvl="5" w:tplc="296EAD26" w:tentative="1">
      <w:start w:val="1"/>
      <w:numFmt w:val="bullet"/>
      <w:lvlText w:val=""/>
      <w:lvlJc w:val="left"/>
      <w:pPr>
        <w:tabs>
          <w:tab w:val="num" w:pos="4320"/>
        </w:tabs>
        <w:ind w:left="4320" w:hanging="360"/>
      </w:pPr>
      <w:rPr>
        <w:rFonts w:ascii="Wingdings" w:hAnsi="Wingdings" w:hint="default"/>
      </w:rPr>
    </w:lvl>
    <w:lvl w:ilvl="6" w:tplc="2E7A81D8" w:tentative="1">
      <w:start w:val="1"/>
      <w:numFmt w:val="bullet"/>
      <w:lvlText w:val=""/>
      <w:lvlJc w:val="left"/>
      <w:pPr>
        <w:tabs>
          <w:tab w:val="num" w:pos="5040"/>
        </w:tabs>
        <w:ind w:left="5040" w:hanging="360"/>
      </w:pPr>
      <w:rPr>
        <w:rFonts w:ascii="Symbol" w:hAnsi="Symbol" w:hint="default"/>
      </w:rPr>
    </w:lvl>
    <w:lvl w:ilvl="7" w:tplc="A4583BD2" w:tentative="1">
      <w:start w:val="1"/>
      <w:numFmt w:val="bullet"/>
      <w:lvlText w:val="o"/>
      <w:lvlJc w:val="left"/>
      <w:pPr>
        <w:tabs>
          <w:tab w:val="num" w:pos="5760"/>
        </w:tabs>
        <w:ind w:left="5760" w:hanging="360"/>
      </w:pPr>
      <w:rPr>
        <w:rFonts w:ascii="Courier New" w:hAnsi="Courier New" w:cs="Courier New" w:hint="default"/>
      </w:rPr>
    </w:lvl>
    <w:lvl w:ilvl="8" w:tplc="44EA214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D7658CC">
      <w:start w:val="1"/>
      <w:numFmt w:val="upperLetter"/>
      <w:lvlText w:val="%1."/>
      <w:lvlJc w:val="left"/>
      <w:pPr>
        <w:tabs>
          <w:tab w:val="num" w:pos="1440"/>
        </w:tabs>
        <w:ind w:left="1440" w:hanging="720"/>
      </w:pPr>
      <w:rPr>
        <w:rFonts w:hint="default"/>
      </w:rPr>
    </w:lvl>
    <w:lvl w:ilvl="1" w:tplc="E45C286C" w:tentative="1">
      <w:start w:val="1"/>
      <w:numFmt w:val="lowerLetter"/>
      <w:lvlText w:val="%2."/>
      <w:lvlJc w:val="left"/>
      <w:pPr>
        <w:tabs>
          <w:tab w:val="num" w:pos="1800"/>
        </w:tabs>
        <w:ind w:left="1800" w:hanging="360"/>
      </w:pPr>
    </w:lvl>
    <w:lvl w:ilvl="2" w:tplc="3BCA172C" w:tentative="1">
      <w:start w:val="1"/>
      <w:numFmt w:val="lowerRoman"/>
      <w:lvlText w:val="%3."/>
      <w:lvlJc w:val="right"/>
      <w:pPr>
        <w:tabs>
          <w:tab w:val="num" w:pos="2520"/>
        </w:tabs>
        <w:ind w:left="2520" w:hanging="180"/>
      </w:pPr>
    </w:lvl>
    <w:lvl w:ilvl="3" w:tplc="35901FAA" w:tentative="1">
      <w:start w:val="1"/>
      <w:numFmt w:val="decimal"/>
      <w:lvlText w:val="%4."/>
      <w:lvlJc w:val="left"/>
      <w:pPr>
        <w:tabs>
          <w:tab w:val="num" w:pos="3240"/>
        </w:tabs>
        <w:ind w:left="3240" w:hanging="360"/>
      </w:pPr>
    </w:lvl>
    <w:lvl w:ilvl="4" w:tplc="18AA8348" w:tentative="1">
      <w:start w:val="1"/>
      <w:numFmt w:val="lowerLetter"/>
      <w:lvlText w:val="%5."/>
      <w:lvlJc w:val="left"/>
      <w:pPr>
        <w:tabs>
          <w:tab w:val="num" w:pos="3960"/>
        </w:tabs>
        <w:ind w:left="3960" w:hanging="360"/>
      </w:pPr>
    </w:lvl>
    <w:lvl w:ilvl="5" w:tplc="0304EBF0" w:tentative="1">
      <w:start w:val="1"/>
      <w:numFmt w:val="lowerRoman"/>
      <w:lvlText w:val="%6."/>
      <w:lvlJc w:val="right"/>
      <w:pPr>
        <w:tabs>
          <w:tab w:val="num" w:pos="4680"/>
        </w:tabs>
        <w:ind w:left="4680" w:hanging="180"/>
      </w:pPr>
    </w:lvl>
    <w:lvl w:ilvl="6" w:tplc="DFC6505A" w:tentative="1">
      <w:start w:val="1"/>
      <w:numFmt w:val="decimal"/>
      <w:lvlText w:val="%7."/>
      <w:lvlJc w:val="left"/>
      <w:pPr>
        <w:tabs>
          <w:tab w:val="num" w:pos="5400"/>
        </w:tabs>
        <w:ind w:left="5400" w:hanging="360"/>
      </w:pPr>
    </w:lvl>
    <w:lvl w:ilvl="7" w:tplc="234ED2B6" w:tentative="1">
      <w:start w:val="1"/>
      <w:numFmt w:val="lowerLetter"/>
      <w:lvlText w:val="%8."/>
      <w:lvlJc w:val="left"/>
      <w:pPr>
        <w:tabs>
          <w:tab w:val="num" w:pos="6120"/>
        </w:tabs>
        <w:ind w:left="6120" w:hanging="360"/>
      </w:pPr>
    </w:lvl>
    <w:lvl w:ilvl="8" w:tplc="0EA8B63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40A3BBA">
      <w:start w:val="3"/>
      <w:numFmt w:val="upperLetter"/>
      <w:lvlText w:val="%1."/>
      <w:lvlJc w:val="left"/>
      <w:pPr>
        <w:tabs>
          <w:tab w:val="num" w:pos="1080"/>
        </w:tabs>
        <w:ind w:left="1080" w:hanging="360"/>
      </w:pPr>
      <w:rPr>
        <w:rFonts w:hint="default"/>
      </w:rPr>
    </w:lvl>
    <w:lvl w:ilvl="1" w:tplc="B89E1084" w:tentative="1">
      <w:start w:val="1"/>
      <w:numFmt w:val="lowerLetter"/>
      <w:lvlText w:val="%2."/>
      <w:lvlJc w:val="left"/>
      <w:pPr>
        <w:tabs>
          <w:tab w:val="num" w:pos="1800"/>
        </w:tabs>
        <w:ind w:left="1800" w:hanging="360"/>
      </w:pPr>
    </w:lvl>
    <w:lvl w:ilvl="2" w:tplc="026AF198" w:tentative="1">
      <w:start w:val="1"/>
      <w:numFmt w:val="lowerRoman"/>
      <w:lvlText w:val="%3."/>
      <w:lvlJc w:val="right"/>
      <w:pPr>
        <w:tabs>
          <w:tab w:val="num" w:pos="2520"/>
        </w:tabs>
        <w:ind w:left="2520" w:hanging="180"/>
      </w:pPr>
    </w:lvl>
    <w:lvl w:ilvl="3" w:tplc="E416B984" w:tentative="1">
      <w:start w:val="1"/>
      <w:numFmt w:val="decimal"/>
      <w:lvlText w:val="%4."/>
      <w:lvlJc w:val="left"/>
      <w:pPr>
        <w:tabs>
          <w:tab w:val="num" w:pos="3240"/>
        </w:tabs>
        <w:ind w:left="3240" w:hanging="360"/>
      </w:pPr>
    </w:lvl>
    <w:lvl w:ilvl="4" w:tplc="9B6607A6" w:tentative="1">
      <w:start w:val="1"/>
      <w:numFmt w:val="lowerLetter"/>
      <w:lvlText w:val="%5."/>
      <w:lvlJc w:val="left"/>
      <w:pPr>
        <w:tabs>
          <w:tab w:val="num" w:pos="3960"/>
        </w:tabs>
        <w:ind w:left="3960" w:hanging="360"/>
      </w:pPr>
    </w:lvl>
    <w:lvl w:ilvl="5" w:tplc="E872E350" w:tentative="1">
      <w:start w:val="1"/>
      <w:numFmt w:val="lowerRoman"/>
      <w:lvlText w:val="%6."/>
      <w:lvlJc w:val="right"/>
      <w:pPr>
        <w:tabs>
          <w:tab w:val="num" w:pos="4680"/>
        </w:tabs>
        <w:ind w:left="4680" w:hanging="180"/>
      </w:pPr>
    </w:lvl>
    <w:lvl w:ilvl="6" w:tplc="FDF438D0" w:tentative="1">
      <w:start w:val="1"/>
      <w:numFmt w:val="decimal"/>
      <w:lvlText w:val="%7."/>
      <w:lvlJc w:val="left"/>
      <w:pPr>
        <w:tabs>
          <w:tab w:val="num" w:pos="5400"/>
        </w:tabs>
        <w:ind w:left="5400" w:hanging="360"/>
      </w:pPr>
    </w:lvl>
    <w:lvl w:ilvl="7" w:tplc="F1A62AE0" w:tentative="1">
      <w:start w:val="1"/>
      <w:numFmt w:val="lowerLetter"/>
      <w:lvlText w:val="%8."/>
      <w:lvlJc w:val="left"/>
      <w:pPr>
        <w:tabs>
          <w:tab w:val="num" w:pos="6120"/>
        </w:tabs>
        <w:ind w:left="6120" w:hanging="360"/>
      </w:pPr>
    </w:lvl>
    <w:lvl w:ilvl="8" w:tplc="36329CF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CF057F4">
      <w:start w:val="1"/>
      <w:numFmt w:val="bullet"/>
      <w:pStyle w:val="Bulletpara"/>
      <w:lvlText w:val=""/>
      <w:lvlJc w:val="left"/>
      <w:pPr>
        <w:tabs>
          <w:tab w:val="num" w:pos="720"/>
        </w:tabs>
        <w:ind w:left="720" w:hanging="360"/>
      </w:pPr>
      <w:rPr>
        <w:rFonts w:ascii="Symbol" w:hAnsi="Symbol" w:hint="default"/>
      </w:rPr>
    </w:lvl>
    <w:lvl w:ilvl="1" w:tplc="A96AB790" w:tentative="1">
      <w:start w:val="1"/>
      <w:numFmt w:val="bullet"/>
      <w:lvlText w:val="o"/>
      <w:lvlJc w:val="left"/>
      <w:pPr>
        <w:tabs>
          <w:tab w:val="num" w:pos="1440"/>
        </w:tabs>
        <w:ind w:left="1440" w:hanging="360"/>
      </w:pPr>
      <w:rPr>
        <w:rFonts w:ascii="Courier New" w:hAnsi="Courier New" w:cs="Courier New" w:hint="default"/>
      </w:rPr>
    </w:lvl>
    <w:lvl w:ilvl="2" w:tplc="A776D118" w:tentative="1">
      <w:start w:val="1"/>
      <w:numFmt w:val="bullet"/>
      <w:lvlText w:val=""/>
      <w:lvlJc w:val="left"/>
      <w:pPr>
        <w:tabs>
          <w:tab w:val="num" w:pos="2160"/>
        </w:tabs>
        <w:ind w:left="2160" w:hanging="360"/>
      </w:pPr>
      <w:rPr>
        <w:rFonts w:ascii="Wingdings" w:hAnsi="Wingdings" w:hint="default"/>
      </w:rPr>
    </w:lvl>
    <w:lvl w:ilvl="3" w:tplc="015EE4CE" w:tentative="1">
      <w:start w:val="1"/>
      <w:numFmt w:val="bullet"/>
      <w:lvlText w:val=""/>
      <w:lvlJc w:val="left"/>
      <w:pPr>
        <w:tabs>
          <w:tab w:val="num" w:pos="2880"/>
        </w:tabs>
        <w:ind w:left="2880" w:hanging="360"/>
      </w:pPr>
      <w:rPr>
        <w:rFonts w:ascii="Symbol" w:hAnsi="Symbol" w:hint="default"/>
      </w:rPr>
    </w:lvl>
    <w:lvl w:ilvl="4" w:tplc="45FAEE72" w:tentative="1">
      <w:start w:val="1"/>
      <w:numFmt w:val="bullet"/>
      <w:lvlText w:val="o"/>
      <w:lvlJc w:val="left"/>
      <w:pPr>
        <w:tabs>
          <w:tab w:val="num" w:pos="3600"/>
        </w:tabs>
        <w:ind w:left="3600" w:hanging="360"/>
      </w:pPr>
      <w:rPr>
        <w:rFonts w:ascii="Courier New" w:hAnsi="Courier New" w:cs="Courier New" w:hint="default"/>
      </w:rPr>
    </w:lvl>
    <w:lvl w:ilvl="5" w:tplc="1CB0CDEC" w:tentative="1">
      <w:start w:val="1"/>
      <w:numFmt w:val="bullet"/>
      <w:lvlText w:val=""/>
      <w:lvlJc w:val="left"/>
      <w:pPr>
        <w:tabs>
          <w:tab w:val="num" w:pos="4320"/>
        </w:tabs>
        <w:ind w:left="4320" w:hanging="360"/>
      </w:pPr>
      <w:rPr>
        <w:rFonts w:ascii="Wingdings" w:hAnsi="Wingdings" w:hint="default"/>
      </w:rPr>
    </w:lvl>
    <w:lvl w:ilvl="6" w:tplc="74CC1546" w:tentative="1">
      <w:start w:val="1"/>
      <w:numFmt w:val="bullet"/>
      <w:lvlText w:val=""/>
      <w:lvlJc w:val="left"/>
      <w:pPr>
        <w:tabs>
          <w:tab w:val="num" w:pos="5040"/>
        </w:tabs>
        <w:ind w:left="5040" w:hanging="360"/>
      </w:pPr>
      <w:rPr>
        <w:rFonts w:ascii="Symbol" w:hAnsi="Symbol" w:hint="default"/>
      </w:rPr>
    </w:lvl>
    <w:lvl w:ilvl="7" w:tplc="A0D0E692" w:tentative="1">
      <w:start w:val="1"/>
      <w:numFmt w:val="bullet"/>
      <w:lvlText w:val="o"/>
      <w:lvlJc w:val="left"/>
      <w:pPr>
        <w:tabs>
          <w:tab w:val="num" w:pos="5760"/>
        </w:tabs>
        <w:ind w:left="5760" w:hanging="360"/>
      </w:pPr>
      <w:rPr>
        <w:rFonts w:ascii="Courier New" w:hAnsi="Courier New" w:cs="Courier New" w:hint="default"/>
      </w:rPr>
    </w:lvl>
    <w:lvl w:ilvl="8" w:tplc="1FDA691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5A0B566">
      <w:start w:val="2"/>
      <w:numFmt w:val="decimal"/>
      <w:lvlText w:val="(%1)"/>
      <w:lvlJc w:val="left"/>
      <w:pPr>
        <w:tabs>
          <w:tab w:val="num" w:pos="1800"/>
        </w:tabs>
        <w:ind w:left="1800" w:hanging="360"/>
      </w:pPr>
      <w:rPr>
        <w:rFonts w:hint="default"/>
        <w:b w:val="0"/>
        <w:sz w:val="24"/>
      </w:rPr>
    </w:lvl>
    <w:lvl w:ilvl="1" w:tplc="A4AAA8DE" w:tentative="1">
      <w:start w:val="1"/>
      <w:numFmt w:val="lowerLetter"/>
      <w:lvlText w:val="%2."/>
      <w:lvlJc w:val="left"/>
      <w:pPr>
        <w:tabs>
          <w:tab w:val="num" w:pos="2520"/>
        </w:tabs>
        <w:ind w:left="2520" w:hanging="360"/>
      </w:pPr>
    </w:lvl>
    <w:lvl w:ilvl="2" w:tplc="D236F260" w:tentative="1">
      <w:start w:val="1"/>
      <w:numFmt w:val="lowerRoman"/>
      <w:lvlText w:val="%3."/>
      <w:lvlJc w:val="right"/>
      <w:pPr>
        <w:tabs>
          <w:tab w:val="num" w:pos="3240"/>
        </w:tabs>
        <w:ind w:left="3240" w:hanging="180"/>
      </w:pPr>
    </w:lvl>
    <w:lvl w:ilvl="3" w:tplc="10E8EE76" w:tentative="1">
      <w:start w:val="1"/>
      <w:numFmt w:val="decimal"/>
      <w:lvlText w:val="%4."/>
      <w:lvlJc w:val="left"/>
      <w:pPr>
        <w:tabs>
          <w:tab w:val="num" w:pos="3960"/>
        </w:tabs>
        <w:ind w:left="3960" w:hanging="360"/>
      </w:pPr>
    </w:lvl>
    <w:lvl w:ilvl="4" w:tplc="E2BE0F1A" w:tentative="1">
      <w:start w:val="1"/>
      <w:numFmt w:val="lowerLetter"/>
      <w:lvlText w:val="%5."/>
      <w:lvlJc w:val="left"/>
      <w:pPr>
        <w:tabs>
          <w:tab w:val="num" w:pos="4680"/>
        </w:tabs>
        <w:ind w:left="4680" w:hanging="360"/>
      </w:pPr>
    </w:lvl>
    <w:lvl w:ilvl="5" w:tplc="BBEE374A" w:tentative="1">
      <w:start w:val="1"/>
      <w:numFmt w:val="lowerRoman"/>
      <w:lvlText w:val="%6."/>
      <w:lvlJc w:val="right"/>
      <w:pPr>
        <w:tabs>
          <w:tab w:val="num" w:pos="5400"/>
        </w:tabs>
        <w:ind w:left="5400" w:hanging="180"/>
      </w:pPr>
    </w:lvl>
    <w:lvl w:ilvl="6" w:tplc="92987BE6" w:tentative="1">
      <w:start w:val="1"/>
      <w:numFmt w:val="decimal"/>
      <w:lvlText w:val="%7."/>
      <w:lvlJc w:val="left"/>
      <w:pPr>
        <w:tabs>
          <w:tab w:val="num" w:pos="6120"/>
        </w:tabs>
        <w:ind w:left="6120" w:hanging="360"/>
      </w:pPr>
    </w:lvl>
    <w:lvl w:ilvl="7" w:tplc="81DE98DA" w:tentative="1">
      <w:start w:val="1"/>
      <w:numFmt w:val="lowerLetter"/>
      <w:lvlText w:val="%8."/>
      <w:lvlJc w:val="left"/>
      <w:pPr>
        <w:tabs>
          <w:tab w:val="num" w:pos="6840"/>
        </w:tabs>
        <w:ind w:left="6840" w:hanging="360"/>
      </w:pPr>
    </w:lvl>
    <w:lvl w:ilvl="8" w:tplc="51800B7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5E8013A">
      <w:start w:val="1"/>
      <w:numFmt w:val="decimal"/>
      <w:lvlText w:val="(%1)"/>
      <w:lvlJc w:val="left"/>
      <w:pPr>
        <w:tabs>
          <w:tab w:val="num" w:pos="2160"/>
        </w:tabs>
        <w:ind w:left="2160" w:hanging="720"/>
      </w:pPr>
      <w:rPr>
        <w:rFonts w:hint="default"/>
      </w:rPr>
    </w:lvl>
    <w:lvl w:ilvl="1" w:tplc="80AEF1FE" w:tentative="1">
      <w:start w:val="1"/>
      <w:numFmt w:val="lowerLetter"/>
      <w:lvlText w:val="%2."/>
      <w:lvlJc w:val="left"/>
      <w:pPr>
        <w:tabs>
          <w:tab w:val="num" w:pos="2520"/>
        </w:tabs>
        <w:ind w:left="2520" w:hanging="360"/>
      </w:pPr>
    </w:lvl>
    <w:lvl w:ilvl="2" w:tplc="459A8792" w:tentative="1">
      <w:start w:val="1"/>
      <w:numFmt w:val="lowerRoman"/>
      <w:lvlText w:val="%3."/>
      <w:lvlJc w:val="right"/>
      <w:pPr>
        <w:tabs>
          <w:tab w:val="num" w:pos="3240"/>
        </w:tabs>
        <w:ind w:left="3240" w:hanging="180"/>
      </w:pPr>
    </w:lvl>
    <w:lvl w:ilvl="3" w:tplc="754C6ADE" w:tentative="1">
      <w:start w:val="1"/>
      <w:numFmt w:val="decimal"/>
      <w:lvlText w:val="%4."/>
      <w:lvlJc w:val="left"/>
      <w:pPr>
        <w:tabs>
          <w:tab w:val="num" w:pos="3960"/>
        </w:tabs>
        <w:ind w:left="3960" w:hanging="360"/>
      </w:pPr>
    </w:lvl>
    <w:lvl w:ilvl="4" w:tplc="31BAF2B6" w:tentative="1">
      <w:start w:val="1"/>
      <w:numFmt w:val="lowerLetter"/>
      <w:lvlText w:val="%5."/>
      <w:lvlJc w:val="left"/>
      <w:pPr>
        <w:tabs>
          <w:tab w:val="num" w:pos="4680"/>
        </w:tabs>
        <w:ind w:left="4680" w:hanging="360"/>
      </w:pPr>
    </w:lvl>
    <w:lvl w:ilvl="5" w:tplc="D1D432D0" w:tentative="1">
      <w:start w:val="1"/>
      <w:numFmt w:val="lowerRoman"/>
      <w:lvlText w:val="%6."/>
      <w:lvlJc w:val="right"/>
      <w:pPr>
        <w:tabs>
          <w:tab w:val="num" w:pos="5400"/>
        </w:tabs>
        <w:ind w:left="5400" w:hanging="180"/>
      </w:pPr>
    </w:lvl>
    <w:lvl w:ilvl="6" w:tplc="D4626EDC" w:tentative="1">
      <w:start w:val="1"/>
      <w:numFmt w:val="decimal"/>
      <w:lvlText w:val="%7."/>
      <w:lvlJc w:val="left"/>
      <w:pPr>
        <w:tabs>
          <w:tab w:val="num" w:pos="6120"/>
        </w:tabs>
        <w:ind w:left="6120" w:hanging="360"/>
      </w:pPr>
    </w:lvl>
    <w:lvl w:ilvl="7" w:tplc="5808C6EE" w:tentative="1">
      <w:start w:val="1"/>
      <w:numFmt w:val="lowerLetter"/>
      <w:lvlText w:val="%8."/>
      <w:lvlJc w:val="left"/>
      <w:pPr>
        <w:tabs>
          <w:tab w:val="num" w:pos="6840"/>
        </w:tabs>
        <w:ind w:left="6840" w:hanging="360"/>
      </w:pPr>
    </w:lvl>
    <w:lvl w:ilvl="8" w:tplc="545E0B2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F2F06870">
      <w:start w:val="1"/>
      <w:numFmt w:val="lowerRoman"/>
      <w:lvlText w:val="(%1)"/>
      <w:lvlJc w:val="left"/>
      <w:pPr>
        <w:tabs>
          <w:tab w:val="num" w:pos="1440"/>
        </w:tabs>
        <w:ind w:left="1440" w:hanging="720"/>
      </w:pPr>
      <w:rPr>
        <w:rFonts w:hint="default"/>
      </w:rPr>
    </w:lvl>
    <w:lvl w:ilvl="1" w:tplc="19D4332E" w:tentative="1">
      <w:start w:val="1"/>
      <w:numFmt w:val="lowerLetter"/>
      <w:lvlText w:val="%2."/>
      <w:lvlJc w:val="left"/>
      <w:pPr>
        <w:tabs>
          <w:tab w:val="num" w:pos="1800"/>
        </w:tabs>
        <w:ind w:left="1800" w:hanging="360"/>
      </w:pPr>
    </w:lvl>
    <w:lvl w:ilvl="2" w:tplc="D9089C42" w:tentative="1">
      <w:start w:val="1"/>
      <w:numFmt w:val="lowerRoman"/>
      <w:lvlText w:val="%3."/>
      <w:lvlJc w:val="right"/>
      <w:pPr>
        <w:tabs>
          <w:tab w:val="num" w:pos="2520"/>
        </w:tabs>
        <w:ind w:left="2520" w:hanging="180"/>
      </w:pPr>
    </w:lvl>
    <w:lvl w:ilvl="3" w:tplc="32124494" w:tentative="1">
      <w:start w:val="1"/>
      <w:numFmt w:val="decimal"/>
      <w:lvlText w:val="%4."/>
      <w:lvlJc w:val="left"/>
      <w:pPr>
        <w:tabs>
          <w:tab w:val="num" w:pos="3240"/>
        </w:tabs>
        <w:ind w:left="3240" w:hanging="360"/>
      </w:pPr>
    </w:lvl>
    <w:lvl w:ilvl="4" w:tplc="68E46A60" w:tentative="1">
      <w:start w:val="1"/>
      <w:numFmt w:val="lowerLetter"/>
      <w:lvlText w:val="%5."/>
      <w:lvlJc w:val="left"/>
      <w:pPr>
        <w:tabs>
          <w:tab w:val="num" w:pos="3960"/>
        </w:tabs>
        <w:ind w:left="3960" w:hanging="360"/>
      </w:pPr>
    </w:lvl>
    <w:lvl w:ilvl="5" w:tplc="487C0A44" w:tentative="1">
      <w:start w:val="1"/>
      <w:numFmt w:val="lowerRoman"/>
      <w:lvlText w:val="%6."/>
      <w:lvlJc w:val="right"/>
      <w:pPr>
        <w:tabs>
          <w:tab w:val="num" w:pos="4680"/>
        </w:tabs>
        <w:ind w:left="4680" w:hanging="180"/>
      </w:pPr>
    </w:lvl>
    <w:lvl w:ilvl="6" w:tplc="3C36356E" w:tentative="1">
      <w:start w:val="1"/>
      <w:numFmt w:val="decimal"/>
      <w:lvlText w:val="%7."/>
      <w:lvlJc w:val="left"/>
      <w:pPr>
        <w:tabs>
          <w:tab w:val="num" w:pos="5400"/>
        </w:tabs>
        <w:ind w:left="5400" w:hanging="360"/>
      </w:pPr>
    </w:lvl>
    <w:lvl w:ilvl="7" w:tplc="4E60082A" w:tentative="1">
      <w:start w:val="1"/>
      <w:numFmt w:val="lowerLetter"/>
      <w:lvlText w:val="%8."/>
      <w:lvlJc w:val="left"/>
      <w:pPr>
        <w:tabs>
          <w:tab w:val="num" w:pos="6120"/>
        </w:tabs>
        <w:ind w:left="6120" w:hanging="360"/>
      </w:pPr>
    </w:lvl>
    <w:lvl w:ilvl="8" w:tplc="9860498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C122E544">
      <w:start w:val="1"/>
      <w:numFmt w:val="lowerRoman"/>
      <w:lvlText w:val="(%1)"/>
      <w:lvlJc w:val="left"/>
      <w:pPr>
        <w:tabs>
          <w:tab w:val="num" w:pos="2448"/>
        </w:tabs>
        <w:ind w:left="2448" w:hanging="648"/>
      </w:pPr>
      <w:rPr>
        <w:rFonts w:hint="default"/>
        <w:b w:val="0"/>
        <w:i w:val="0"/>
        <w:u w:val="none"/>
      </w:rPr>
    </w:lvl>
    <w:lvl w:ilvl="1" w:tplc="E9A05F90" w:tentative="1">
      <w:start w:val="1"/>
      <w:numFmt w:val="lowerLetter"/>
      <w:lvlText w:val="%2."/>
      <w:lvlJc w:val="left"/>
      <w:pPr>
        <w:tabs>
          <w:tab w:val="num" w:pos="1440"/>
        </w:tabs>
        <w:ind w:left="1440" w:hanging="360"/>
      </w:pPr>
    </w:lvl>
    <w:lvl w:ilvl="2" w:tplc="75D615EC" w:tentative="1">
      <w:start w:val="1"/>
      <w:numFmt w:val="lowerRoman"/>
      <w:lvlText w:val="%3."/>
      <w:lvlJc w:val="right"/>
      <w:pPr>
        <w:tabs>
          <w:tab w:val="num" w:pos="2160"/>
        </w:tabs>
        <w:ind w:left="2160" w:hanging="180"/>
      </w:pPr>
    </w:lvl>
    <w:lvl w:ilvl="3" w:tplc="6144CF6A" w:tentative="1">
      <w:start w:val="1"/>
      <w:numFmt w:val="decimal"/>
      <w:lvlText w:val="%4."/>
      <w:lvlJc w:val="left"/>
      <w:pPr>
        <w:tabs>
          <w:tab w:val="num" w:pos="2880"/>
        </w:tabs>
        <w:ind w:left="2880" w:hanging="360"/>
      </w:pPr>
    </w:lvl>
    <w:lvl w:ilvl="4" w:tplc="C9E87D42" w:tentative="1">
      <w:start w:val="1"/>
      <w:numFmt w:val="lowerLetter"/>
      <w:lvlText w:val="%5."/>
      <w:lvlJc w:val="left"/>
      <w:pPr>
        <w:tabs>
          <w:tab w:val="num" w:pos="3600"/>
        </w:tabs>
        <w:ind w:left="3600" w:hanging="360"/>
      </w:pPr>
    </w:lvl>
    <w:lvl w:ilvl="5" w:tplc="C396D826" w:tentative="1">
      <w:start w:val="1"/>
      <w:numFmt w:val="lowerRoman"/>
      <w:lvlText w:val="%6."/>
      <w:lvlJc w:val="right"/>
      <w:pPr>
        <w:tabs>
          <w:tab w:val="num" w:pos="4320"/>
        </w:tabs>
        <w:ind w:left="4320" w:hanging="180"/>
      </w:pPr>
    </w:lvl>
    <w:lvl w:ilvl="6" w:tplc="D38AE35E" w:tentative="1">
      <w:start w:val="1"/>
      <w:numFmt w:val="decimal"/>
      <w:lvlText w:val="%7."/>
      <w:lvlJc w:val="left"/>
      <w:pPr>
        <w:tabs>
          <w:tab w:val="num" w:pos="5040"/>
        </w:tabs>
        <w:ind w:left="5040" w:hanging="360"/>
      </w:pPr>
    </w:lvl>
    <w:lvl w:ilvl="7" w:tplc="1D4E79B4" w:tentative="1">
      <w:start w:val="1"/>
      <w:numFmt w:val="lowerLetter"/>
      <w:lvlText w:val="%8."/>
      <w:lvlJc w:val="left"/>
      <w:pPr>
        <w:tabs>
          <w:tab w:val="num" w:pos="5760"/>
        </w:tabs>
        <w:ind w:left="5760" w:hanging="360"/>
      </w:pPr>
    </w:lvl>
    <w:lvl w:ilvl="8" w:tplc="6E18117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73C85A14">
      <w:start w:val="1"/>
      <w:numFmt w:val="lowerLetter"/>
      <w:lvlText w:val="%1."/>
      <w:lvlJc w:val="left"/>
      <w:pPr>
        <w:tabs>
          <w:tab w:val="num" w:pos="2160"/>
        </w:tabs>
        <w:ind w:left="2160" w:hanging="720"/>
      </w:pPr>
      <w:rPr>
        <w:rFonts w:hint="default"/>
      </w:rPr>
    </w:lvl>
    <w:lvl w:ilvl="1" w:tplc="08807B86" w:tentative="1">
      <w:start w:val="1"/>
      <w:numFmt w:val="lowerLetter"/>
      <w:lvlText w:val="%2."/>
      <w:lvlJc w:val="left"/>
      <w:pPr>
        <w:tabs>
          <w:tab w:val="num" w:pos="2520"/>
        </w:tabs>
        <w:ind w:left="2520" w:hanging="360"/>
      </w:pPr>
    </w:lvl>
    <w:lvl w:ilvl="2" w:tplc="1F149A92" w:tentative="1">
      <w:start w:val="1"/>
      <w:numFmt w:val="lowerRoman"/>
      <w:lvlText w:val="%3."/>
      <w:lvlJc w:val="right"/>
      <w:pPr>
        <w:tabs>
          <w:tab w:val="num" w:pos="3240"/>
        </w:tabs>
        <w:ind w:left="3240" w:hanging="180"/>
      </w:pPr>
    </w:lvl>
    <w:lvl w:ilvl="3" w:tplc="815409A4" w:tentative="1">
      <w:start w:val="1"/>
      <w:numFmt w:val="decimal"/>
      <w:lvlText w:val="%4."/>
      <w:lvlJc w:val="left"/>
      <w:pPr>
        <w:tabs>
          <w:tab w:val="num" w:pos="3960"/>
        </w:tabs>
        <w:ind w:left="3960" w:hanging="360"/>
      </w:pPr>
    </w:lvl>
    <w:lvl w:ilvl="4" w:tplc="17905B76" w:tentative="1">
      <w:start w:val="1"/>
      <w:numFmt w:val="lowerLetter"/>
      <w:lvlText w:val="%5."/>
      <w:lvlJc w:val="left"/>
      <w:pPr>
        <w:tabs>
          <w:tab w:val="num" w:pos="4680"/>
        </w:tabs>
        <w:ind w:left="4680" w:hanging="360"/>
      </w:pPr>
    </w:lvl>
    <w:lvl w:ilvl="5" w:tplc="45B220EE" w:tentative="1">
      <w:start w:val="1"/>
      <w:numFmt w:val="lowerRoman"/>
      <w:lvlText w:val="%6."/>
      <w:lvlJc w:val="right"/>
      <w:pPr>
        <w:tabs>
          <w:tab w:val="num" w:pos="5400"/>
        </w:tabs>
        <w:ind w:left="5400" w:hanging="180"/>
      </w:pPr>
    </w:lvl>
    <w:lvl w:ilvl="6" w:tplc="C09A6596" w:tentative="1">
      <w:start w:val="1"/>
      <w:numFmt w:val="decimal"/>
      <w:lvlText w:val="%7."/>
      <w:lvlJc w:val="left"/>
      <w:pPr>
        <w:tabs>
          <w:tab w:val="num" w:pos="6120"/>
        </w:tabs>
        <w:ind w:left="6120" w:hanging="360"/>
      </w:pPr>
    </w:lvl>
    <w:lvl w:ilvl="7" w:tplc="BD444E36" w:tentative="1">
      <w:start w:val="1"/>
      <w:numFmt w:val="lowerLetter"/>
      <w:lvlText w:val="%8."/>
      <w:lvlJc w:val="left"/>
      <w:pPr>
        <w:tabs>
          <w:tab w:val="num" w:pos="6840"/>
        </w:tabs>
        <w:ind w:left="6840" w:hanging="360"/>
      </w:pPr>
    </w:lvl>
    <w:lvl w:ilvl="8" w:tplc="DDA0F0DE"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CA84BF86">
      <w:start w:val="1"/>
      <w:numFmt w:val="bullet"/>
      <w:lvlText w:val=""/>
      <w:lvlJc w:val="left"/>
      <w:pPr>
        <w:tabs>
          <w:tab w:val="num" w:pos="5760"/>
        </w:tabs>
        <w:ind w:left="5760" w:hanging="360"/>
      </w:pPr>
      <w:rPr>
        <w:rFonts w:ascii="Symbol" w:hAnsi="Symbol" w:hint="default"/>
        <w:color w:val="auto"/>
        <w:u w:val="none"/>
      </w:rPr>
    </w:lvl>
    <w:lvl w:ilvl="1" w:tplc="0FEC3FC8" w:tentative="1">
      <w:start w:val="1"/>
      <w:numFmt w:val="bullet"/>
      <w:lvlText w:val="o"/>
      <w:lvlJc w:val="left"/>
      <w:pPr>
        <w:tabs>
          <w:tab w:val="num" w:pos="3600"/>
        </w:tabs>
        <w:ind w:left="3600" w:hanging="360"/>
      </w:pPr>
      <w:rPr>
        <w:rFonts w:ascii="Courier New" w:hAnsi="Courier New" w:hint="default"/>
      </w:rPr>
    </w:lvl>
    <w:lvl w:ilvl="2" w:tplc="5EC06322" w:tentative="1">
      <w:start w:val="1"/>
      <w:numFmt w:val="bullet"/>
      <w:lvlText w:val=""/>
      <w:lvlJc w:val="left"/>
      <w:pPr>
        <w:tabs>
          <w:tab w:val="num" w:pos="4320"/>
        </w:tabs>
        <w:ind w:left="4320" w:hanging="360"/>
      </w:pPr>
      <w:rPr>
        <w:rFonts w:ascii="Wingdings" w:hAnsi="Wingdings" w:hint="default"/>
      </w:rPr>
    </w:lvl>
    <w:lvl w:ilvl="3" w:tplc="858A9574">
      <w:start w:val="1"/>
      <w:numFmt w:val="bullet"/>
      <w:lvlText w:val=""/>
      <w:lvlJc w:val="left"/>
      <w:pPr>
        <w:tabs>
          <w:tab w:val="num" w:pos="5040"/>
        </w:tabs>
        <w:ind w:left="5040" w:hanging="360"/>
      </w:pPr>
      <w:rPr>
        <w:rFonts w:ascii="Symbol" w:hAnsi="Symbol" w:hint="default"/>
      </w:rPr>
    </w:lvl>
    <w:lvl w:ilvl="4" w:tplc="17E4D8B8" w:tentative="1">
      <w:start w:val="1"/>
      <w:numFmt w:val="bullet"/>
      <w:lvlText w:val="o"/>
      <w:lvlJc w:val="left"/>
      <w:pPr>
        <w:tabs>
          <w:tab w:val="num" w:pos="5760"/>
        </w:tabs>
        <w:ind w:left="5760" w:hanging="360"/>
      </w:pPr>
      <w:rPr>
        <w:rFonts w:ascii="Courier New" w:hAnsi="Courier New" w:hint="default"/>
      </w:rPr>
    </w:lvl>
    <w:lvl w:ilvl="5" w:tplc="ACE087EA" w:tentative="1">
      <w:start w:val="1"/>
      <w:numFmt w:val="bullet"/>
      <w:lvlText w:val=""/>
      <w:lvlJc w:val="left"/>
      <w:pPr>
        <w:tabs>
          <w:tab w:val="num" w:pos="6480"/>
        </w:tabs>
        <w:ind w:left="6480" w:hanging="360"/>
      </w:pPr>
      <w:rPr>
        <w:rFonts w:ascii="Wingdings" w:hAnsi="Wingdings" w:hint="default"/>
      </w:rPr>
    </w:lvl>
    <w:lvl w:ilvl="6" w:tplc="A476EF34" w:tentative="1">
      <w:start w:val="1"/>
      <w:numFmt w:val="bullet"/>
      <w:lvlText w:val=""/>
      <w:lvlJc w:val="left"/>
      <w:pPr>
        <w:tabs>
          <w:tab w:val="num" w:pos="7200"/>
        </w:tabs>
        <w:ind w:left="7200" w:hanging="360"/>
      </w:pPr>
      <w:rPr>
        <w:rFonts w:ascii="Symbol" w:hAnsi="Symbol" w:hint="default"/>
      </w:rPr>
    </w:lvl>
    <w:lvl w:ilvl="7" w:tplc="3C70E1D0" w:tentative="1">
      <w:start w:val="1"/>
      <w:numFmt w:val="bullet"/>
      <w:lvlText w:val="o"/>
      <w:lvlJc w:val="left"/>
      <w:pPr>
        <w:tabs>
          <w:tab w:val="num" w:pos="7920"/>
        </w:tabs>
        <w:ind w:left="7920" w:hanging="360"/>
      </w:pPr>
      <w:rPr>
        <w:rFonts w:ascii="Courier New" w:hAnsi="Courier New" w:hint="default"/>
      </w:rPr>
    </w:lvl>
    <w:lvl w:ilvl="8" w:tplc="76006B8C"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06B23E84">
      <w:start w:val="1"/>
      <w:numFmt w:val="bullet"/>
      <w:lvlText w:val=""/>
      <w:lvlJc w:val="left"/>
      <w:pPr>
        <w:tabs>
          <w:tab w:val="num" w:pos="720"/>
        </w:tabs>
        <w:ind w:left="720" w:hanging="360"/>
      </w:pPr>
      <w:rPr>
        <w:rFonts w:ascii="Symbol" w:hAnsi="Symbol" w:hint="default"/>
      </w:rPr>
    </w:lvl>
    <w:lvl w:ilvl="1" w:tplc="E22410AE" w:tentative="1">
      <w:start w:val="1"/>
      <w:numFmt w:val="bullet"/>
      <w:lvlText w:val="o"/>
      <w:lvlJc w:val="left"/>
      <w:pPr>
        <w:tabs>
          <w:tab w:val="num" w:pos="1440"/>
        </w:tabs>
        <w:ind w:left="1440" w:hanging="360"/>
      </w:pPr>
      <w:rPr>
        <w:rFonts w:ascii="Courier New" w:hAnsi="Courier New" w:hint="default"/>
      </w:rPr>
    </w:lvl>
    <w:lvl w:ilvl="2" w:tplc="4AA286EE" w:tentative="1">
      <w:start w:val="1"/>
      <w:numFmt w:val="bullet"/>
      <w:lvlText w:val=""/>
      <w:lvlJc w:val="left"/>
      <w:pPr>
        <w:tabs>
          <w:tab w:val="num" w:pos="2160"/>
        </w:tabs>
        <w:ind w:left="2160" w:hanging="360"/>
      </w:pPr>
      <w:rPr>
        <w:rFonts w:ascii="Wingdings" w:hAnsi="Wingdings" w:hint="default"/>
      </w:rPr>
    </w:lvl>
    <w:lvl w:ilvl="3" w:tplc="02060DB4" w:tentative="1">
      <w:start w:val="1"/>
      <w:numFmt w:val="bullet"/>
      <w:lvlText w:val=""/>
      <w:lvlJc w:val="left"/>
      <w:pPr>
        <w:tabs>
          <w:tab w:val="num" w:pos="2880"/>
        </w:tabs>
        <w:ind w:left="2880" w:hanging="360"/>
      </w:pPr>
      <w:rPr>
        <w:rFonts w:ascii="Symbol" w:hAnsi="Symbol" w:hint="default"/>
      </w:rPr>
    </w:lvl>
    <w:lvl w:ilvl="4" w:tplc="18EC8096" w:tentative="1">
      <w:start w:val="1"/>
      <w:numFmt w:val="bullet"/>
      <w:lvlText w:val="o"/>
      <w:lvlJc w:val="left"/>
      <w:pPr>
        <w:tabs>
          <w:tab w:val="num" w:pos="3600"/>
        </w:tabs>
        <w:ind w:left="3600" w:hanging="360"/>
      </w:pPr>
      <w:rPr>
        <w:rFonts w:ascii="Courier New" w:hAnsi="Courier New" w:hint="default"/>
      </w:rPr>
    </w:lvl>
    <w:lvl w:ilvl="5" w:tplc="58F41C7E" w:tentative="1">
      <w:start w:val="1"/>
      <w:numFmt w:val="bullet"/>
      <w:lvlText w:val=""/>
      <w:lvlJc w:val="left"/>
      <w:pPr>
        <w:tabs>
          <w:tab w:val="num" w:pos="4320"/>
        </w:tabs>
        <w:ind w:left="4320" w:hanging="360"/>
      </w:pPr>
      <w:rPr>
        <w:rFonts w:ascii="Wingdings" w:hAnsi="Wingdings" w:hint="default"/>
      </w:rPr>
    </w:lvl>
    <w:lvl w:ilvl="6" w:tplc="5CC8F966" w:tentative="1">
      <w:start w:val="1"/>
      <w:numFmt w:val="bullet"/>
      <w:lvlText w:val=""/>
      <w:lvlJc w:val="left"/>
      <w:pPr>
        <w:tabs>
          <w:tab w:val="num" w:pos="5040"/>
        </w:tabs>
        <w:ind w:left="5040" w:hanging="360"/>
      </w:pPr>
      <w:rPr>
        <w:rFonts w:ascii="Symbol" w:hAnsi="Symbol" w:hint="default"/>
      </w:rPr>
    </w:lvl>
    <w:lvl w:ilvl="7" w:tplc="54E079E0" w:tentative="1">
      <w:start w:val="1"/>
      <w:numFmt w:val="bullet"/>
      <w:lvlText w:val="o"/>
      <w:lvlJc w:val="left"/>
      <w:pPr>
        <w:tabs>
          <w:tab w:val="num" w:pos="5760"/>
        </w:tabs>
        <w:ind w:left="5760" w:hanging="360"/>
      </w:pPr>
      <w:rPr>
        <w:rFonts w:ascii="Courier New" w:hAnsi="Courier New" w:hint="default"/>
      </w:rPr>
    </w:lvl>
    <w:lvl w:ilvl="8" w:tplc="F5CE6D2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9078E8AC">
      <w:start w:val="6"/>
      <w:numFmt w:val="lowerRoman"/>
      <w:lvlText w:val="(%1)"/>
      <w:lvlJc w:val="left"/>
      <w:pPr>
        <w:tabs>
          <w:tab w:val="num" w:pos="1440"/>
        </w:tabs>
        <w:ind w:left="1440" w:hanging="720"/>
      </w:pPr>
      <w:rPr>
        <w:rFonts w:hint="default"/>
        <w:u w:val="double"/>
      </w:rPr>
    </w:lvl>
    <w:lvl w:ilvl="1" w:tplc="CEECCC26" w:tentative="1">
      <w:start w:val="1"/>
      <w:numFmt w:val="lowerLetter"/>
      <w:lvlText w:val="%2."/>
      <w:lvlJc w:val="left"/>
      <w:pPr>
        <w:tabs>
          <w:tab w:val="num" w:pos="1800"/>
        </w:tabs>
        <w:ind w:left="1800" w:hanging="360"/>
      </w:pPr>
    </w:lvl>
    <w:lvl w:ilvl="2" w:tplc="7354DB0E" w:tentative="1">
      <w:start w:val="1"/>
      <w:numFmt w:val="lowerRoman"/>
      <w:lvlText w:val="%3."/>
      <w:lvlJc w:val="right"/>
      <w:pPr>
        <w:tabs>
          <w:tab w:val="num" w:pos="2520"/>
        </w:tabs>
        <w:ind w:left="2520" w:hanging="180"/>
      </w:pPr>
    </w:lvl>
    <w:lvl w:ilvl="3" w:tplc="3CFA9DB0" w:tentative="1">
      <w:start w:val="1"/>
      <w:numFmt w:val="decimal"/>
      <w:lvlText w:val="%4."/>
      <w:lvlJc w:val="left"/>
      <w:pPr>
        <w:tabs>
          <w:tab w:val="num" w:pos="3240"/>
        </w:tabs>
        <w:ind w:left="3240" w:hanging="360"/>
      </w:pPr>
    </w:lvl>
    <w:lvl w:ilvl="4" w:tplc="0B38CAF2" w:tentative="1">
      <w:start w:val="1"/>
      <w:numFmt w:val="lowerLetter"/>
      <w:lvlText w:val="%5."/>
      <w:lvlJc w:val="left"/>
      <w:pPr>
        <w:tabs>
          <w:tab w:val="num" w:pos="3960"/>
        </w:tabs>
        <w:ind w:left="3960" w:hanging="360"/>
      </w:pPr>
    </w:lvl>
    <w:lvl w:ilvl="5" w:tplc="3D3A24DC" w:tentative="1">
      <w:start w:val="1"/>
      <w:numFmt w:val="lowerRoman"/>
      <w:lvlText w:val="%6."/>
      <w:lvlJc w:val="right"/>
      <w:pPr>
        <w:tabs>
          <w:tab w:val="num" w:pos="4680"/>
        </w:tabs>
        <w:ind w:left="4680" w:hanging="180"/>
      </w:pPr>
    </w:lvl>
    <w:lvl w:ilvl="6" w:tplc="8BE09468" w:tentative="1">
      <w:start w:val="1"/>
      <w:numFmt w:val="decimal"/>
      <w:lvlText w:val="%7."/>
      <w:lvlJc w:val="left"/>
      <w:pPr>
        <w:tabs>
          <w:tab w:val="num" w:pos="5400"/>
        </w:tabs>
        <w:ind w:left="5400" w:hanging="360"/>
      </w:pPr>
    </w:lvl>
    <w:lvl w:ilvl="7" w:tplc="E82EB524" w:tentative="1">
      <w:start w:val="1"/>
      <w:numFmt w:val="lowerLetter"/>
      <w:lvlText w:val="%8."/>
      <w:lvlJc w:val="left"/>
      <w:pPr>
        <w:tabs>
          <w:tab w:val="num" w:pos="6120"/>
        </w:tabs>
        <w:ind w:left="6120" w:hanging="360"/>
      </w:pPr>
    </w:lvl>
    <w:lvl w:ilvl="8" w:tplc="CA640ECE"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DEB"/>
    <w:rsid w:val="00A66DEB"/>
    <w:rsid w:val="00F42BF7"/>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ersonName"/>
  <w:smartTagType w:namespaceuri="urn:schemas:contacts" w:name="S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637D"/>
    <w:rPr>
      <w:sz w:val="24"/>
      <w:szCs w:val="24"/>
    </w:rPr>
  </w:style>
  <w:style w:type="paragraph" w:styleId="Heading1">
    <w:name w:val="heading 1"/>
    <w:basedOn w:val="Normal"/>
    <w:next w:val="Normal"/>
    <w:link w:val="Heading1Char"/>
    <w:qFormat/>
    <w:rsid w:val="00A66DEB"/>
    <w:pPr>
      <w:keepNext/>
      <w:spacing w:before="240" w:after="240"/>
      <w:ind w:left="720" w:hanging="720"/>
      <w:outlineLvl w:val="0"/>
    </w:pPr>
    <w:rPr>
      <w:b/>
    </w:rPr>
  </w:style>
  <w:style w:type="paragraph" w:styleId="Heading2">
    <w:name w:val="heading 2"/>
    <w:basedOn w:val="Normal"/>
    <w:next w:val="Normal"/>
    <w:qFormat/>
    <w:rsid w:val="00A66DE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6DE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6DEB"/>
    <w:pPr>
      <w:keepNext/>
      <w:tabs>
        <w:tab w:val="left" w:pos="1800"/>
      </w:tabs>
      <w:spacing w:before="240" w:after="240"/>
      <w:ind w:left="1800" w:hanging="1080"/>
      <w:outlineLvl w:val="3"/>
    </w:pPr>
    <w:rPr>
      <w:b/>
    </w:rPr>
  </w:style>
  <w:style w:type="paragraph" w:styleId="Heading5">
    <w:name w:val="heading 5"/>
    <w:basedOn w:val="Normal"/>
    <w:next w:val="Normal"/>
    <w:qFormat/>
    <w:rsid w:val="00A66DEB"/>
    <w:pPr>
      <w:keepNext/>
      <w:spacing w:line="480" w:lineRule="auto"/>
      <w:ind w:left="1440" w:right="-90" w:hanging="720"/>
      <w:outlineLvl w:val="4"/>
    </w:pPr>
    <w:rPr>
      <w:b/>
    </w:rPr>
  </w:style>
  <w:style w:type="paragraph" w:styleId="Heading6">
    <w:name w:val="heading 6"/>
    <w:basedOn w:val="Normal"/>
    <w:next w:val="Normal"/>
    <w:qFormat/>
    <w:rsid w:val="00A66DEB"/>
    <w:pPr>
      <w:keepNext/>
      <w:spacing w:line="480" w:lineRule="auto"/>
      <w:ind w:left="1080" w:right="-90" w:hanging="360"/>
      <w:outlineLvl w:val="5"/>
    </w:pPr>
    <w:rPr>
      <w:b/>
    </w:rPr>
  </w:style>
  <w:style w:type="paragraph" w:styleId="Heading7">
    <w:name w:val="heading 7"/>
    <w:basedOn w:val="Normal"/>
    <w:next w:val="Normal"/>
    <w:qFormat/>
    <w:rsid w:val="00A66DEB"/>
    <w:pPr>
      <w:keepNext/>
      <w:spacing w:line="480" w:lineRule="auto"/>
      <w:ind w:left="720" w:right="630"/>
      <w:outlineLvl w:val="6"/>
    </w:pPr>
    <w:rPr>
      <w:b/>
    </w:rPr>
  </w:style>
  <w:style w:type="paragraph" w:styleId="Heading8">
    <w:name w:val="heading 8"/>
    <w:basedOn w:val="Normal"/>
    <w:next w:val="Normal"/>
    <w:qFormat/>
    <w:rsid w:val="00A66DEB"/>
    <w:pPr>
      <w:keepNext/>
      <w:spacing w:line="480" w:lineRule="auto"/>
      <w:ind w:left="720" w:right="-90"/>
      <w:outlineLvl w:val="7"/>
    </w:pPr>
    <w:rPr>
      <w:b/>
    </w:rPr>
  </w:style>
  <w:style w:type="paragraph" w:styleId="Heading9">
    <w:name w:val="heading 9"/>
    <w:basedOn w:val="Normal"/>
    <w:next w:val="Normal"/>
    <w:qFormat/>
    <w:rsid w:val="00A66DE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66DEB"/>
    <w:rPr>
      <w:b/>
      <w:snapToGrid w:val="0"/>
      <w:sz w:val="24"/>
      <w:lang w:val="en-US" w:eastAsia="en-US" w:bidi="ar-SA"/>
    </w:rPr>
  </w:style>
  <w:style w:type="paragraph" w:styleId="Title">
    <w:name w:val="Title"/>
    <w:basedOn w:val="Normal"/>
    <w:qFormat/>
    <w:rsid w:val="00A66DEB"/>
    <w:pPr>
      <w:jc w:val="center"/>
    </w:pPr>
    <w:rPr>
      <w:b/>
      <w:bCs/>
    </w:rPr>
  </w:style>
  <w:style w:type="character" w:styleId="CommentReference">
    <w:name w:val="annotation reference"/>
    <w:basedOn w:val="DefaultParagraphFont"/>
    <w:semiHidden/>
    <w:rsid w:val="00A66DEB"/>
    <w:rPr>
      <w:sz w:val="16"/>
      <w:szCs w:val="16"/>
    </w:rPr>
  </w:style>
  <w:style w:type="paragraph" w:styleId="CommentText">
    <w:name w:val="annotation text"/>
    <w:basedOn w:val="Normal"/>
    <w:semiHidden/>
    <w:rsid w:val="00A66DEB"/>
    <w:pPr>
      <w:widowControl w:val="0"/>
    </w:pPr>
    <w:rPr>
      <w:sz w:val="20"/>
      <w:szCs w:val="20"/>
    </w:rPr>
  </w:style>
  <w:style w:type="paragraph" w:styleId="Header">
    <w:name w:val="header"/>
    <w:basedOn w:val="Normal"/>
    <w:rsid w:val="00A66DEB"/>
    <w:pPr>
      <w:tabs>
        <w:tab w:val="center" w:pos="4680"/>
        <w:tab w:val="right" w:pos="9360"/>
      </w:tabs>
    </w:pPr>
  </w:style>
  <w:style w:type="paragraph" w:styleId="Subtitle">
    <w:name w:val="Subtitle"/>
    <w:basedOn w:val="Normal"/>
    <w:qFormat/>
    <w:rsid w:val="00A66DEB"/>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6DEB"/>
  </w:style>
  <w:style w:type="paragraph" w:styleId="BalloonText">
    <w:name w:val="Balloon Text"/>
    <w:basedOn w:val="Normal"/>
    <w:semiHidden/>
    <w:rsid w:val="00A66DEB"/>
    <w:rPr>
      <w:rFonts w:ascii="Tahoma" w:hAnsi="Tahoma" w:cs="Tahoma"/>
      <w:sz w:val="16"/>
      <w:szCs w:val="16"/>
    </w:rPr>
  </w:style>
  <w:style w:type="paragraph" w:customStyle="1" w:styleId="Default">
    <w:name w:val="Default"/>
    <w:rsid w:val="00A66DEB"/>
    <w:pPr>
      <w:widowControl w:val="0"/>
      <w:autoSpaceDE w:val="0"/>
      <w:autoSpaceDN w:val="0"/>
      <w:adjustRightInd w:val="0"/>
    </w:pPr>
    <w:rPr>
      <w:color w:val="000000"/>
      <w:sz w:val="24"/>
      <w:szCs w:val="24"/>
    </w:rPr>
  </w:style>
  <w:style w:type="character" w:styleId="FootnoteReference">
    <w:name w:val="footnote reference"/>
    <w:semiHidden/>
    <w:rsid w:val="00A66DEB"/>
  </w:style>
  <w:style w:type="paragraph" w:customStyle="1" w:styleId="Definition">
    <w:name w:val="Definition"/>
    <w:basedOn w:val="Normal"/>
    <w:rsid w:val="00A66DEB"/>
    <w:pPr>
      <w:spacing w:before="240" w:after="240"/>
    </w:pPr>
  </w:style>
  <w:style w:type="paragraph" w:customStyle="1" w:styleId="Definitionindent">
    <w:name w:val="Definition indent"/>
    <w:basedOn w:val="Definition"/>
    <w:rsid w:val="00A66DEB"/>
    <w:pPr>
      <w:spacing w:before="120" w:after="120"/>
      <w:ind w:left="720"/>
    </w:pPr>
  </w:style>
  <w:style w:type="paragraph" w:customStyle="1" w:styleId="Bodypara">
    <w:name w:val="Body para"/>
    <w:basedOn w:val="Normal"/>
    <w:rsid w:val="00A66DEB"/>
    <w:pPr>
      <w:spacing w:line="480" w:lineRule="auto"/>
      <w:ind w:firstLine="720"/>
    </w:pPr>
  </w:style>
  <w:style w:type="paragraph" w:customStyle="1" w:styleId="alphapara">
    <w:name w:val="alpha para"/>
    <w:basedOn w:val="Bodypara"/>
    <w:rsid w:val="00A66DEB"/>
    <w:pPr>
      <w:ind w:left="1440" w:hanging="720"/>
    </w:pPr>
  </w:style>
  <w:style w:type="paragraph" w:styleId="Date">
    <w:name w:val="Date"/>
    <w:basedOn w:val="Normal"/>
    <w:next w:val="Normal"/>
    <w:rsid w:val="00A66DEB"/>
  </w:style>
  <w:style w:type="paragraph" w:customStyle="1" w:styleId="TOCheading">
    <w:name w:val="TOC heading"/>
    <w:basedOn w:val="Normal"/>
    <w:rsid w:val="00A66DEB"/>
    <w:pPr>
      <w:spacing w:before="240" w:after="240"/>
    </w:pPr>
    <w:rPr>
      <w:b/>
    </w:rPr>
  </w:style>
  <w:style w:type="paragraph" w:styleId="DocumentMap">
    <w:name w:val="Document Map"/>
    <w:basedOn w:val="Normal"/>
    <w:semiHidden/>
    <w:rsid w:val="00A66DEB"/>
    <w:pPr>
      <w:shd w:val="clear" w:color="auto" w:fill="000080"/>
    </w:pPr>
    <w:rPr>
      <w:rFonts w:ascii="Tahoma" w:hAnsi="Tahoma" w:cs="Tahoma"/>
      <w:sz w:val="20"/>
    </w:rPr>
  </w:style>
  <w:style w:type="paragraph" w:customStyle="1" w:styleId="Footers">
    <w:name w:val="Footers"/>
    <w:basedOn w:val="Heading1"/>
    <w:rsid w:val="00A66DEB"/>
    <w:pPr>
      <w:tabs>
        <w:tab w:val="left" w:pos="1440"/>
        <w:tab w:val="left" w:pos="7020"/>
        <w:tab w:val="right" w:pos="9360"/>
      </w:tabs>
    </w:pPr>
    <w:rPr>
      <w:b w:val="0"/>
      <w:sz w:val="20"/>
    </w:rPr>
  </w:style>
  <w:style w:type="paragraph" w:customStyle="1" w:styleId="subhead">
    <w:name w:val="subhead"/>
    <w:basedOn w:val="Heading4"/>
    <w:rsid w:val="00A66DEB"/>
    <w:pPr>
      <w:tabs>
        <w:tab w:val="clear" w:pos="1800"/>
      </w:tabs>
      <w:ind w:left="720" w:firstLine="0"/>
    </w:pPr>
  </w:style>
  <w:style w:type="paragraph" w:customStyle="1" w:styleId="alphaheading">
    <w:name w:val="alpha heading"/>
    <w:basedOn w:val="Normal"/>
    <w:rsid w:val="00A66DEB"/>
    <w:pPr>
      <w:keepNext/>
      <w:tabs>
        <w:tab w:val="left" w:pos="1440"/>
      </w:tabs>
      <w:spacing w:before="240" w:after="240"/>
      <w:ind w:left="1440" w:hanging="720"/>
    </w:pPr>
    <w:rPr>
      <w:b/>
    </w:rPr>
  </w:style>
  <w:style w:type="paragraph" w:customStyle="1" w:styleId="romannumeralpara">
    <w:name w:val="roman numeral para"/>
    <w:basedOn w:val="Normal"/>
    <w:rsid w:val="00A66DEB"/>
    <w:pPr>
      <w:spacing w:line="480" w:lineRule="auto"/>
      <w:ind w:left="1440" w:hanging="720"/>
    </w:pPr>
  </w:style>
  <w:style w:type="paragraph" w:customStyle="1" w:styleId="Bulletpara">
    <w:name w:val="Bullet para"/>
    <w:basedOn w:val="Normal"/>
    <w:rsid w:val="00A66DEB"/>
    <w:pPr>
      <w:numPr>
        <w:numId w:val="18"/>
      </w:numPr>
      <w:tabs>
        <w:tab w:val="left" w:pos="900"/>
      </w:tabs>
      <w:spacing w:before="120" w:after="120"/>
    </w:pPr>
  </w:style>
  <w:style w:type="paragraph" w:styleId="TOC1">
    <w:name w:val="toc 1"/>
    <w:basedOn w:val="Normal"/>
    <w:next w:val="Normal"/>
    <w:semiHidden/>
    <w:rsid w:val="00A66DEB"/>
  </w:style>
  <w:style w:type="paragraph" w:customStyle="1" w:styleId="Tarifftitle">
    <w:name w:val="Tariff title"/>
    <w:basedOn w:val="Normal"/>
    <w:rsid w:val="00A66DEB"/>
    <w:rPr>
      <w:b/>
      <w:sz w:val="28"/>
      <w:szCs w:val="28"/>
    </w:rPr>
  </w:style>
  <w:style w:type="paragraph" w:styleId="TOC2">
    <w:name w:val="toc 2"/>
    <w:basedOn w:val="Normal"/>
    <w:next w:val="Normal"/>
    <w:semiHidden/>
    <w:rsid w:val="00A66DEB"/>
    <w:pPr>
      <w:ind w:left="240"/>
    </w:pPr>
  </w:style>
  <w:style w:type="character" w:styleId="Hyperlink">
    <w:name w:val="Hyperlink"/>
    <w:basedOn w:val="DefaultParagraphFont"/>
    <w:rsid w:val="00A66DEB"/>
    <w:rPr>
      <w:color w:val="0000FF"/>
      <w:u w:val="single"/>
    </w:rPr>
  </w:style>
  <w:style w:type="paragraph" w:styleId="TOC3">
    <w:name w:val="toc 3"/>
    <w:basedOn w:val="Normal"/>
    <w:next w:val="Normal"/>
    <w:semiHidden/>
    <w:rsid w:val="00A66DEB"/>
    <w:pPr>
      <w:ind w:left="480"/>
    </w:pPr>
  </w:style>
  <w:style w:type="paragraph" w:styleId="TOC4">
    <w:name w:val="toc 4"/>
    <w:basedOn w:val="Normal"/>
    <w:next w:val="Normal"/>
    <w:semiHidden/>
    <w:rsid w:val="00A66DEB"/>
    <w:pPr>
      <w:ind w:left="720"/>
    </w:pPr>
  </w:style>
  <w:style w:type="paragraph" w:customStyle="1" w:styleId="subalphapara">
    <w:name w:val="sub alpha para"/>
    <w:basedOn w:val="alphapara"/>
    <w:rsid w:val="00A66DEB"/>
    <w:pPr>
      <w:ind w:firstLine="0"/>
    </w:pPr>
  </w:style>
  <w:style w:type="paragraph" w:customStyle="1" w:styleId="Level1">
    <w:name w:val="Level 1"/>
    <w:basedOn w:val="Normal"/>
    <w:rsid w:val="00A66DEB"/>
    <w:pPr>
      <w:ind w:left="1890" w:hanging="720"/>
    </w:pPr>
  </w:style>
  <w:style w:type="paragraph" w:styleId="BodyTextIndent2">
    <w:name w:val="Body Text Indent 2"/>
    <w:basedOn w:val="Normal"/>
    <w:rsid w:val="00A66DEB"/>
    <w:pPr>
      <w:spacing w:line="480" w:lineRule="auto"/>
      <w:ind w:left="720" w:firstLine="720"/>
    </w:pPr>
  </w:style>
  <w:style w:type="paragraph" w:styleId="EndnoteText">
    <w:name w:val="endnote text"/>
    <w:basedOn w:val="Normal"/>
    <w:semiHidden/>
    <w:rsid w:val="00A66DEB"/>
    <w:rPr>
      <w:sz w:val="20"/>
    </w:rPr>
  </w:style>
  <w:style w:type="character" w:styleId="EndnoteReference">
    <w:name w:val="endnote reference"/>
    <w:basedOn w:val="DefaultParagraphFont"/>
    <w:semiHidden/>
    <w:rsid w:val="00A66DEB"/>
    <w:rPr>
      <w:vertAlign w:val="superscript"/>
    </w:rPr>
  </w:style>
  <w:style w:type="paragraph" w:styleId="FootnoteText">
    <w:name w:val="footnote text"/>
    <w:basedOn w:val="Normal"/>
    <w:semiHidden/>
    <w:rsid w:val="00A66DEB"/>
    <w:rPr>
      <w:sz w:val="20"/>
      <w:szCs w:val="20"/>
    </w:rPr>
  </w:style>
  <w:style w:type="character" w:customStyle="1" w:styleId="Heading1Char">
    <w:name w:val="Heading 1 Char"/>
    <w:basedOn w:val="DefaultParagraphFont"/>
    <w:link w:val="Heading1"/>
    <w:rsid w:val="00A66DEB"/>
    <w:rPr>
      <w:b/>
      <w:sz w:val="24"/>
      <w:szCs w:val="24"/>
      <w:lang w:val="en-US" w:eastAsia="en-US" w:bidi="ar-SA"/>
    </w:rPr>
  </w:style>
  <w:style w:type="paragraph" w:customStyle="1" w:styleId="Style2">
    <w:name w:val="Style2"/>
    <w:basedOn w:val="FootnoteText"/>
    <w:rsid w:val="00A66DEB"/>
    <w:pPr>
      <w:spacing w:after="120"/>
    </w:pPr>
  </w:style>
  <w:style w:type="paragraph" w:styleId="BodyTextIndent3">
    <w:name w:val="Body Text Indent 3"/>
    <w:basedOn w:val="Normal"/>
    <w:rsid w:val="00A66DEB"/>
    <w:pPr>
      <w:spacing w:after="120"/>
      <w:ind w:left="360"/>
    </w:pPr>
    <w:rPr>
      <w:sz w:val="16"/>
      <w:szCs w:val="16"/>
    </w:rPr>
  </w:style>
  <w:style w:type="character" w:customStyle="1" w:styleId="DeltaViewInsertion">
    <w:name w:val="DeltaView Insertion"/>
    <w:rsid w:val="00A66DEB"/>
    <w:rPr>
      <w:spacing w:val="0"/>
      <w:u w:val="doub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42D12D-945E-4E08-B7A6-15DD5F67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1803</Words>
  <Characters>10280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2010-06-11T00:17:00Z</cp:lastPrinted>
  <dcterms:created xsi:type="dcterms:W3CDTF">2017-03-24T09:44:00Z</dcterms:created>
  <dcterms:modified xsi:type="dcterms:W3CDTF">2017-03-24T09:44:00Z</dcterms:modified>
</cp:coreProperties>
</file>