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84" w:rsidRDefault="00B30A5F">
      <w:pPr>
        <w:pStyle w:val="Heading2"/>
      </w:pPr>
      <w:bookmarkStart w:id="0" w:name="_Toc261344247"/>
      <w:bookmarkStart w:id="1" w:name="_GoBack"/>
      <w:bookmarkEnd w:id="1"/>
      <w:r>
        <w:t>30.4</w:t>
      </w:r>
      <w:r>
        <w:tab/>
        <w:t>Market Monitoring Unit</w:t>
      </w:r>
      <w:bookmarkEnd w:id="0"/>
    </w:p>
    <w:p w:rsidR="004C0984" w:rsidRDefault="00B30A5F">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4C0984" w:rsidRDefault="00B30A5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B30A5F">
      <w:pPr>
        <w:pStyle w:val="Heading3"/>
      </w:pPr>
      <w:bookmarkStart w:id="3" w:name="_Toc261344249"/>
      <w:r>
        <w:t>30.4.2</w:t>
      </w:r>
      <w:r>
        <w:tab/>
        <w:t>Retention and Oversight of the</w:t>
      </w:r>
      <w:r>
        <w:t xml:space="preserve"> Market Monitoring Unit</w:t>
      </w:r>
      <w:bookmarkEnd w:id="3"/>
    </w:p>
    <w:p w:rsidR="004C0984" w:rsidRDefault="00B30A5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B30A5F">
      <w:pPr>
        <w:pStyle w:val="Bodypara"/>
      </w:pPr>
      <w:r>
        <w:t>The Market Mon</w:t>
      </w:r>
      <w:r>
        <w:t xml:space="preserve">itoring Unit shall be accountable to the non-management members of the Board, and shall serve at the pleasure of the non-management members of the Board.  </w:t>
      </w:r>
    </w:p>
    <w:p w:rsidR="004C0984" w:rsidRDefault="00B30A5F">
      <w:pPr>
        <w:pStyle w:val="Heading3"/>
      </w:pPr>
      <w:bookmarkStart w:id="4" w:name="_Toc261344250"/>
      <w:r>
        <w:t>30.4.3</w:t>
      </w:r>
      <w:r>
        <w:tab/>
        <w:t>Market Monitoring Unit Ethics Standards</w:t>
      </w:r>
      <w:bookmarkEnd w:id="4"/>
    </w:p>
    <w:p w:rsidR="004C0984" w:rsidRDefault="00B30A5F">
      <w:pPr>
        <w:pStyle w:val="Bodypara"/>
      </w:pPr>
      <w:r>
        <w:t>The Market Monitoring Unit, including all persons emp</w:t>
      </w:r>
      <w:r>
        <w:t xml:space="preserve">loyed thereby, shall comply at all times with the ethics standards set forth below.  The Market Monitoring Unit ethics standards set forth below </w:t>
      </w:r>
      <w:r>
        <w:lastRenderedPageBreak/>
        <w:t>shall apply in place of the standards set forth in the ISO’s OATT Attachment F Code of Conduct, and/or the more</w:t>
      </w:r>
      <w:r>
        <w:t xml:space="preserve"> general policies and standards that apply to consultants retained by the ISO.</w:t>
      </w:r>
      <w:r>
        <w:rPr>
          <w:strike/>
        </w:rPr>
        <w:t xml:space="preserve"> </w:t>
      </w:r>
    </w:p>
    <w:p w:rsidR="004C0984" w:rsidRDefault="00B30A5F">
      <w:pPr>
        <w:pStyle w:val="romannumeralpara"/>
      </w:pPr>
      <w:r>
        <w:t>30.4.3.1</w:t>
      </w:r>
      <w:r>
        <w:tab/>
        <w:t>The Market Monitoring Unit and its employees must have no material affiliation with any Market Party or Affiliate of any Market Party.</w:t>
      </w:r>
    </w:p>
    <w:p w:rsidR="004C0984" w:rsidRDefault="00B30A5F">
      <w:pPr>
        <w:pStyle w:val="Bodypara"/>
      </w:pPr>
      <w:r>
        <w:t>30.4.3.2</w:t>
      </w:r>
      <w:r>
        <w:tab/>
        <w:t>The Market Monitoring U</w:t>
      </w:r>
      <w:r>
        <w:t>nit and its employees must not serve as an officer, employee, or partner of a Market Party.</w:t>
      </w:r>
    </w:p>
    <w:p w:rsidR="004C0984" w:rsidRDefault="00B30A5F">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B30A5F">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B30A5F">
      <w:pPr>
        <w:pStyle w:val="romannumeralpara"/>
      </w:pPr>
      <w:r>
        <w:t>30.4.3.5</w:t>
      </w:r>
      <w:r>
        <w:tab/>
        <w:t>The Market Monitoring Unit and its employees must not be compensated, other than by the ISO, for any expert witness testimony</w:t>
      </w:r>
      <w:r>
        <w:t xml:space="preserve"> or other commercial services, in </w:t>
      </w:r>
      <w:r>
        <w:lastRenderedPageBreak/>
        <w:t xml:space="preserve">connection with any legal or regulatory proceeding or commercial transaction relating to the ISO or to the markets that the ISO administers.  </w:t>
      </w:r>
    </w:p>
    <w:p w:rsidR="004C0984" w:rsidRDefault="00B30A5F">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B30A5F">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B30A5F">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B30A5F">
      <w:pPr>
        <w:pStyle w:val="Heading3"/>
      </w:pPr>
      <w:bookmarkStart w:id="5" w:name="_Toc261344251"/>
      <w:r>
        <w:t>30.4.4</w:t>
      </w:r>
      <w:r>
        <w:tab/>
        <w:t>Duties of the Market Monitoring Unit</w:t>
      </w:r>
      <w:bookmarkEnd w:id="5"/>
    </w:p>
    <w:p w:rsidR="004C0984" w:rsidRDefault="00B30A5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B30A5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B30A5F">
      <w:pPr>
        <w:pStyle w:val="Heading3"/>
      </w:pPr>
      <w:bookmarkStart w:id="6" w:name="_Toc261344252"/>
      <w:r>
        <w:t>30.4.5</w:t>
      </w:r>
      <w:r>
        <w:tab/>
        <w:t>Core Market Monitoring Functions</w:t>
      </w:r>
      <w:bookmarkEnd w:id="6"/>
    </w:p>
    <w:p w:rsidR="004C0984" w:rsidRDefault="00B30A5F">
      <w:pPr>
        <w:pStyle w:val="Bodypara"/>
      </w:pPr>
      <w:r>
        <w:t>The</w:t>
      </w:r>
      <w:r>
        <w:t xml:space="preserve"> Market Monitoring Unit shall be responsible for performing the following Core Functions:</w:t>
      </w:r>
    </w:p>
    <w:p w:rsidR="004C0984" w:rsidRDefault="00B30A5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B30A5F">
      <w:pPr>
        <w:pStyle w:val="romannumeralpara"/>
      </w:pPr>
      <w:r>
        <w:t>30.4.5.1.1</w:t>
      </w:r>
      <w:r>
        <w:tab/>
        <w:t>The Market Monitoring Unit is</w:t>
      </w:r>
      <w:r>
        <w:t xml:space="preserve"> not responsible for systematic review of every tariff and market rule; its role is monitoring, not audit.</w:t>
      </w:r>
    </w:p>
    <w:p w:rsidR="004C0984" w:rsidRDefault="00B30A5F">
      <w:pPr>
        <w:pStyle w:val="romannumeralpara"/>
      </w:pPr>
      <w:r>
        <w:t>30.4.5.1.2</w:t>
      </w:r>
      <w:r>
        <w:tab/>
        <w:t>The Market Monitoring Unit is not to effectuate its proposed market design itself.</w:t>
      </w:r>
    </w:p>
    <w:p w:rsidR="004C0984" w:rsidRDefault="00B30A5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B30A5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B30A5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B30A5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B30A5F">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B30A5F">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B30A5F">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B30A5F">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B30A5F">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B30A5F">
      <w:pPr>
        <w:pStyle w:val="alphapara"/>
        <w:rPr>
          <w:b/>
        </w:rPr>
      </w:pPr>
      <w:r>
        <w:t>30.4.5.3.2.2</w:t>
      </w:r>
      <w:r>
        <w:tab/>
        <w:t>Black Start performance that results in reduction o</w:t>
      </w:r>
      <w:r>
        <w:t xml:space="preserve">r forfeitures of payments under Rate Schedule 5 to the ISO Services Tariff; </w:t>
      </w:r>
    </w:p>
    <w:p w:rsidR="004C0984" w:rsidRDefault="00B30A5F">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B30A5F">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B30A5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B30A5F">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B30A5F">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B30A5F">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B30A5F">
      <w:pPr>
        <w:pStyle w:val="romannumeralpara"/>
      </w:pPr>
      <w:r>
        <w:t>30.4.5.4</w:t>
      </w:r>
      <w:r>
        <w:tab/>
        <w:t>Identify and notify the Commission staff of perceived market design flaws that could be effectively remedied by rule or t</w:t>
      </w:r>
      <w:r>
        <w:t>ariff changes.</w:t>
      </w:r>
    </w:p>
    <w:p w:rsidR="004C0984" w:rsidRDefault="00B30A5F">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B30A5F">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B30A5F">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B30A5F">
      <w:pPr>
        <w:pStyle w:val="Heading3"/>
      </w:pPr>
      <w:bookmarkStart w:id="7" w:name="_Toc261344253"/>
      <w:r>
        <w:t>30.4.6</w:t>
      </w:r>
      <w:r>
        <w:tab/>
        <w:t>Market Monitoring Unit Responsibilities Set Forth Elsewhere in the ISO’s Tariffs</w:t>
      </w:r>
      <w:bookmarkEnd w:id="7"/>
    </w:p>
    <w:p w:rsidR="004C0984" w:rsidRDefault="00B30A5F">
      <w:pPr>
        <w:pStyle w:val="Heading4"/>
      </w:pPr>
      <w:bookmarkStart w:id="8" w:name="_Toc261344254"/>
      <w:r>
        <w:t>30.4.6.1</w:t>
      </w:r>
      <w:r>
        <w:tab/>
        <w:t xml:space="preserve">Supremacy of </w:t>
      </w:r>
      <w:bookmarkEnd w:id="8"/>
      <w:r>
        <w:t>(Attachment O)</w:t>
      </w:r>
    </w:p>
    <w:p w:rsidR="004C0984" w:rsidRDefault="00B30A5F">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B30A5F">
      <w:pPr>
        <w:pStyle w:val="Heading4"/>
      </w:pPr>
      <w:bookmarkStart w:id="9" w:name="_Toc261344255"/>
      <w:r>
        <w:t>30.4.6.2</w:t>
      </w:r>
      <w:r>
        <w:tab/>
        <w:t>Market Monitoring Unit responsibilities set forth in the Market Mitigation Measures</w:t>
      </w:r>
      <w:bookmarkEnd w:id="9"/>
    </w:p>
    <w:p w:rsidR="004C0984" w:rsidRDefault="00B30A5F">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w:t>
      </w:r>
      <w:r>
        <w:rPr>
          <w:color w:val="000000"/>
        </w:rPr>
        <w:t xml:space="preserve">5.3 and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4C0984" w:rsidRDefault="00B30A5F">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B30A5F">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B30A5F">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B30A5F">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B30A5F">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w:t>
      </w:r>
      <w:r>
        <w:rPr>
          <w:bCs/>
        </w:rPr>
        <w:t xml:space="preserve">ds in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4" w:name="OLE_LINK5"/>
      <w:bookmarkStart w:id="15" w:name="OLE_LINK8"/>
      <w:r>
        <w:t>Section </w:t>
      </w:r>
      <w:bookmarkEnd w:id="14"/>
      <w:bookmarkEnd w:id="15"/>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B30A5F">
      <w:pPr>
        <w:pStyle w:val="romannumeralpara"/>
        <w:ind w:firstLine="0"/>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rPr>
          <w:u w:val="double"/>
        </w:rP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B30A5F">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the New York City Locality over the Comparison Period for the External Reconfiguration Market.  Prior to completing its projection of ICAP Spot Auction clearing prices for the New York City Locality over the Com</w:t>
      </w:r>
      <w:r>
        <w:t xml:space="preserve">parison Period for the External Reconfiguration Market, the ISO shall consult with the Market Monitoring Unit regarding such price projection.  </w:t>
      </w:r>
      <w:r>
        <w:rPr>
          <w:i/>
        </w:rPr>
        <w:t>See</w:t>
      </w:r>
      <w:r>
        <w:t xml:space="preserve"> Market Mitigation Measures Section 23.4.5.4.3.</w:t>
      </w:r>
    </w:p>
    <w:p w:rsidR="004C0984" w:rsidRDefault="00B30A5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B30A5F">
      <w:pPr>
        <w:pStyle w:val="romannumeralpara"/>
      </w:pPr>
      <w:r>
        <w:t>30.4.6.2</w:t>
      </w:r>
      <w:r>
        <w:rPr>
          <w:color w:val="000000"/>
        </w:rPr>
        <w:t>.10</w:t>
      </w:r>
      <w:r>
        <w:tab/>
        <w:t>Any proposal or decision by a Market Participant to retire or otherwise remove an Installed Capacity Supplier from the In-City Unforced Capacity market, or to de-rate the amount of Installed Capacity available from such supplier</w:t>
      </w:r>
      <w:r>
        <w:t xml:space="preserve">, may be subject to audit and review by the ISO if the ISO determines that such action could reasonably be expected to affect Market-Clearing Prices in one or more ICAP Spot Market Auctions </w:t>
      </w:r>
      <w:r>
        <w:rPr>
          <w:bCs/>
        </w:rPr>
        <w:t xml:space="preserve">for </w:t>
      </w:r>
      <w:r>
        <w:t>the New York City Locality subsequent to such action.  Such an</w:t>
      </w:r>
      <w:r>
        <w:t xml:space="preserve"> audit or review shall assess whether the proposal or decision has a legitimate economic justification or is based on an effort to withhold Installed Capacity physically in order to affect prices.  The ISO shall provide the preliminary results of its audit</w:t>
      </w:r>
      <w:r>
        <w:t xml:space="preserve">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4C0984" w:rsidRDefault="00B30A5F">
      <w:pPr>
        <w:pStyle w:val="romannumeralpara"/>
      </w:pPr>
      <w:r>
        <w:t>30.4.6.2</w:t>
      </w:r>
      <w:r>
        <w:rPr>
          <w:color w:val="000000"/>
        </w:rPr>
        <w:t>.11</w:t>
      </w:r>
      <w:r>
        <w:tab/>
      </w:r>
      <w:r>
        <w:rPr>
          <w:bCs/>
        </w:rPr>
        <w:t xml:space="preserve">When evaluating a request by a Developer or Interconnection Customer pursuant to </w:t>
      </w:r>
      <w:r>
        <w:t>Section</w:t>
      </w:r>
      <w:r>
        <w:rPr>
          <w:bCs/>
        </w:rPr>
        <w:t xml:space="preserve"> 23.4.5.7 of the Market Mitigation Me</w:t>
      </w:r>
      <w:r>
        <w:rPr>
          <w:bCs/>
        </w:rPr>
        <w:t xml:space="preserve">asures, the ISO shall seek comment from the Market </w:t>
      </w:r>
      <w:r>
        <w:t>Monitoring</w:t>
      </w:r>
      <w:r>
        <w:rPr>
          <w:bCs/>
        </w:rPr>
        <w:t xml:space="preserve"> Unit on matters relating to the determination of price projections and cost calculations.  </w:t>
      </w:r>
      <w:r>
        <w:rPr>
          <w:i/>
        </w:rPr>
        <w:t>See</w:t>
      </w:r>
      <w:r>
        <w:t xml:space="preserve"> Market Mitigation Measures Section 23.4.5.7.</w:t>
      </w:r>
    </w:p>
    <w:p w:rsidR="004C0984" w:rsidRDefault="00B30A5F">
      <w:pPr>
        <w:pStyle w:val="Heading4"/>
      </w:pPr>
      <w:bookmarkStart w:id="18" w:name="_Toc261344256"/>
      <w:r>
        <w:t>30.4.6.3</w:t>
      </w:r>
      <w:r>
        <w:tab/>
        <w:t>Market Monitoring Unit responsibilities set f</w:t>
      </w:r>
      <w:r>
        <w:t>orth in the ISO Services Tariff</w:t>
      </w:r>
      <w:bookmarkEnd w:id="18"/>
    </w:p>
    <w:p w:rsidR="004C0984" w:rsidRDefault="00B30A5F">
      <w:pPr>
        <w:pStyle w:val="romannumeralpara"/>
        <w:rPr>
          <w:ins w:id="19" w:author="Author" w:date="2011-11-03T10:24:00Z"/>
        </w:rPr>
      </w:pPr>
      <w:r>
        <w:t>30.4.6.3.1</w:t>
      </w:r>
      <w:r>
        <w:tab/>
        <w:t>The ICAP Demand Curve periodic review schedule and procedures shall provide an opportunity for the Market Monitoring Unit to review and comment on the draft request for proposals, the independent consultant’s repo</w:t>
      </w:r>
      <w:r>
        <w:t xml:space="preserve">rt, and the ISO’s proposed ICAP Demand Curves.  </w:t>
      </w:r>
      <w:r>
        <w:rPr>
          <w:i/>
        </w:rPr>
        <w:t>See</w:t>
      </w:r>
      <w:r>
        <w:t xml:space="preserve"> ISO Services Tariff Section 5.14.1.2.5.</w:t>
      </w:r>
    </w:p>
    <w:p w:rsidR="000E280C" w:rsidRDefault="00B30A5F">
      <w:pPr>
        <w:pStyle w:val="romannumeralpara"/>
      </w:pPr>
      <w:ins w:id="20" w:author="Author" w:date="2011-11-03T10:24:00Z">
        <w:r w:rsidRPr="000E280C">
          <w:t xml:space="preserve">30.4.6.3.2  </w:t>
        </w:r>
      </w:ins>
      <w:ins w:id="21" w:author="Author" w:date="2011-11-07T10:27:00Z">
        <w:r>
          <w:tab/>
        </w:r>
      </w:ins>
      <w:ins w:id="22" w:author="Author" w:date="2011-11-03T10:24:00Z">
        <w:r w:rsidRPr="000E280C">
          <w:t xml:space="preserve">The new capacity zone periodic review shall provide an opportunity for the Market Monitoring Unit to review and comment on the NCZ </w:t>
        </w:r>
      </w:ins>
      <w:ins w:id="23" w:author="Author" w:date="2011-11-04T07:13:00Z">
        <w:r>
          <w:t>Study</w:t>
        </w:r>
      </w:ins>
      <w:ins w:id="24" w:author="Author" w:date="2011-11-03T10:24:00Z">
        <w:r w:rsidRPr="000E280C">
          <w:t>, and any propo</w:t>
        </w:r>
        <w:r w:rsidRPr="000E280C">
          <w:t xml:space="preserve">sed </w:t>
        </w:r>
      </w:ins>
      <w:ins w:id="25" w:author="Author" w:date="2011-11-04T07:13:00Z">
        <w:r>
          <w:t xml:space="preserve">NCZ </w:t>
        </w:r>
      </w:ins>
      <w:ins w:id="26" w:author="Author" w:date="2011-11-03T10:24:00Z">
        <w:r w:rsidRPr="000E280C">
          <w:t xml:space="preserve">tariff </w:t>
        </w:r>
      </w:ins>
      <w:ins w:id="27" w:author="Author" w:date="2011-11-04T07:13:00Z">
        <w:r>
          <w:t>revisions</w:t>
        </w:r>
      </w:ins>
      <w:ins w:id="28" w:author="Author" w:date="2011-11-03T10:24:00Z">
        <w:r w:rsidRPr="000E280C">
          <w:t>. See ISO Services Tariff Section</w:t>
        </w:r>
      </w:ins>
      <w:ins w:id="29" w:author="Author" w:date="2011-11-04T07:14:00Z">
        <w:r>
          <w:t>s</w:t>
        </w:r>
      </w:ins>
      <w:ins w:id="30" w:author="Author" w:date="2011-11-03T10:24:00Z">
        <w:r w:rsidRPr="000E280C">
          <w:t xml:space="preserve"> </w:t>
        </w:r>
      </w:ins>
      <w:ins w:id="31" w:author="Author" w:date="2011-11-04T07:14:00Z">
        <w:r w:rsidRPr="0062761A">
          <w:rPr>
            <w:rPrChange w:id="32" w:author="Author" w:date="2011-11-04T07:14:00Z">
              <w:rPr>
                <w:highlight w:val="yellow"/>
              </w:rPr>
            </w:rPrChange>
          </w:rPr>
          <w:t>5.1</w:t>
        </w:r>
      </w:ins>
      <w:ins w:id="33" w:author="Author" w:date="2011-11-04T12:08:00Z">
        <w:r>
          <w:t>6</w:t>
        </w:r>
      </w:ins>
      <w:ins w:id="34" w:author="Author" w:date="2011-11-04T07:14:00Z">
        <w:r w:rsidRPr="0062761A">
          <w:rPr>
            <w:rPrChange w:id="35" w:author="Author" w:date="2011-11-04T07:14:00Z">
              <w:rPr>
                <w:highlight w:val="yellow"/>
              </w:rPr>
            </w:rPrChange>
          </w:rPr>
          <w:t>.1.</w:t>
        </w:r>
      </w:ins>
      <w:ins w:id="36" w:author="Author" w:date="2011-11-04T12:20:00Z">
        <w:r w:rsidRPr="000C6B14">
          <w:t>3</w:t>
        </w:r>
      </w:ins>
      <w:ins w:id="37" w:author="Author" w:date="2011-11-04T07:14:00Z">
        <w:r w:rsidRPr="0062761A">
          <w:rPr>
            <w:rPrChange w:id="38" w:author="Author" w:date="2011-11-04T07:14:00Z">
              <w:rPr>
                <w:highlight w:val="yellow"/>
              </w:rPr>
            </w:rPrChange>
          </w:rPr>
          <w:t xml:space="preserve"> and 5.1</w:t>
        </w:r>
      </w:ins>
      <w:ins w:id="39" w:author="Author" w:date="2011-11-04T12:08:00Z">
        <w:r>
          <w:t>6</w:t>
        </w:r>
      </w:ins>
      <w:ins w:id="40" w:author="Author" w:date="2011-11-04T07:14:00Z">
        <w:r w:rsidRPr="0062761A">
          <w:rPr>
            <w:rPrChange w:id="41" w:author="Author" w:date="2011-11-04T07:14:00Z">
              <w:rPr>
                <w:highlight w:val="yellow"/>
              </w:rPr>
            </w:rPrChange>
          </w:rPr>
          <w:t>.4</w:t>
        </w:r>
      </w:ins>
      <w:ins w:id="42" w:author="Author" w:date="2011-11-03T10:24:00Z">
        <w:r w:rsidRPr="0062761A">
          <w:t>.</w:t>
        </w:r>
      </w:ins>
    </w:p>
    <w:p w:rsidR="004C0984" w:rsidRDefault="00B30A5F">
      <w:pPr>
        <w:pStyle w:val="Heading4"/>
      </w:pPr>
      <w:bookmarkStart w:id="43" w:name="_Toc261344257"/>
      <w:r>
        <w:t>30.4.6.4</w:t>
      </w:r>
      <w:r>
        <w:tab/>
        <w:t>Market Monitoring Unit responsibilities set forth in the Rate Schedules to the ISO Services Tariff.</w:t>
      </w:r>
      <w:bookmarkEnd w:id="43"/>
    </w:p>
    <w:p w:rsidR="004C0984" w:rsidRDefault="00B30A5F">
      <w:pPr>
        <w:pStyle w:val="Heading4"/>
      </w:pPr>
      <w:bookmarkStart w:id="44" w:name="_Toc261344258"/>
      <w:r>
        <w:t>30.4.6.4.1</w:t>
      </w:r>
      <w:r>
        <w:tab/>
        <w:t xml:space="preserve">Responsibilities related to the Regulation Service </w:t>
      </w:r>
      <w:r>
        <w:t>Demand Curve</w:t>
      </w:r>
      <w:bookmarkEnd w:id="44"/>
    </w:p>
    <w:p w:rsidR="004C0984" w:rsidRDefault="00B30A5F">
      <w:pPr>
        <w:pStyle w:val="Bodypara"/>
      </w:pPr>
      <w:r>
        <w:t>In order to respond to operational or reliability problems that arise in real-time, the ISO may procure Regulation Service at a quantity and/or price point different than those specified in Section 15.3.7 of Rate Schedule 3 to the ISO Services</w:t>
      </w:r>
      <w:r>
        <w:t xml:space="preserve"> Tariff.  The ISO shall post a notice of any such purchase as soon as reasonably possible and shall report on the reasons for such purchases at the next meeting of its Business Issues Committee.  The ISO shall also immediately initiate an investigation to </w:t>
      </w:r>
      <w:r>
        <w:t>determine whether it is necessary to modify the quantity and price points specified above to avoid future operational or reliability problems. The ISO will consult with its Market Monitoring Unit when it conducts this investigation.</w:t>
      </w:r>
    </w:p>
    <w:p w:rsidR="004C0984" w:rsidRDefault="00B30A5F">
      <w:pPr>
        <w:pStyle w:val="Bodypara"/>
      </w:pPr>
      <w:r>
        <w:t>If the ISO determines t</w:t>
      </w:r>
      <w:r>
        <w:t>hat it is necessary to modify the quantity and/or price points specified above in order to avoid future operational or reliability problems it may temporarily modify them for a period of up to 90 days.  If circumstances reasonably allow, the ISO will consu</w:t>
      </w:r>
      <w:r>
        <w:t>lt with its Market Monitoring Unit, the Business Issues Committee, the Commission, and the PSC before implementing any such modification.  In all circumstances, the ISO will consult with those entities as soon as reasonably possible after implementing a te</w:t>
      </w:r>
      <w:r>
        <w:t>mporary modification.</w:t>
      </w:r>
    </w:p>
    <w:p w:rsidR="004C0984" w:rsidRDefault="00B30A5F">
      <w:pPr>
        <w:pStyle w:val="Bodypara"/>
      </w:pPr>
      <w:r>
        <w:t>After the first year the Regulation Service Demand Curve is in place, the ISO shall perform periodic reviews, subject to the scope requirement specified in Section 15.3.7 of Rate Schedule 3 to the ISO Services Tariff, and the Market M</w:t>
      </w:r>
      <w:r>
        <w:t xml:space="preserve">onitoring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B30A5F">
      <w:pPr>
        <w:pStyle w:val="Heading4"/>
      </w:pPr>
      <w:bookmarkStart w:id="45" w:name="_Toc261344259"/>
      <w:r>
        <w:t>30.4.6.4.2</w:t>
      </w:r>
      <w:r>
        <w:tab/>
        <w:t>Responsibilities related to the Operatin</w:t>
      </w:r>
      <w:r>
        <w:t>g Reserves Demand Curves</w:t>
      </w:r>
      <w:bookmarkEnd w:id="45"/>
    </w:p>
    <w:p w:rsidR="004C0984" w:rsidRDefault="00B30A5F">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w:t>
      </w:r>
      <w:r>
        <w:rPr>
          <w:rFonts w:eastAsia="Arial Unicode MS"/>
        </w:rPr>
        <w:t xml:space="preserve">e 4 to the ISO Services Tariff.  The ISO shall post a notice of any such purchase as soon as reasonably possible and shall report on the reasons for such purchases at the next meeting of its Business Issues Committee.  The ISO shall also </w:t>
      </w:r>
      <w:bookmarkStart w:id="46" w:name="_DV_C60"/>
      <w:r>
        <w:rPr>
          <w:rFonts w:eastAsia="Arial Unicode MS"/>
        </w:rPr>
        <w:t>immediately initia</w:t>
      </w:r>
      <w:r>
        <w:rPr>
          <w:rFonts w:eastAsia="Arial Unicode MS"/>
        </w:rPr>
        <w:t xml:space="preserve">te an investigation to determine </w:t>
      </w:r>
      <w:bookmarkEnd w:id="46"/>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4C0984" w:rsidRDefault="00B30A5F">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w:t>
      </w:r>
      <w:r>
        <w:rPr>
          <w:rFonts w:eastAsia="Arial Unicode MS"/>
        </w:rPr>
        <w:t xml:space="preserve">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 xml:space="preserve">nces, the ISO will </w:t>
      </w:r>
      <w:r>
        <w:rPr>
          <w:rFonts w:eastAsia="Arial Unicode MS"/>
        </w:rPr>
        <w:t>consult with those entities as soon as reasonably possible after implementing a temporary modification.</w:t>
      </w:r>
    </w:p>
    <w:p w:rsidR="004C0984" w:rsidRDefault="00B30A5F">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w:t>
      </w:r>
      <w:r>
        <w:t>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w:t>
      </w:r>
      <w:r>
        <w:t>le 4 to the ISO Services Tariff.</w:t>
      </w:r>
    </w:p>
    <w:p w:rsidR="004C0984" w:rsidRDefault="00B30A5F">
      <w:pPr>
        <w:pStyle w:val="Heading4"/>
      </w:pPr>
      <w:bookmarkStart w:id="47" w:name="_Toc261344260"/>
      <w:r>
        <w:t>30.4.6.5</w:t>
      </w:r>
      <w:r>
        <w:tab/>
        <w:t>Market Monitoring Unit responsibilities set forth in the Attachments to the ISO Services Tariff (other than the Market Mitigation Measures).</w:t>
      </w:r>
      <w:bookmarkEnd w:id="47"/>
    </w:p>
    <w:p w:rsidR="004C0984" w:rsidRDefault="00B30A5F">
      <w:pPr>
        <w:pStyle w:val="Heading4"/>
      </w:pPr>
      <w:bookmarkStart w:id="48" w:name="_Toc261344261"/>
      <w:r>
        <w:t>30.4.6.5.1</w:t>
      </w:r>
      <w:r>
        <w:tab/>
        <w:t>Responsibilities related to Transmission Shortage Cost</w:t>
      </w:r>
      <w:bookmarkEnd w:id="48"/>
    </w:p>
    <w:p w:rsidR="004C0984" w:rsidRDefault="00B30A5F">
      <w:pPr>
        <w:pStyle w:val="Bodypara"/>
      </w:pPr>
      <w:r>
        <w:t>The ISO</w:t>
      </w:r>
      <w:r>
        <w:t xml:space="preserve"> may periodically evaluate the Transmission Shortage Cost to determine whether it is necessary to modify the Transmission Shortage Cost to avoid future operational or reliability problems.  The ISO will consult with its Market Monitoring Unit after it cond</w:t>
      </w:r>
      <w:r>
        <w:t>ucts this evaluation.</w:t>
      </w:r>
    </w:p>
    <w:p w:rsidR="004C0984" w:rsidRDefault="00B30A5F">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w:t>
      </w:r>
      <w:r>
        <w:t xml:space="preserve">ormal market scheduling procedures, in order to avoid among other reliability issues, a violation of NERC Interconnection Reliability Operating Limits or System Operating Limits, it may temporarily modify it for a period of up to 90 days, provided however </w:t>
      </w:r>
      <w:r>
        <w:t xml:space="preserve">the ISO shall file such change with the Commission pursuant to § 205 of the Federal Power Act within 45 days of such modification.  If circumstances reasonably allow, the ISO will consult with its Market Monitoring Unit, the Business Issues Committee, the </w:t>
      </w:r>
      <w:r>
        <w:t xml:space="preserve">Commission,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B30A5F">
      <w:pPr>
        <w:pStyle w:val="Heading4"/>
      </w:pPr>
      <w:bookmarkStart w:id="49" w:name="_Toc261344262"/>
      <w:r>
        <w:t>30.4.6.5.2</w:t>
      </w:r>
      <w:r>
        <w:tab/>
        <w:t>Responsibilities under Appendix 4 to the Operating Protocol for the Implementation of Commission Opinion No. 476 (the “Operating Protocol”)</w:t>
      </w:r>
      <w:bookmarkEnd w:id="49"/>
    </w:p>
    <w:p w:rsidR="004C0984" w:rsidRDefault="00B30A5F">
      <w:pPr>
        <w:pStyle w:val="Bodypara"/>
      </w:pPr>
      <w:r>
        <w:t>The ISO and PJM and their Market Monitoring U</w:t>
      </w:r>
      <w:r>
        <w:t xml:space="preserve">nits shall, to the extent compatible with their respective tariffs and with any other market monitoring procedures that they have filed with the Commission: </w:t>
      </w:r>
    </w:p>
    <w:p w:rsidR="004C0984" w:rsidRDefault="00B30A5F">
      <w:pPr>
        <w:pStyle w:val="alphapara"/>
      </w:pPr>
      <w:r>
        <w:t>30.4.6.5.2.1</w:t>
      </w:r>
      <w:r>
        <w:tab/>
        <w:t>Conduct such investigations as may be necessary to ensure that gaming,</w:t>
      </w:r>
      <w:r>
        <w:rPr>
          <w:u w:val="double"/>
        </w:rPr>
        <w:t xml:space="preserve"> </w:t>
      </w:r>
      <w:r>
        <w:t>abuse of marke</w:t>
      </w:r>
      <w:r>
        <w:t>t power, or similar activities do not take place with regard to power transfers under the 600/400 MW contracts;</w:t>
      </w:r>
    </w:p>
    <w:p w:rsidR="004C0984" w:rsidRDefault="00B30A5F">
      <w:pPr>
        <w:pStyle w:val="alphapara"/>
      </w:pPr>
      <w:r>
        <w:t>30.4.6.5.2.2</w:t>
      </w:r>
      <w:r>
        <w:tab/>
        <w:t>Conduct investigations that go into the region of the other ISO jointly with the ISO, PJM and both Market Monitoring Units;</w:t>
      </w:r>
    </w:p>
    <w:p w:rsidR="004C0984" w:rsidRDefault="00B30A5F">
      <w:pPr>
        <w:pStyle w:val="alphapara"/>
      </w:pPr>
      <w:r>
        <w:t>30.4.6.</w:t>
      </w:r>
      <w:r>
        <w:t>5.2.3</w:t>
      </w:r>
      <w:r>
        <w:tab/>
        <w:t>Inform each other of any such investigations; and</w:t>
      </w:r>
    </w:p>
    <w:p w:rsidR="004C0984" w:rsidRDefault="00B30A5F">
      <w:pPr>
        <w:pStyle w:val="alphapara"/>
      </w:pPr>
      <w:r>
        <w:t>30.4.6.5.2.4</w:t>
      </w:r>
      <w:r>
        <w:tab/>
        <w:t>Share information related to such investigations, as necessary to conduct joint investigations, subject to the requirements of Section C of Appendix 4 to the Operating Protocol and Sectio</w:t>
      </w:r>
      <w:r>
        <w:t>n 30.6.6 of Attachment O.</w:t>
      </w:r>
    </w:p>
    <w:p w:rsidR="004C0984" w:rsidRDefault="00B30A5F">
      <w:pPr>
        <w:pStyle w:val="alphapara"/>
      </w:pPr>
      <w:r>
        <w:rPr>
          <w:i/>
        </w:rPr>
        <w:t>See</w:t>
      </w:r>
      <w:r>
        <w:t xml:space="preserve"> Section A of Appendix 4 to Attachment M-1 to the ISO Services Tariff.</w:t>
      </w:r>
    </w:p>
    <w:p w:rsidR="004C0984" w:rsidRDefault="00B30A5F">
      <w:pPr>
        <w:pStyle w:val="Heading4"/>
      </w:pPr>
      <w:bookmarkStart w:id="50" w:name="_Toc261344263"/>
      <w:r>
        <w:t>30.4.6.6</w:t>
      </w:r>
      <w:r>
        <w:tab/>
        <w:t>Market Monitoring Unit responsibilities set forth in the ISO OATT</w:t>
      </w:r>
      <w:bookmarkEnd w:id="50"/>
    </w:p>
    <w:p w:rsidR="004C0984" w:rsidRDefault="00B30A5F">
      <w:pPr>
        <w:pStyle w:val="Heading4"/>
      </w:pPr>
      <w:bookmarkStart w:id="51" w:name="_Toc261344264"/>
      <w:r>
        <w:t>30.4.6.7</w:t>
      </w:r>
      <w:r>
        <w:tab/>
        <w:t xml:space="preserve">Market Monitoring Unit responsibilities set forth in the Rate Schedules </w:t>
      </w:r>
      <w:r>
        <w:t>to the ISO OATT</w:t>
      </w:r>
      <w:bookmarkEnd w:id="51"/>
    </w:p>
    <w:p w:rsidR="004C0984" w:rsidRDefault="00B30A5F">
      <w:pPr>
        <w:pStyle w:val="Heading4"/>
      </w:pPr>
      <w:bookmarkStart w:id="52" w:name="_Toc261344265"/>
      <w:r>
        <w:t>30.4.6.8</w:t>
      </w:r>
      <w:r>
        <w:tab/>
        <w:t>Market Monitoring Unit responsibilities set forth in the Attachments to the ISO OATT</w:t>
      </w:r>
      <w:bookmarkEnd w:id="52"/>
    </w:p>
    <w:p w:rsidR="004C0984" w:rsidRDefault="00B30A5F">
      <w:pPr>
        <w:pStyle w:val="Heading4"/>
      </w:pPr>
      <w:bookmarkStart w:id="53" w:name="_Toc261344266"/>
      <w:r>
        <w:t>30.4.6.8.1</w:t>
      </w:r>
      <w:r>
        <w:tab/>
        <w:t>Responsibilities related to Transmission Shortage Cost</w:t>
      </w:r>
      <w:bookmarkEnd w:id="53"/>
    </w:p>
    <w:p w:rsidR="004C0984" w:rsidRDefault="00B30A5F">
      <w:pPr>
        <w:pStyle w:val="Bodypara"/>
      </w:pPr>
      <w:r>
        <w:t>The ISO may periodically evaluate the Transmission Shortage Cost to determine wh</w:t>
      </w:r>
      <w:r>
        <w:t>ether it is necessary to modify the Transmission Shortage Cost to avoid future operational or reliability problems.  The ISO will consult with its Market Monitoring Unit after it conducts this evaluation.</w:t>
      </w:r>
    </w:p>
    <w:p w:rsidR="004C0984" w:rsidRDefault="00B30A5F">
      <w:pPr>
        <w:pStyle w:val="Bodypara"/>
      </w:pPr>
      <w:r>
        <w:t>If the ISO determines that it is necessary to modif</w:t>
      </w:r>
      <w:r>
        <w:t>y the Transmission Shortage Cost in order to avoid future operational or reliability problems the resolution of which would otherwise require recurring operator intervention outside normal market scheduling procedures, in order to avoid among other reliabi</w:t>
      </w:r>
      <w:r>
        <w:t>lity issues, a violation of NERC Interconnection Reliability Operating Limits or System Operating Limits, it may temporarily modify it for a period of up to 90 days, provided however the ISO shall file such change with the Commission pursuant to §205 of th</w:t>
      </w:r>
      <w:r>
        <w:t>e Federal Power Act within 45 days of such modification.  If circumstances reasonably allow, the ISO will consult with its Market Monitoring Unit, the Business Issues Committee, the Commission, and the PSC before implementing any such modification.  In all</w:t>
      </w:r>
      <w:r>
        <w:t xml:space="preserve"> circumstances, the ISO will consult with those entities as soon as reasonably possible after implementing a temporary modification and shall explain the reasons for the change.  </w:t>
      </w:r>
      <w:r>
        <w:rPr>
          <w:i/>
        </w:rPr>
        <w:t>See</w:t>
      </w:r>
      <w:r>
        <w:t xml:space="preserve"> Section 17.1.4 of Attachment B to the Services Tariff.</w:t>
      </w:r>
    </w:p>
    <w:p w:rsidR="004C0984" w:rsidRDefault="00B30A5F">
      <w:pPr>
        <w:pStyle w:val="romannumeralpara"/>
      </w:pPr>
      <w:r>
        <w:t>30.4.6.8.2</w:t>
      </w:r>
      <w:r>
        <w:tab/>
        <w:t>Followi</w:t>
      </w:r>
      <w:r>
        <w:t xml:space="preserve">ng the Management Committee vote, the draft Reliability Needs Assessment (RNA), with working group, Operating Committee, and Management Committee input, will be forwarded to the ISO Board for review and action. Concurrently, the draft RNA will be provided </w:t>
      </w:r>
      <w:r>
        <w:t xml:space="preserve">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4C0984" w:rsidRDefault="00B30A5F">
      <w:pPr>
        <w:pStyle w:val="romannumeralpara"/>
      </w:pPr>
      <w:r>
        <w:t>30.4.6.8.</w:t>
      </w:r>
      <w:r>
        <w:t>3</w:t>
      </w:r>
      <w:r>
        <w:tab/>
        <w:t>Following</w:t>
      </w:r>
      <w:r>
        <w:rPr>
          <w:color w:val="000000"/>
        </w:rPr>
        <w:t xml:space="preserve"> the Management Committee vote, the draft Comprehensive Reliability Plan (CRP), with working group, Operating Committee, and Management Committee input, will be forwarded to the ISO Board for review and action. Concurrently, the draft CRP will a</w:t>
      </w:r>
      <w:r>
        <w:rPr>
          <w:color w:val="000000"/>
        </w:rPr>
        <w:t>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4C0984" w:rsidRDefault="00B30A5F">
      <w:pPr>
        <w:pStyle w:val="romannumeralpara"/>
      </w:pPr>
      <w:r>
        <w:t>30.4.6.8.4</w:t>
      </w:r>
      <w:r>
        <w:tab/>
        <w:t>Following the Management Committee vote, the draft Congestion Analysis and Resource Integration Study (CARIS), with Business Issues Committee and Management Committee input, will be forwarded to</w:t>
      </w:r>
      <w:r>
        <w:t xml:space="preserve"> the ISO Board for review and action.  Concurrently, the draft CARIS will be provided to the Market Monitoring Unit for its review and consideration.  </w:t>
      </w:r>
      <w:r>
        <w:rPr>
          <w:i/>
        </w:rPr>
        <w:t>See</w:t>
      </w:r>
      <w:r>
        <w:t xml:space="preserve"> Section 31.3.2.2 of Attachment Y to the ISO OATT.</w:t>
      </w:r>
    </w:p>
    <w:p w:rsidR="004C0984" w:rsidRDefault="00B30A5F">
      <w:pPr>
        <w:pStyle w:val="romannumeralpara"/>
      </w:pPr>
      <w:r>
        <w:t>30.4.6.9</w:t>
      </w:r>
      <w:r>
        <w:tab/>
        <w:t>Market Monitoring Unit responsibilities se</w:t>
      </w:r>
      <w:r>
        <w:t>t forth in other documents that have been formally filed with the Commission.</w:t>
      </w:r>
    </w:p>
    <w:p w:rsidR="004C0984" w:rsidRDefault="00B30A5F">
      <w:pPr>
        <w:pStyle w:val="Heading3"/>
      </w:pPr>
      <w:bookmarkStart w:id="54" w:name="_Toc261344267"/>
      <w:r>
        <w:t>30.4.7</w:t>
      </w:r>
      <w:r>
        <w:tab/>
        <w:t>Availability of Data and Resources to Market Monitoring Unit</w:t>
      </w:r>
      <w:bookmarkEnd w:id="54"/>
    </w:p>
    <w:p w:rsidR="004C0984" w:rsidRDefault="00B30A5F">
      <w:pPr>
        <w:pStyle w:val="romannumeralpara"/>
      </w:pPr>
      <w:r>
        <w:t>30.4.7.1</w:t>
      </w:r>
      <w:r>
        <w:tab/>
        <w:t>The ISO shall ensure that the Market Monitoring Unit has sufficient access to ISO resources, personne</w:t>
      </w:r>
      <w:r>
        <w:t>l and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B30A5F">
      <w:pPr>
        <w:pStyle w:val="romannumeralpara"/>
      </w:pPr>
      <w:r>
        <w:t>30.</w:t>
      </w:r>
      <w:r>
        <w:t>4.7.2</w:t>
      </w:r>
      <w:r>
        <w:tab/>
        <w:t>Any data created by the Market Monitoring Unit, including but not limited to reconfiguration of the ISO’s data, will be kept within the exclusive control of the Market Monitoring Unit.  The Market Monitoring Unit may share the data it creates, subjec</w:t>
      </w:r>
      <w:r>
        <w:t>t to the limitations on distribution of and obligation to protect the confidentiality of Protected Information that are contained in Attachment O, the ISO Services Tariff, and the ISO’s Code of Conduct.</w:t>
      </w:r>
    </w:p>
    <w:p w:rsidR="004C0984" w:rsidRDefault="00B30A5F">
      <w:pPr>
        <w:pStyle w:val="romannumeralpara"/>
      </w:pPr>
      <w:r>
        <w:t>30.4.7.3</w:t>
      </w:r>
      <w:r>
        <w:tab/>
        <w:t>Where data outside the ISO’s geographic foot</w:t>
      </w:r>
      <w:r>
        <w:t>print would be helpful to the Market Monitoring Unit in carrying out its duties, the Market Monitoring Unit should seek out that data (with assistance from the ISO, where appropriate).</w:t>
      </w:r>
    </w:p>
    <w:sectPr w:rsidR="004C09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0A5F">
      <w:pPr>
        <w:spacing w:after="0" w:line="240" w:lineRule="auto"/>
      </w:pPr>
      <w:r>
        <w:separator/>
      </w:r>
    </w:p>
  </w:endnote>
  <w:endnote w:type="continuationSeparator" w:id="0">
    <w:p w:rsidR="00000000" w:rsidRDefault="00B3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21" w:rsidRDefault="00B30A5F">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21" w:rsidRDefault="00B30A5F">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21" w:rsidRDefault="00B30A5F">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0A5F">
      <w:pPr>
        <w:spacing w:after="0" w:line="240" w:lineRule="auto"/>
      </w:pPr>
      <w:r>
        <w:separator/>
      </w:r>
    </w:p>
  </w:footnote>
  <w:footnote w:type="continuationSeparator" w:id="0">
    <w:p w:rsidR="00000000" w:rsidRDefault="00B30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21" w:rsidRDefault="00B30A5F">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21" w:rsidRDefault="00B30A5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w:t>
    </w:r>
    <w:r>
      <w:rPr>
        <w:rFonts w:ascii="Arial" w:eastAsia="Arial" w:hAnsi="Arial" w:cs="Arial"/>
        <w:color w:val="000000"/>
        <w:sz w:val="16"/>
      </w:rPr>
      <w:t>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D21" w:rsidRDefault="00B30A5F">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E0A9114">
      <w:start w:val="1"/>
      <w:numFmt w:val="bullet"/>
      <w:pStyle w:val="Bulletpara"/>
      <w:lvlText w:val=""/>
      <w:lvlJc w:val="left"/>
      <w:pPr>
        <w:tabs>
          <w:tab w:val="num" w:pos="720"/>
        </w:tabs>
        <w:ind w:left="720" w:hanging="360"/>
      </w:pPr>
      <w:rPr>
        <w:rFonts w:ascii="Symbol" w:hAnsi="Symbol" w:hint="default"/>
      </w:rPr>
    </w:lvl>
    <w:lvl w:ilvl="1" w:tplc="1B8AD54C" w:tentative="1">
      <w:start w:val="1"/>
      <w:numFmt w:val="bullet"/>
      <w:lvlText w:val="o"/>
      <w:lvlJc w:val="left"/>
      <w:pPr>
        <w:tabs>
          <w:tab w:val="num" w:pos="1440"/>
        </w:tabs>
        <w:ind w:left="1440" w:hanging="360"/>
      </w:pPr>
      <w:rPr>
        <w:rFonts w:ascii="Courier New" w:hAnsi="Courier New" w:cs="Courier New" w:hint="default"/>
      </w:rPr>
    </w:lvl>
    <w:lvl w:ilvl="2" w:tplc="6EC4C7B8" w:tentative="1">
      <w:start w:val="1"/>
      <w:numFmt w:val="bullet"/>
      <w:lvlText w:val=""/>
      <w:lvlJc w:val="left"/>
      <w:pPr>
        <w:tabs>
          <w:tab w:val="num" w:pos="2160"/>
        </w:tabs>
        <w:ind w:left="2160" w:hanging="360"/>
      </w:pPr>
      <w:rPr>
        <w:rFonts w:ascii="Wingdings" w:hAnsi="Wingdings" w:hint="default"/>
      </w:rPr>
    </w:lvl>
    <w:lvl w:ilvl="3" w:tplc="54A4938A" w:tentative="1">
      <w:start w:val="1"/>
      <w:numFmt w:val="bullet"/>
      <w:lvlText w:val=""/>
      <w:lvlJc w:val="left"/>
      <w:pPr>
        <w:tabs>
          <w:tab w:val="num" w:pos="2880"/>
        </w:tabs>
        <w:ind w:left="2880" w:hanging="360"/>
      </w:pPr>
      <w:rPr>
        <w:rFonts w:ascii="Symbol" w:hAnsi="Symbol" w:hint="default"/>
      </w:rPr>
    </w:lvl>
    <w:lvl w:ilvl="4" w:tplc="9DA0AEEC" w:tentative="1">
      <w:start w:val="1"/>
      <w:numFmt w:val="bullet"/>
      <w:lvlText w:val="o"/>
      <w:lvlJc w:val="left"/>
      <w:pPr>
        <w:tabs>
          <w:tab w:val="num" w:pos="3600"/>
        </w:tabs>
        <w:ind w:left="3600" w:hanging="360"/>
      </w:pPr>
      <w:rPr>
        <w:rFonts w:ascii="Courier New" w:hAnsi="Courier New" w:cs="Courier New" w:hint="default"/>
      </w:rPr>
    </w:lvl>
    <w:lvl w:ilvl="5" w:tplc="32D44BFA" w:tentative="1">
      <w:start w:val="1"/>
      <w:numFmt w:val="bullet"/>
      <w:lvlText w:val=""/>
      <w:lvlJc w:val="left"/>
      <w:pPr>
        <w:tabs>
          <w:tab w:val="num" w:pos="4320"/>
        </w:tabs>
        <w:ind w:left="4320" w:hanging="360"/>
      </w:pPr>
      <w:rPr>
        <w:rFonts w:ascii="Wingdings" w:hAnsi="Wingdings" w:hint="default"/>
      </w:rPr>
    </w:lvl>
    <w:lvl w:ilvl="6" w:tplc="19007AE6" w:tentative="1">
      <w:start w:val="1"/>
      <w:numFmt w:val="bullet"/>
      <w:lvlText w:val=""/>
      <w:lvlJc w:val="left"/>
      <w:pPr>
        <w:tabs>
          <w:tab w:val="num" w:pos="5040"/>
        </w:tabs>
        <w:ind w:left="5040" w:hanging="360"/>
      </w:pPr>
      <w:rPr>
        <w:rFonts w:ascii="Symbol" w:hAnsi="Symbol" w:hint="default"/>
      </w:rPr>
    </w:lvl>
    <w:lvl w:ilvl="7" w:tplc="3C9ED41A" w:tentative="1">
      <w:start w:val="1"/>
      <w:numFmt w:val="bullet"/>
      <w:lvlText w:val="o"/>
      <w:lvlJc w:val="left"/>
      <w:pPr>
        <w:tabs>
          <w:tab w:val="num" w:pos="5760"/>
        </w:tabs>
        <w:ind w:left="5760" w:hanging="360"/>
      </w:pPr>
      <w:rPr>
        <w:rFonts w:ascii="Courier New" w:hAnsi="Courier New" w:cs="Courier New" w:hint="default"/>
      </w:rPr>
    </w:lvl>
    <w:lvl w:ilvl="8" w:tplc="609A4F5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966E6A48">
      <w:start w:val="1"/>
      <w:numFmt w:val="lowerRoman"/>
      <w:lvlText w:val="(%1)"/>
      <w:lvlJc w:val="left"/>
      <w:pPr>
        <w:tabs>
          <w:tab w:val="num" w:pos="2448"/>
        </w:tabs>
        <w:ind w:left="2448" w:hanging="648"/>
      </w:pPr>
      <w:rPr>
        <w:rFonts w:hint="default"/>
        <w:b w:val="0"/>
        <w:i w:val="0"/>
        <w:u w:val="none"/>
      </w:rPr>
    </w:lvl>
    <w:lvl w:ilvl="1" w:tplc="A95EFD44" w:tentative="1">
      <w:start w:val="1"/>
      <w:numFmt w:val="lowerLetter"/>
      <w:lvlText w:val="%2."/>
      <w:lvlJc w:val="left"/>
      <w:pPr>
        <w:tabs>
          <w:tab w:val="num" w:pos="1440"/>
        </w:tabs>
        <w:ind w:left="1440" w:hanging="360"/>
      </w:pPr>
    </w:lvl>
    <w:lvl w:ilvl="2" w:tplc="A1E8C0C0" w:tentative="1">
      <w:start w:val="1"/>
      <w:numFmt w:val="lowerRoman"/>
      <w:lvlText w:val="%3."/>
      <w:lvlJc w:val="right"/>
      <w:pPr>
        <w:tabs>
          <w:tab w:val="num" w:pos="2160"/>
        </w:tabs>
        <w:ind w:left="2160" w:hanging="180"/>
      </w:pPr>
    </w:lvl>
    <w:lvl w:ilvl="3" w:tplc="406836C2" w:tentative="1">
      <w:start w:val="1"/>
      <w:numFmt w:val="decimal"/>
      <w:lvlText w:val="%4."/>
      <w:lvlJc w:val="left"/>
      <w:pPr>
        <w:tabs>
          <w:tab w:val="num" w:pos="2880"/>
        </w:tabs>
        <w:ind w:left="2880" w:hanging="360"/>
      </w:pPr>
    </w:lvl>
    <w:lvl w:ilvl="4" w:tplc="37F40FFC" w:tentative="1">
      <w:start w:val="1"/>
      <w:numFmt w:val="lowerLetter"/>
      <w:lvlText w:val="%5."/>
      <w:lvlJc w:val="left"/>
      <w:pPr>
        <w:tabs>
          <w:tab w:val="num" w:pos="3600"/>
        </w:tabs>
        <w:ind w:left="3600" w:hanging="360"/>
      </w:pPr>
    </w:lvl>
    <w:lvl w:ilvl="5" w:tplc="BA2A753E" w:tentative="1">
      <w:start w:val="1"/>
      <w:numFmt w:val="lowerRoman"/>
      <w:lvlText w:val="%6."/>
      <w:lvlJc w:val="right"/>
      <w:pPr>
        <w:tabs>
          <w:tab w:val="num" w:pos="4320"/>
        </w:tabs>
        <w:ind w:left="4320" w:hanging="180"/>
      </w:pPr>
    </w:lvl>
    <w:lvl w:ilvl="6" w:tplc="4B4C2260" w:tentative="1">
      <w:start w:val="1"/>
      <w:numFmt w:val="decimal"/>
      <w:lvlText w:val="%7."/>
      <w:lvlJc w:val="left"/>
      <w:pPr>
        <w:tabs>
          <w:tab w:val="num" w:pos="5040"/>
        </w:tabs>
        <w:ind w:left="5040" w:hanging="360"/>
      </w:pPr>
    </w:lvl>
    <w:lvl w:ilvl="7" w:tplc="151C177A" w:tentative="1">
      <w:start w:val="1"/>
      <w:numFmt w:val="lowerLetter"/>
      <w:lvlText w:val="%8."/>
      <w:lvlJc w:val="left"/>
      <w:pPr>
        <w:tabs>
          <w:tab w:val="num" w:pos="5760"/>
        </w:tabs>
        <w:ind w:left="5760" w:hanging="360"/>
      </w:pPr>
    </w:lvl>
    <w:lvl w:ilvl="8" w:tplc="1664741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4FA03FE2">
      <w:start w:val="1"/>
      <w:numFmt w:val="decimal"/>
      <w:lvlText w:val="%1."/>
      <w:lvlJc w:val="left"/>
      <w:pPr>
        <w:tabs>
          <w:tab w:val="num" w:pos="720"/>
        </w:tabs>
        <w:ind w:left="720" w:hanging="360"/>
      </w:pPr>
    </w:lvl>
    <w:lvl w:ilvl="1" w:tplc="3D184378" w:tentative="1">
      <w:start w:val="1"/>
      <w:numFmt w:val="lowerLetter"/>
      <w:lvlText w:val="%2."/>
      <w:lvlJc w:val="left"/>
      <w:pPr>
        <w:tabs>
          <w:tab w:val="num" w:pos="1440"/>
        </w:tabs>
        <w:ind w:left="1440" w:hanging="360"/>
      </w:pPr>
    </w:lvl>
    <w:lvl w:ilvl="2" w:tplc="D7DC9738" w:tentative="1">
      <w:start w:val="1"/>
      <w:numFmt w:val="lowerRoman"/>
      <w:lvlText w:val="%3."/>
      <w:lvlJc w:val="right"/>
      <w:pPr>
        <w:tabs>
          <w:tab w:val="num" w:pos="2160"/>
        </w:tabs>
        <w:ind w:left="2160" w:hanging="180"/>
      </w:pPr>
    </w:lvl>
    <w:lvl w:ilvl="3" w:tplc="BFB88866" w:tentative="1">
      <w:start w:val="1"/>
      <w:numFmt w:val="decimal"/>
      <w:lvlText w:val="%4."/>
      <w:lvlJc w:val="left"/>
      <w:pPr>
        <w:tabs>
          <w:tab w:val="num" w:pos="2880"/>
        </w:tabs>
        <w:ind w:left="2880" w:hanging="360"/>
      </w:pPr>
    </w:lvl>
    <w:lvl w:ilvl="4" w:tplc="205A8E10" w:tentative="1">
      <w:start w:val="1"/>
      <w:numFmt w:val="lowerLetter"/>
      <w:lvlText w:val="%5."/>
      <w:lvlJc w:val="left"/>
      <w:pPr>
        <w:tabs>
          <w:tab w:val="num" w:pos="3600"/>
        </w:tabs>
        <w:ind w:left="3600" w:hanging="360"/>
      </w:pPr>
    </w:lvl>
    <w:lvl w:ilvl="5" w:tplc="932EB39E" w:tentative="1">
      <w:start w:val="1"/>
      <w:numFmt w:val="lowerRoman"/>
      <w:lvlText w:val="%6."/>
      <w:lvlJc w:val="right"/>
      <w:pPr>
        <w:tabs>
          <w:tab w:val="num" w:pos="4320"/>
        </w:tabs>
        <w:ind w:left="4320" w:hanging="180"/>
      </w:pPr>
    </w:lvl>
    <w:lvl w:ilvl="6" w:tplc="654C97D4" w:tentative="1">
      <w:start w:val="1"/>
      <w:numFmt w:val="decimal"/>
      <w:lvlText w:val="%7."/>
      <w:lvlJc w:val="left"/>
      <w:pPr>
        <w:tabs>
          <w:tab w:val="num" w:pos="5040"/>
        </w:tabs>
        <w:ind w:left="5040" w:hanging="360"/>
      </w:pPr>
    </w:lvl>
    <w:lvl w:ilvl="7" w:tplc="30EC222A" w:tentative="1">
      <w:start w:val="1"/>
      <w:numFmt w:val="lowerLetter"/>
      <w:lvlText w:val="%8."/>
      <w:lvlJc w:val="left"/>
      <w:pPr>
        <w:tabs>
          <w:tab w:val="num" w:pos="5760"/>
        </w:tabs>
        <w:ind w:left="5760" w:hanging="360"/>
      </w:pPr>
    </w:lvl>
    <w:lvl w:ilvl="8" w:tplc="233E625A"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1D84D658">
      <w:start w:val="1"/>
      <w:numFmt w:val="bullet"/>
      <w:lvlText w:val=""/>
      <w:lvlJc w:val="left"/>
      <w:pPr>
        <w:tabs>
          <w:tab w:val="num" w:pos="5760"/>
        </w:tabs>
        <w:ind w:left="5760" w:hanging="360"/>
      </w:pPr>
      <w:rPr>
        <w:rFonts w:ascii="Symbol" w:hAnsi="Symbol" w:hint="default"/>
        <w:color w:val="auto"/>
        <w:u w:val="none"/>
      </w:rPr>
    </w:lvl>
    <w:lvl w:ilvl="1" w:tplc="A3A21338" w:tentative="1">
      <w:start w:val="1"/>
      <w:numFmt w:val="bullet"/>
      <w:lvlText w:val="o"/>
      <w:lvlJc w:val="left"/>
      <w:pPr>
        <w:tabs>
          <w:tab w:val="num" w:pos="3600"/>
        </w:tabs>
        <w:ind w:left="3600" w:hanging="360"/>
      </w:pPr>
      <w:rPr>
        <w:rFonts w:ascii="Courier New" w:hAnsi="Courier New" w:hint="default"/>
      </w:rPr>
    </w:lvl>
    <w:lvl w:ilvl="2" w:tplc="8E606B34" w:tentative="1">
      <w:start w:val="1"/>
      <w:numFmt w:val="bullet"/>
      <w:lvlText w:val=""/>
      <w:lvlJc w:val="left"/>
      <w:pPr>
        <w:tabs>
          <w:tab w:val="num" w:pos="4320"/>
        </w:tabs>
        <w:ind w:left="4320" w:hanging="360"/>
      </w:pPr>
      <w:rPr>
        <w:rFonts w:ascii="Wingdings" w:hAnsi="Wingdings" w:hint="default"/>
      </w:rPr>
    </w:lvl>
    <w:lvl w:ilvl="3" w:tplc="0ED8EC9E">
      <w:start w:val="1"/>
      <w:numFmt w:val="bullet"/>
      <w:lvlText w:val=""/>
      <w:lvlJc w:val="left"/>
      <w:pPr>
        <w:tabs>
          <w:tab w:val="num" w:pos="5040"/>
        </w:tabs>
        <w:ind w:left="5040" w:hanging="360"/>
      </w:pPr>
      <w:rPr>
        <w:rFonts w:ascii="Symbol" w:hAnsi="Symbol" w:hint="default"/>
      </w:rPr>
    </w:lvl>
    <w:lvl w:ilvl="4" w:tplc="E90032F0" w:tentative="1">
      <w:start w:val="1"/>
      <w:numFmt w:val="bullet"/>
      <w:lvlText w:val="o"/>
      <w:lvlJc w:val="left"/>
      <w:pPr>
        <w:tabs>
          <w:tab w:val="num" w:pos="5760"/>
        </w:tabs>
        <w:ind w:left="5760" w:hanging="360"/>
      </w:pPr>
      <w:rPr>
        <w:rFonts w:ascii="Courier New" w:hAnsi="Courier New" w:hint="default"/>
      </w:rPr>
    </w:lvl>
    <w:lvl w:ilvl="5" w:tplc="9856B3E2" w:tentative="1">
      <w:start w:val="1"/>
      <w:numFmt w:val="bullet"/>
      <w:lvlText w:val=""/>
      <w:lvlJc w:val="left"/>
      <w:pPr>
        <w:tabs>
          <w:tab w:val="num" w:pos="6480"/>
        </w:tabs>
        <w:ind w:left="6480" w:hanging="360"/>
      </w:pPr>
      <w:rPr>
        <w:rFonts w:ascii="Wingdings" w:hAnsi="Wingdings" w:hint="default"/>
      </w:rPr>
    </w:lvl>
    <w:lvl w:ilvl="6" w:tplc="55702894" w:tentative="1">
      <w:start w:val="1"/>
      <w:numFmt w:val="bullet"/>
      <w:lvlText w:val=""/>
      <w:lvlJc w:val="left"/>
      <w:pPr>
        <w:tabs>
          <w:tab w:val="num" w:pos="7200"/>
        </w:tabs>
        <w:ind w:left="7200" w:hanging="360"/>
      </w:pPr>
      <w:rPr>
        <w:rFonts w:ascii="Symbol" w:hAnsi="Symbol" w:hint="default"/>
      </w:rPr>
    </w:lvl>
    <w:lvl w:ilvl="7" w:tplc="44920FBA" w:tentative="1">
      <w:start w:val="1"/>
      <w:numFmt w:val="bullet"/>
      <w:lvlText w:val="o"/>
      <w:lvlJc w:val="left"/>
      <w:pPr>
        <w:tabs>
          <w:tab w:val="num" w:pos="7920"/>
        </w:tabs>
        <w:ind w:left="7920" w:hanging="360"/>
      </w:pPr>
      <w:rPr>
        <w:rFonts w:ascii="Courier New" w:hAnsi="Courier New" w:hint="default"/>
      </w:rPr>
    </w:lvl>
    <w:lvl w:ilvl="8" w:tplc="B82AB21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21AACDC6">
      <w:start w:val="1"/>
      <w:numFmt w:val="decimal"/>
      <w:lvlText w:val="(%1)"/>
      <w:lvlJc w:val="left"/>
      <w:pPr>
        <w:tabs>
          <w:tab w:val="num" w:pos="2520"/>
        </w:tabs>
        <w:ind w:left="2520" w:hanging="720"/>
      </w:pPr>
      <w:rPr>
        <w:rFonts w:hint="default"/>
      </w:rPr>
    </w:lvl>
    <w:lvl w:ilvl="1" w:tplc="CC36E26C">
      <w:start w:val="1"/>
      <w:numFmt w:val="lowerRoman"/>
      <w:lvlText w:val="(%2)"/>
      <w:lvlJc w:val="left"/>
      <w:pPr>
        <w:tabs>
          <w:tab w:val="num" w:pos="1800"/>
        </w:tabs>
        <w:ind w:left="1800" w:hanging="720"/>
      </w:pPr>
      <w:rPr>
        <w:rFonts w:hint="default"/>
        <w:b w:val="0"/>
      </w:rPr>
    </w:lvl>
    <w:lvl w:ilvl="2" w:tplc="FE2C6154">
      <w:start w:val="1"/>
      <w:numFmt w:val="decimal"/>
      <w:lvlText w:val="(%3)"/>
      <w:lvlJc w:val="right"/>
      <w:pPr>
        <w:tabs>
          <w:tab w:val="num" w:pos="2160"/>
        </w:tabs>
        <w:ind w:left="2160" w:hanging="180"/>
      </w:pPr>
      <w:rPr>
        <w:rFonts w:ascii="Times New Roman" w:eastAsia="Times New Roman" w:hAnsi="Times New Roman" w:cs="Times New Roman"/>
        <w:b w:val="0"/>
      </w:rPr>
    </w:lvl>
    <w:lvl w:ilvl="3" w:tplc="70888B32">
      <w:start w:val="1"/>
      <w:numFmt w:val="lowerRoman"/>
      <w:lvlText w:val="(%4)"/>
      <w:lvlJc w:val="left"/>
      <w:pPr>
        <w:tabs>
          <w:tab w:val="num" w:pos="2520"/>
        </w:tabs>
        <w:ind w:left="2880" w:hanging="360"/>
      </w:pPr>
      <w:rPr>
        <w:rFonts w:hint="default"/>
        <w:b w:val="0"/>
      </w:rPr>
    </w:lvl>
    <w:lvl w:ilvl="4" w:tplc="5DC0256A" w:tentative="1">
      <w:start w:val="1"/>
      <w:numFmt w:val="lowerLetter"/>
      <w:lvlText w:val="%5."/>
      <w:lvlJc w:val="left"/>
      <w:pPr>
        <w:tabs>
          <w:tab w:val="num" w:pos="3600"/>
        </w:tabs>
        <w:ind w:left="3600" w:hanging="360"/>
      </w:pPr>
    </w:lvl>
    <w:lvl w:ilvl="5" w:tplc="9B1ACDAC" w:tentative="1">
      <w:start w:val="1"/>
      <w:numFmt w:val="lowerRoman"/>
      <w:lvlText w:val="%6."/>
      <w:lvlJc w:val="right"/>
      <w:pPr>
        <w:tabs>
          <w:tab w:val="num" w:pos="4320"/>
        </w:tabs>
        <w:ind w:left="4320" w:hanging="180"/>
      </w:pPr>
    </w:lvl>
    <w:lvl w:ilvl="6" w:tplc="DF681622" w:tentative="1">
      <w:start w:val="1"/>
      <w:numFmt w:val="decimal"/>
      <w:lvlText w:val="%7."/>
      <w:lvlJc w:val="left"/>
      <w:pPr>
        <w:tabs>
          <w:tab w:val="num" w:pos="5040"/>
        </w:tabs>
        <w:ind w:left="5040" w:hanging="360"/>
      </w:pPr>
    </w:lvl>
    <w:lvl w:ilvl="7" w:tplc="7E948C48" w:tentative="1">
      <w:start w:val="1"/>
      <w:numFmt w:val="lowerLetter"/>
      <w:lvlText w:val="%8."/>
      <w:lvlJc w:val="left"/>
      <w:pPr>
        <w:tabs>
          <w:tab w:val="num" w:pos="5760"/>
        </w:tabs>
        <w:ind w:left="5760" w:hanging="360"/>
      </w:pPr>
    </w:lvl>
    <w:lvl w:ilvl="8" w:tplc="48A8AC9A"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21"/>
    <w:rsid w:val="00353D21"/>
    <w:rsid w:val="00B30A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F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itle">
    <w:name w:val="Title"/>
    <w:basedOn w:val="Normal"/>
    <w:qFormat/>
    <w:pPr>
      <w:spacing w:after="240"/>
      <w:jc w:val="center"/>
    </w:pPr>
    <w:rPr>
      <w:rFonts w:ascii="Times New Roman" w:hAnsi="Times New Roman"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5472</Words>
  <Characters>31196</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2018-09-17T08:55:00Z</dcterms:created>
  <dcterms:modified xsi:type="dcterms:W3CDTF">2018-09-17T08:55:00Z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