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1753B7">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1753B7">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w:t>
      </w:r>
      <w:r>
        <w:rPr>
          <w:szCs w:val="24"/>
        </w:rPr>
        <w:t xml:space="preserve"> Capability Period”).</w:t>
      </w:r>
    </w:p>
    <w:p w:rsidR="0073743B" w:rsidRDefault="001753B7">
      <w:pPr>
        <w:pStyle w:val="Definition"/>
        <w:rPr>
          <w:bCs/>
          <w:szCs w:val="24"/>
        </w:rPr>
      </w:pPr>
      <w:r>
        <w:rPr>
          <w:b/>
          <w:szCs w:val="24"/>
        </w:rPr>
        <w:t>Capability Period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1753B7">
      <w:pPr>
        <w:pStyle w:val="Definition"/>
        <w:rPr>
          <w:bCs/>
          <w:szCs w:val="24"/>
        </w:rPr>
      </w:pPr>
      <w:r>
        <w:rPr>
          <w:b/>
          <w:szCs w:val="24"/>
        </w:rPr>
        <w:t>Capability Period SCR Load Zone Pe</w:t>
      </w:r>
      <w:r>
        <w:rPr>
          <w:b/>
          <w:szCs w:val="24"/>
        </w:rPr>
        <w:t>ak Hours:</w:t>
      </w:r>
      <w:r>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w:t>
      </w:r>
      <w:r>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Pr>
          <w:szCs w:val="24"/>
        </w:rPr>
        <w:t>formance test.</w:t>
      </w:r>
    </w:p>
    <w:p w:rsidR="0073743B" w:rsidRDefault="001753B7">
      <w:pPr>
        <w:pStyle w:val="Definition"/>
        <w:rPr>
          <w:szCs w:val="24"/>
        </w:rPr>
      </w:pPr>
      <w:r>
        <w:rPr>
          <w:b/>
          <w:szCs w:val="24"/>
        </w:rPr>
        <w:t>Capability Year:</w:t>
      </w:r>
      <w:r>
        <w:rPr>
          <w:szCs w:val="24"/>
        </w:rPr>
        <w:t xml:space="preserve">  A Summer Capability Period, followed by a Winter Capability Period (</w:t>
      </w:r>
      <w:r>
        <w:rPr>
          <w:i/>
          <w:szCs w:val="24"/>
        </w:rPr>
        <w:t xml:space="preserve">i.e., </w:t>
      </w:r>
      <w:r>
        <w:rPr>
          <w:szCs w:val="24"/>
        </w:rPr>
        <w:t>May 1 through April 30).</w:t>
      </w:r>
    </w:p>
    <w:p w:rsidR="0073743B" w:rsidRDefault="001753B7">
      <w:pPr>
        <w:pStyle w:val="Definition"/>
        <w:rPr>
          <w:szCs w:val="24"/>
        </w:rPr>
      </w:pPr>
      <w:r>
        <w:rPr>
          <w:b/>
          <w:szCs w:val="24"/>
        </w:rPr>
        <w:t>Capacity:</w:t>
      </w:r>
      <w:r>
        <w:rPr>
          <w:szCs w:val="24"/>
        </w:rPr>
        <w:t xml:space="preserve">  The capability to generate or transmit electrical power, or the ability to control demand at the direction of the</w:t>
      </w:r>
      <w:r>
        <w:rPr>
          <w:szCs w:val="24"/>
        </w:rPr>
        <w:t xml:space="preserve"> ISO, measured in megawatts (“MW”).</w:t>
      </w:r>
    </w:p>
    <w:p w:rsidR="00556B65" w:rsidRPr="00A64EA3" w:rsidRDefault="001753B7" w:rsidP="00556B65">
      <w:pPr>
        <w:pStyle w:val="Definition"/>
        <w:rPr>
          <w:szCs w:val="24"/>
        </w:rPr>
      </w:pPr>
      <w:r w:rsidRPr="00A64EA3">
        <w:rPr>
          <w:b/>
          <w:bCs/>
          <w:szCs w:val="24"/>
        </w:rPr>
        <w:t xml:space="preserve">Capacity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 xml:space="preserve">of the ICAP Suppliers within each Capacity </w:t>
      </w:r>
      <w:r w:rsidRPr="00A64EA3">
        <w:rPr>
          <w:szCs w:val="24"/>
        </w:rPr>
        <w:t>Accreditation Resource Class</w:t>
      </w:r>
      <w:r w:rsidRPr="00A64EA3">
        <w:t xml:space="preserve"> toward meeting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w:t>
      </w:r>
      <w:r w:rsidRPr="00A64EA3">
        <w:t>excluding Load Zone J)</w:t>
      </w:r>
      <w:r w:rsidRPr="00A64EA3">
        <w:t xml:space="preserve">, </w:t>
      </w:r>
      <w:r w:rsidRPr="00A64EA3">
        <w:t>NYC Locality</w:t>
      </w:r>
      <w:r w:rsidRPr="00A64EA3">
        <w:t>, and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w:t>
      </w:r>
      <w:r w:rsidRPr="00A64EA3">
        <w:rPr>
          <w:szCs w:val="24"/>
        </w:rPr>
        <w:t>at has been established in accordance with ISO Procedures.</w:t>
      </w:r>
    </w:p>
    <w:p w:rsidR="00556B65" w:rsidRPr="006410E9" w:rsidRDefault="001753B7" w:rsidP="00556B65">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EC0CAA">
        <w:rPr>
          <w:szCs w:val="24"/>
        </w:rPr>
        <w:t>wh</w:t>
      </w:r>
      <w:r w:rsidRPr="00EC0CAA">
        <w:rPr>
          <w:szCs w:val="24"/>
        </w:rPr>
        <w:t xml:space="preserve">ich are expected to have similar </w:t>
      </w:r>
      <w:r w:rsidRPr="00EC0CAA">
        <w:t>marginal reliability contributions toward meeting NYSRC resource adequacy requirements</w:t>
      </w:r>
      <w:r w:rsidRPr="00A64EA3">
        <w:t xml:space="preserve"> for the upcoming Capability Year. Each Capacity Accreditation Resource Class</w:t>
      </w:r>
      <w:r w:rsidRPr="00EC0CAA">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rsidRDefault="001753B7">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w:t>
      </w:r>
      <w:r>
        <w:rPr>
          <w:bCs/>
          <w:szCs w:val="24"/>
        </w:rPr>
        <w:t xml:space="preserve">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w:t>
      </w:r>
      <w:r>
        <w:rPr>
          <w:bCs/>
          <w:szCs w:val="24"/>
        </w:rPr>
        <w:t>heir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1753B7">
      <w:pPr>
        <w:pStyle w:val="Definition"/>
        <w:rPr>
          <w:szCs w:val="24"/>
        </w:rPr>
      </w:pPr>
      <w:r>
        <w:rPr>
          <w:b/>
          <w:szCs w:val="24"/>
        </w:rPr>
        <w:t>Capacity</w:t>
      </w:r>
      <w:r>
        <w:rPr>
          <w:b/>
          <w:bCs/>
          <w:szCs w:val="24"/>
        </w:rPr>
        <w:t xml:space="preserve"> Res</w:t>
      </w:r>
      <w:r>
        <w:rPr>
          <w:b/>
          <w:bCs/>
          <w:szCs w:val="24"/>
        </w:rPr>
        <w:t>ervation Cap:</w:t>
      </w:r>
      <w:r>
        <w:rPr>
          <w:bCs/>
          <w:szCs w:val="24"/>
        </w:rPr>
        <w:t xml:space="preserve">  </w:t>
      </w:r>
      <w:r>
        <w:rPr>
          <w:szCs w:val="24"/>
        </w:rPr>
        <w:t>As defined in the ISO OATT.</w:t>
      </w:r>
    </w:p>
    <w:p w:rsidR="0073743B" w:rsidRDefault="001753B7">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1753B7">
      <w:pPr>
        <w:pStyle w:val="Definition"/>
        <w:rPr>
          <w:szCs w:val="24"/>
        </w:rPr>
      </w:pPr>
      <w:r>
        <w:rPr>
          <w:b/>
          <w:szCs w:val="24"/>
        </w:rPr>
        <w:t>Centralized</w:t>
      </w:r>
      <w:r>
        <w:rPr>
          <w:b/>
          <w:bCs/>
          <w:szCs w:val="24"/>
        </w:rPr>
        <w:t xml:space="preserve"> Transmission Congestion Contracts (“TCC”) Auction (“Auction”):  </w:t>
      </w:r>
      <w:r>
        <w:rPr>
          <w:szCs w:val="24"/>
        </w:rPr>
        <w:t>As defined in the ISO OAT</w:t>
      </w:r>
      <w:r>
        <w:rPr>
          <w:szCs w:val="24"/>
        </w:rPr>
        <w:t xml:space="preserve">T. </w:t>
      </w:r>
    </w:p>
    <w:p w:rsidR="0073743B" w:rsidRDefault="001753B7">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w:t>
      </w:r>
      <w:r>
        <w:rPr>
          <w:szCs w:val="24"/>
        </w:rPr>
        <w:t>ered Markets as two distinct Generators; and (c) share a set of CSR Scheduling Limits. Resources that serve a Host Load may not participate in the ISO-Administered Markets as components of a CSR.</w:t>
      </w:r>
    </w:p>
    <w:p w:rsidR="0073743B" w:rsidRDefault="001753B7">
      <w:pPr>
        <w:pStyle w:val="Definition"/>
        <w:rPr>
          <w:szCs w:val="24"/>
        </w:rPr>
      </w:pPr>
      <w:r>
        <w:rPr>
          <w:b/>
          <w:szCs w:val="24"/>
        </w:rPr>
        <w:t>Code of Conduct:</w:t>
      </w:r>
      <w:r>
        <w:rPr>
          <w:szCs w:val="24"/>
        </w:rPr>
        <w:t xml:space="preserve">  The rules, procedures and restrictions con</w:t>
      </w:r>
      <w:r>
        <w:rPr>
          <w:szCs w:val="24"/>
        </w:rPr>
        <w:t xml:space="preserve">cerning the conduct of the ISO directors and employees, contained in Attachment F to the ISO Open Access Transmission Tariff.  </w:t>
      </w:r>
    </w:p>
    <w:p w:rsidR="0073743B" w:rsidRDefault="001753B7">
      <w:pPr>
        <w:pStyle w:val="Definition"/>
        <w:rPr>
          <w:szCs w:val="24"/>
        </w:rPr>
      </w:pPr>
      <w:r>
        <w:rPr>
          <w:b/>
          <w:szCs w:val="24"/>
        </w:rPr>
        <w:t>Commenced Repair:</w:t>
      </w:r>
      <w:r>
        <w:rPr>
          <w:szCs w:val="24"/>
        </w:rPr>
        <w:t xml:space="preserve">  A determination by the ISO that a Market Participant with a Generator i) has decided to pursue the repair of </w:t>
      </w:r>
      <w:r>
        <w:rPr>
          <w:szCs w:val="24"/>
        </w:rPr>
        <w:t>its Generator, and based on the ISO’s technical/engineering evaluation ii) has a Repair Plan for the Generator that is consistent with a Credible Repair Plan, and iii) has made appropriate progress in pursuing the repair of its Generator when measured agai</w:t>
      </w:r>
      <w:r>
        <w:rPr>
          <w:szCs w:val="24"/>
        </w:rPr>
        <w:t>nst the milestones of a Credible Repair Plan.</w:t>
      </w:r>
    </w:p>
    <w:p w:rsidR="0073743B" w:rsidRDefault="001753B7">
      <w:pPr>
        <w:pStyle w:val="Definition"/>
        <w:rPr>
          <w:szCs w:val="24"/>
        </w:rPr>
      </w:pPr>
      <w:r>
        <w:rPr>
          <w:b/>
          <w:szCs w:val="24"/>
        </w:rPr>
        <w:t>Commission (“FERC”):</w:t>
      </w:r>
      <w:r>
        <w:rPr>
          <w:szCs w:val="24"/>
        </w:rPr>
        <w:t xml:space="preserve">  The Federal Energy Regulatory Commission, or any successor agency.  </w:t>
      </w:r>
    </w:p>
    <w:p w:rsidR="0073743B" w:rsidRDefault="001753B7">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w:t>
      </w:r>
      <w:r>
        <w:rPr>
          <w:sz w:val="24"/>
          <w:szCs w:val="24"/>
        </w:rPr>
        <w:t xml:space="preserve">ergy that exceeds the Real-Time Scheduled Energy Injection established by the ISO for that Supplier and for which the Supplier may be paid pursuant to </w:t>
      </w:r>
      <w:del w:id="5" w:author="Campbell, Greg J." w:date="2022-05-17T10:50:00Z">
        <w:r w:rsidRPr="00A37844">
          <w:rPr>
            <w:sz w:val="24"/>
            <w:szCs w:val="24"/>
          </w:rPr>
          <w:delText>this Section and</w:delText>
        </w:r>
        <w:r>
          <w:rPr>
            <w:sz w:val="24"/>
            <w:szCs w:val="24"/>
          </w:rPr>
          <w:delText xml:space="preserve"> </w:delText>
        </w:r>
      </w:del>
      <w:r>
        <w:rPr>
          <w:sz w:val="24"/>
          <w:szCs w:val="24"/>
        </w:rPr>
        <w:t>ISO</w:t>
      </w:r>
      <w:r>
        <w:rPr>
          <w:rStyle w:val="DeltaViewInsertion"/>
          <w:sz w:val="24"/>
          <w:szCs w:val="24"/>
          <w:u w:val="none"/>
        </w:rPr>
        <w:t xml:space="preserve"> </w:t>
      </w:r>
      <w:r>
        <w:rPr>
          <w:sz w:val="24"/>
          <w:szCs w:val="24"/>
        </w:rPr>
        <w:t xml:space="preserve">Procedures.  </w:t>
      </w:r>
    </w:p>
    <w:p w:rsidR="0073743B" w:rsidRDefault="001753B7">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1753B7">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w:t>
      </w:r>
      <w:r>
        <w:rPr>
          <w:rStyle w:val="DeltaViewInsertion"/>
          <w:szCs w:val="24"/>
          <w:u w:val="none"/>
        </w:rPr>
        <w:t>ydro Resource that has offered its Energy to the ISO in a given interval not using the ISO-committed Flexible or Self-Committed Flexible bid mode; or (iii) which is an Intermittent Power Resource that depends on landfill gas for its fuel and has offered it</w:t>
      </w:r>
      <w:r>
        <w:rPr>
          <w:rStyle w:val="DeltaViewInsertion"/>
          <w:szCs w:val="24"/>
          <w:u w:val="none"/>
        </w:rPr>
        <w:t>s Energy to the ISO in a given interval not using the ISO-committed Flexible or Self-Committed Flexible bid mode; or (iv) which is an Intermittent Power Resource that depends on wind or solar energy for its fuel, Compensable Overgeneration shall mean all E</w:t>
      </w:r>
      <w:r>
        <w:rPr>
          <w:rStyle w:val="DeltaViewInsertion"/>
          <w:szCs w:val="24"/>
          <w:u w:val="none"/>
        </w:rPr>
        <w:t>nergy actually injected by the Generator that exceeds the Real-Time Scheduled Energy Injection established by the ISO for that Generator</w:t>
      </w:r>
      <w:r>
        <w:rPr>
          <w:rFonts w:eastAsia="Calibri"/>
          <w:snapToGrid/>
          <w:szCs w:val="24"/>
        </w:rPr>
        <w:t>; provided however, this definition of Compensable Overgeneration shall not apply to an Intermittent Power Resource depe</w:t>
      </w:r>
      <w:r>
        <w:rPr>
          <w:rFonts w:eastAsia="Calibri"/>
          <w:snapToGrid/>
          <w:szCs w:val="24"/>
        </w:rPr>
        <w:t xml:space="preserv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xml:space="preserve">.  For a Generator operating in intervals when it has been designated as operating Out of Merit at the request of a Transmission Owner or </w:t>
      </w:r>
      <w:r>
        <w:rPr>
          <w:rStyle w:val="DeltaViewInsertion"/>
          <w:szCs w:val="24"/>
          <w:u w:val="none"/>
        </w:rPr>
        <w:t>the ISO, Compensable Overgeneration shall mean all Energy actually injected by the Generator that exceeds the Real-Time Scheduled Energy Injection up to the Energy level directed by the Transmission Owner or the ISO.</w:t>
      </w:r>
    </w:p>
    <w:p w:rsidR="0073743B" w:rsidRDefault="001753B7">
      <w:pPr>
        <w:pStyle w:val="Definitionindent"/>
        <w:rPr>
          <w:szCs w:val="24"/>
        </w:rPr>
      </w:pPr>
      <w:r>
        <w:rPr>
          <w:szCs w:val="24"/>
        </w:rPr>
        <w:t>For a Generator comprised of a group of</w:t>
      </w:r>
      <w:r>
        <w:rPr>
          <w:szCs w:val="24"/>
        </w:rPr>
        <w:t xml:space="preserve"> generating units at a single location, which grouped generating units are separately committed and dispatched by the ISO, and for which Energy injections are measured at a single location, Compensable Overgeneration shall mean that quantity of Energy inje</w:t>
      </w:r>
      <w:r>
        <w:rPr>
          <w:szCs w:val="24"/>
        </w:rPr>
        <w:t>cted by the Generator, during the period when one of its grouped generating units is operating in a Start-Up or Shutdown Period, that exceeds the Real-Time Scheduled Energy Injection established by the ISO for that period, for that Generator, and for which</w:t>
      </w:r>
      <w:r>
        <w:rPr>
          <w:szCs w:val="24"/>
        </w:rPr>
        <w:t xml:space="preserve"> the Generator may be paid pursuant to ISO Procedures.</w:t>
      </w:r>
    </w:p>
    <w:p w:rsidR="0073743B" w:rsidRDefault="001753B7">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1753B7">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w:t>
      </w:r>
      <w:r>
        <w:rPr>
          <w:szCs w:val="24"/>
        </w:rPr>
        <w:t xml:space="preserve">has been designated by a Customer to be proprietary and confidential, provided that such designation is consistent with the ISO Procedures, the ISO Services Tariff, and the ISO Code of Conduct.  </w:t>
      </w:r>
    </w:p>
    <w:p w:rsidR="0073743B" w:rsidRDefault="001753B7">
      <w:pPr>
        <w:pStyle w:val="Definition"/>
        <w:rPr>
          <w:szCs w:val="24"/>
        </w:rPr>
      </w:pPr>
      <w:r>
        <w:rPr>
          <w:b/>
          <w:szCs w:val="24"/>
        </w:rPr>
        <w:t>Congestion:</w:t>
      </w:r>
      <w:r>
        <w:rPr>
          <w:szCs w:val="24"/>
        </w:rPr>
        <w:t xml:space="preserve">  A characteristic of the transmission system pro</w:t>
      </w:r>
      <w:r>
        <w:rPr>
          <w:szCs w:val="24"/>
        </w:rPr>
        <w:t>duced by a constraint on the optimum economic operation of the power system, such that the marginal price of Energy to serve the next increment of Load, exclusive of losses, at different locations on the transmission system is unequal.</w:t>
      </w:r>
    </w:p>
    <w:p w:rsidR="0073743B" w:rsidRDefault="001753B7">
      <w:pPr>
        <w:pStyle w:val="Definition"/>
        <w:rPr>
          <w:szCs w:val="24"/>
        </w:rPr>
      </w:pPr>
      <w:r>
        <w:rPr>
          <w:b/>
          <w:szCs w:val="24"/>
        </w:rPr>
        <w:t>Congestion</w:t>
      </w:r>
      <w:r>
        <w:rPr>
          <w:b/>
          <w:bCs/>
          <w:szCs w:val="24"/>
        </w:rPr>
        <w:t xml:space="preserve"> Component</w:t>
      </w:r>
      <w:r>
        <w:rPr>
          <w:b/>
          <w:bCs/>
          <w:szCs w:val="24"/>
        </w:rPr>
        <w: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Default="001753B7">
      <w:pPr>
        <w:pStyle w:val="Definition"/>
        <w:rPr>
          <w:szCs w:val="24"/>
        </w:rPr>
      </w:pPr>
      <w:r>
        <w:rPr>
          <w:b/>
          <w:szCs w:val="24"/>
        </w:rPr>
        <w:t>Congestion</w:t>
      </w:r>
      <w:r>
        <w:rPr>
          <w:b/>
          <w:bCs/>
          <w:szCs w:val="24"/>
        </w:rPr>
        <w:t xml:space="preserve"> Rent</w:t>
      </w:r>
      <w:r>
        <w:rPr>
          <w:szCs w:val="24"/>
        </w:rPr>
        <w:t xml:space="preserve">:  </w:t>
      </w:r>
      <w:r>
        <w:rPr>
          <w:szCs w:val="24"/>
        </w:rPr>
        <w:t>As defined in the ISO OATT.</w:t>
      </w:r>
    </w:p>
    <w:p w:rsidR="0073743B" w:rsidRDefault="001753B7">
      <w:pPr>
        <w:pStyle w:val="Definition"/>
        <w:rPr>
          <w:szCs w:val="24"/>
        </w:rPr>
      </w:pPr>
      <w:r>
        <w:rPr>
          <w:b/>
          <w:bCs/>
          <w:szCs w:val="24"/>
        </w:rPr>
        <w:t>Congestion Rent Shortfall</w:t>
      </w:r>
      <w:r>
        <w:rPr>
          <w:szCs w:val="24"/>
        </w:rPr>
        <w:t>:  As defined in the ISO OATT.</w:t>
      </w:r>
    </w:p>
    <w:p w:rsidR="0073743B" w:rsidRDefault="001753B7">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w:t>
      </w:r>
      <w:r>
        <w:rPr>
          <w:szCs w:val="24"/>
        </w:rPr>
        <w:t>eration of the NYS Transmission System.</w:t>
      </w:r>
    </w:p>
    <w:p w:rsidR="0073743B" w:rsidRDefault="001753B7">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w:t>
      </w:r>
      <w:r>
        <w:rPr>
          <w:szCs w:val="24"/>
        </w:rPr>
        <w:t>ltiple components, which are related by situations leading to simultaneous component outages.</w:t>
      </w:r>
    </w:p>
    <w:p w:rsidR="0073743B" w:rsidRDefault="001753B7">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w:t>
      </w:r>
      <w:r>
        <w:rPr>
          <w:szCs w:val="24"/>
        </w:rPr>
        <w:t>, at all times, the power output of the Generators within the electric power system(s) and Capacity and Energy purchased from entities outside the electric power system(s), with the Load within the electric power system(s); (2) maintain scheduled interchan</w:t>
      </w:r>
      <w:r>
        <w:rPr>
          <w:szCs w:val="24"/>
        </w:rPr>
        <w:t xml:space="preserve">ge with other Control Areas, within the limits of Good Utility Practice; (3) maintain the frequency of the electric power system(s) within reasonable limits in accordance with Good Utility Practice; and (4) provide sufficient Capacity to maintain </w:t>
      </w:r>
      <w:r>
        <w:rPr>
          <w:iCs/>
          <w:szCs w:val="24"/>
        </w:rPr>
        <w:t>O</w:t>
      </w:r>
      <w:r>
        <w:rPr>
          <w:szCs w:val="24"/>
        </w:rPr>
        <w:t>perating</w:t>
      </w:r>
      <w:r>
        <w:rPr>
          <w:szCs w:val="24"/>
        </w:rPr>
        <w:t xml:space="preserve"> </w:t>
      </w:r>
      <w:r>
        <w:rPr>
          <w:iCs/>
          <w:szCs w:val="24"/>
        </w:rPr>
        <w:t>R</w:t>
      </w:r>
      <w:r>
        <w:rPr>
          <w:szCs w:val="24"/>
        </w:rPr>
        <w:t>eserves in accordance with Good Utility Practice.</w:t>
      </w:r>
    </w:p>
    <w:p w:rsidR="0073743B" w:rsidRDefault="001753B7">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w:t>
      </w:r>
      <w:r>
        <w:rPr>
          <w:szCs w:val="24"/>
        </w:rPr>
        <w:t xml:space="preserve"> Area System Resources will not designate particular Resources as the suppliers of Unforced Capacity.</w:t>
      </w:r>
    </w:p>
    <w:p w:rsidR="0073743B" w:rsidRDefault="001753B7">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1753B7">
      <w:pPr>
        <w:pStyle w:val="Definition"/>
        <w:rPr>
          <w:szCs w:val="24"/>
        </w:rPr>
      </w:pPr>
      <w:r>
        <w:rPr>
          <w:b/>
          <w:szCs w:val="24"/>
        </w:rPr>
        <w:t>C</w:t>
      </w:r>
      <w:r>
        <w:rPr>
          <w:b/>
          <w:szCs w:val="24"/>
        </w:rPr>
        <w:t>ontrollable Transmission:</w:t>
      </w:r>
      <w:r>
        <w:rPr>
          <w:szCs w:val="24"/>
        </w:rPr>
        <w:t xml:space="preserve">  Any Transmission facility over which power-flow can be directly controlled by power-flow control devices without having to re-dispatch generation.</w:t>
      </w:r>
    </w:p>
    <w:p w:rsidR="0073743B" w:rsidRDefault="001753B7">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 xml:space="preserve">in </w:t>
      </w:r>
      <w:r>
        <w:rPr>
          <w:szCs w:val="24"/>
        </w:rPr>
        <w:t>Section 5.18.1.4 of this Services Tariff and in ISO Procedures</w:t>
      </w:r>
      <w:r>
        <w:rPr>
          <w:b/>
          <w:szCs w:val="24"/>
        </w:rPr>
        <w:t xml:space="preserve">. </w:t>
      </w:r>
    </w:p>
    <w:p w:rsidR="0073743B" w:rsidRDefault="001753B7">
      <w:pPr>
        <w:pStyle w:val="Definition"/>
        <w:rPr>
          <w:ins w:id="6" w:author="Campbell, Greg J." w:date="2022-05-09T14:08:00Z"/>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CE4777" w:rsidRDefault="001753B7">
      <w:pPr>
        <w:pStyle w:val="Definition"/>
        <w:rPr>
          <w:szCs w:val="24"/>
        </w:rPr>
      </w:pPr>
      <w:ins w:id="7" w:author="Campbell, Greg J." w:date="2022-05-09T14:08:00Z">
        <w:r w:rsidRPr="00CE4777">
          <w:rPr>
            <w:b/>
            <w:bCs/>
            <w:szCs w:val="24"/>
          </w:rPr>
          <w:t>Critic</w:t>
        </w:r>
      </w:ins>
      <w:ins w:id="8" w:author="Campbell, Greg J." w:date="2022-05-09T14:09:00Z">
        <w:r w:rsidRPr="00CE4777">
          <w:rPr>
            <w:b/>
            <w:bCs/>
            <w:szCs w:val="24"/>
          </w:rPr>
          <w:t xml:space="preserve">al </w:t>
        </w:r>
      </w:ins>
      <w:ins w:id="9" w:author="Campbell, Greg J." w:date="2022-05-09T15:35:00Z">
        <w:r>
          <w:rPr>
            <w:b/>
            <w:bCs/>
            <w:szCs w:val="24"/>
          </w:rPr>
          <w:t xml:space="preserve">Electric System </w:t>
        </w:r>
      </w:ins>
      <w:ins w:id="10" w:author="Campbell, Greg J." w:date="2022-05-09T14:09:00Z">
        <w:r w:rsidRPr="00CE4777">
          <w:rPr>
            <w:b/>
            <w:bCs/>
            <w:szCs w:val="24"/>
          </w:rPr>
          <w:t>In</w:t>
        </w:r>
        <w:r w:rsidRPr="00CE4777">
          <w:rPr>
            <w:b/>
            <w:bCs/>
            <w:szCs w:val="24"/>
          </w:rPr>
          <w:t>frastructure Load:</w:t>
        </w:r>
        <w:r>
          <w:rPr>
            <w:szCs w:val="24"/>
          </w:rPr>
          <w:t xml:space="preserve">  </w:t>
        </w:r>
      </w:ins>
      <w:ins w:id="11" w:author="Campbell, Greg J." w:date="2022-06-14T13:27:00Z">
        <w:r w:rsidRPr="00A92F07">
          <w:rPr>
            <w:szCs w:val="24"/>
          </w:rPr>
          <w:t>Load that is critical to maintaining the reliable operation of electric system infrastructure, including, without limitation, Load that is (i) necessary to maintain the delivery of natural gas, fuel oil, and other fuels used by Generato</w:t>
        </w:r>
        <w:r w:rsidRPr="00A92F07">
          <w:rPr>
            <w:szCs w:val="24"/>
          </w:rPr>
          <w:t>rs (including Local Generators) to generate electricity, (ii) likely to impact the supply of natural gas, fuel oil, and other fuel to Generators, or (iii) otherwise likely to impact Generator operation. Critical Electric System Infrastructure Load does not</w:t>
        </w:r>
        <w:r w:rsidRPr="00A92F07">
          <w:rPr>
            <w:szCs w:val="24"/>
          </w:rPr>
          <w:t xml:space="preserve"> include on-site Load that is consumed for ancillary purposes unless such Load is necessary for compliance with parts (i) – (iii) of this definition.</w:t>
        </w:r>
      </w:ins>
    </w:p>
    <w:p w:rsidR="0073743B" w:rsidRDefault="001753B7">
      <w:pPr>
        <w:pStyle w:val="Definition"/>
        <w:rPr>
          <w:szCs w:val="24"/>
        </w:rPr>
      </w:pPr>
      <w:r>
        <w:rPr>
          <w:b/>
          <w:bCs/>
          <w:szCs w:val="24"/>
        </w:rPr>
        <w:t>Cross-Sound Scheduled Line:</w:t>
      </w:r>
      <w:r>
        <w:rPr>
          <w:bCs/>
          <w:szCs w:val="24"/>
        </w:rPr>
        <w:t xml:space="preserve"> </w:t>
      </w:r>
      <w:r>
        <w:rPr>
          <w:szCs w:val="24"/>
        </w:rPr>
        <w:t>A transmission facility that interconnects the NYCA to the New England Control</w:t>
      </w:r>
      <w:r>
        <w:rPr>
          <w:szCs w:val="24"/>
        </w:rPr>
        <w:t xml:space="preserve"> Area at Shoreham, New York and terminates near New Haven, Connecticut. </w:t>
      </w:r>
    </w:p>
    <w:p w:rsidR="0073743B" w:rsidRDefault="001753B7">
      <w:pPr>
        <w:pStyle w:val="Definition"/>
        <w:rPr>
          <w:szCs w:val="24"/>
        </w:rPr>
      </w:pPr>
      <w:r w:rsidRPr="00A54AB8">
        <w:rPr>
          <w:b/>
          <w:bCs/>
          <w:szCs w:val="24"/>
        </w:rPr>
        <w:t>CSR Scheduling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Capacity, Operating Reserve and Energy injection schedules for, and the maximum </w:t>
      </w:r>
      <w:r w:rsidRPr="001D429A">
        <w:rPr>
          <w:szCs w:val="24"/>
        </w:rPr>
        <w:t xml:space="preserve">permitted </w:t>
      </w:r>
      <w:r w:rsidRPr="001D429A">
        <w:rPr>
          <w:szCs w:val="24"/>
        </w:rPr>
        <w:t xml:space="preserve">net injection by a CSR’s Generators.  The CSR withdrawal Scheduling Limit sets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 and the maximum </w:t>
      </w:r>
      <w:r w:rsidRPr="00A54AB8">
        <w:rPr>
          <w:szCs w:val="24"/>
        </w:rPr>
        <w:t xml:space="preserve">permitted </w:t>
      </w:r>
      <w:r w:rsidRPr="00A54AB8">
        <w:rPr>
          <w:szCs w:val="24"/>
        </w:rPr>
        <w:t>net withdrawal by a CSR’s Generators.</w:t>
      </w:r>
      <w:r>
        <w:rPr>
          <w:szCs w:val="24"/>
        </w:rPr>
        <w:t xml:space="preserve">  </w:t>
      </w:r>
    </w:p>
    <w:p w:rsidR="0073743B" w:rsidRDefault="001753B7">
      <w:pPr>
        <w:pStyle w:val="Definition"/>
        <w:rPr>
          <w:szCs w:val="24"/>
        </w:rPr>
      </w:pPr>
      <w:r>
        <w:rPr>
          <w:szCs w:val="24"/>
        </w:rPr>
        <w:t>The Market</w:t>
      </w:r>
      <w:r>
        <w:rPr>
          <w:szCs w:val="24"/>
        </w:rPr>
        <w:t xml:space="preserve"> Participant that is responsible for submitting Bids for a set of CSR Generators shall submit a CSR injection Scheduling Limit and a CSR withdrawal Scheduling Limit with the hourly Day-Ahead and Real-Time Market Bids it submits for each of the CSR Generato</w:t>
      </w:r>
      <w:r>
        <w:rPr>
          <w:szCs w:val="24"/>
        </w:rPr>
        <w:t xml:space="preserve">rs.  The CSR Scheduling Limit values that the Market Participant submits must reflect the physical capability to inject or withdraw Energy at the Point of Injection/Point of Withdrawal.  </w:t>
      </w:r>
    </w:p>
    <w:p w:rsidR="0073743B" w:rsidRDefault="001753B7">
      <w:pPr>
        <w:pStyle w:val="Definition"/>
        <w:rPr>
          <w:szCs w:val="24"/>
        </w:rPr>
      </w:pPr>
      <w:r>
        <w:t xml:space="preserve">To address the real-time variability of Energy deliveries from wind </w:t>
      </w:r>
      <w:r>
        <w:t>and solar Intermittent Power Resources that participate as Co-located Storage Resources, when the participating Energy Storage Resource has a non-zero Regulation and/or Operating Reserves schedule or is dispatched to inject Energy, and the sum of the parti</w:t>
      </w:r>
      <w:r>
        <w:t xml:space="preserve">cipating Energy Storage Resource’s and the participating wind or solar Intermittent Power Resource’s Energy, Regulation Service and Operating Reserves Schedules is greater than or equal to a specified percentage of the CSR injection Scheduling Limit, then </w:t>
      </w:r>
      <w:r>
        <w:t>the ISO will issue a Wind and Solar Output Limit to the Intermittent Power Resource to not exceed its Base Point Signal.  The specified percentage that is ordinarily used will be posted on the ISO’s website.</w:t>
      </w:r>
    </w:p>
    <w:p w:rsidR="0073743B" w:rsidRDefault="001753B7">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w:t>
      </w:r>
      <w:r>
        <w:rPr>
          <w:szCs w:val="24"/>
        </w:rPr>
        <w:t>rea.</w:t>
      </w:r>
    </w:p>
    <w:p w:rsidR="0073743B" w:rsidRDefault="001753B7">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requires the use of Decremental Bids for Wheels Through in</w:t>
      </w:r>
      <w:r>
        <w:rPr>
          <w:szCs w:val="24"/>
        </w:rPr>
        <w:t xml:space="preserve"> the Real-Time Market.  A CTS Enabled Proxy Generator Bus at which the ISO permits CTS Interface Bids will also permit Decremental and Sink Price Cap Bids.  </w:t>
      </w:r>
    </w:p>
    <w:p w:rsidR="0073743B" w:rsidRDefault="001753B7">
      <w:pPr>
        <w:pStyle w:val="Definition"/>
        <w:rPr>
          <w:szCs w:val="24"/>
        </w:rPr>
      </w:pPr>
      <w:r>
        <w:rPr>
          <w:b/>
          <w:szCs w:val="24"/>
        </w:rPr>
        <w:t>CTS Interface Bid:</w:t>
      </w:r>
      <w:r>
        <w:rPr>
          <w:szCs w:val="24"/>
        </w:rPr>
        <w:t xml:space="preserve">  A Real-Time Bid provided by an entity engaged in an External Transaction at a </w:t>
      </w:r>
      <w:r>
        <w:rPr>
          <w:szCs w:val="24"/>
        </w:rPr>
        <w:t xml:space="preserve">CTS Enabled Interface.  CTS Interface Bids shall include a MW amount, a direction indicating whether the proposed Transaction is to Import Energy to, or Export Energy from, the New York Control Area, and a Bid Price. </w:t>
      </w:r>
    </w:p>
    <w:p w:rsidR="0073743B" w:rsidRDefault="001753B7">
      <w:pPr>
        <w:pStyle w:val="Definition"/>
        <w:rPr>
          <w:szCs w:val="24"/>
        </w:rPr>
      </w:pPr>
      <w:r>
        <w:rPr>
          <w:b/>
          <w:szCs w:val="24"/>
        </w:rPr>
        <w:t>CTS Sink:</w:t>
      </w:r>
      <w:r>
        <w:rPr>
          <w:szCs w:val="24"/>
        </w:rPr>
        <w:t xml:space="preserve">  Representation of the locat</w:t>
      </w:r>
      <w:r>
        <w:rPr>
          <w:szCs w:val="24"/>
        </w:rPr>
        <w:t>ion(s) within a Control Area where energy associated with a CTS Interface Bid is withdrawn.  The NYCA CTS Sinks are Proxy Generator Buses.</w:t>
      </w:r>
    </w:p>
    <w:p w:rsidR="0073743B" w:rsidRDefault="001753B7">
      <w:pPr>
        <w:pStyle w:val="Definition"/>
        <w:rPr>
          <w:szCs w:val="24"/>
        </w:rPr>
      </w:pPr>
      <w:r>
        <w:rPr>
          <w:b/>
          <w:szCs w:val="24"/>
        </w:rPr>
        <w:t>CTS Sink Price:</w:t>
      </w:r>
      <w:r>
        <w:rPr>
          <w:szCs w:val="24"/>
        </w:rPr>
        <w:t xml:space="preserve">  The price at a CTS Sink.</w:t>
      </w:r>
    </w:p>
    <w:p w:rsidR="0073743B" w:rsidRDefault="001753B7">
      <w:pPr>
        <w:pStyle w:val="Definition"/>
        <w:rPr>
          <w:szCs w:val="24"/>
        </w:rPr>
      </w:pPr>
      <w:r>
        <w:rPr>
          <w:b/>
          <w:szCs w:val="24"/>
        </w:rPr>
        <w:t>CTS Source:</w:t>
      </w:r>
      <w:r>
        <w:rPr>
          <w:szCs w:val="24"/>
        </w:rPr>
        <w:t xml:space="preserve">  Representation of the location(s) within a Control Area where </w:t>
      </w:r>
      <w:r>
        <w:rPr>
          <w:szCs w:val="24"/>
        </w:rPr>
        <w:t>energy associated with a CTS Interface Bid is injected.  The NYCA CTS Sources are Proxy Generator Buses.</w:t>
      </w:r>
    </w:p>
    <w:p w:rsidR="0073743B" w:rsidRDefault="001753B7">
      <w:pPr>
        <w:pStyle w:val="Definition"/>
        <w:rPr>
          <w:szCs w:val="24"/>
        </w:rPr>
      </w:pPr>
      <w:r>
        <w:rPr>
          <w:b/>
          <w:szCs w:val="24"/>
        </w:rPr>
        <w:t>CTS Source Price:</w:t>
      </w:r>
      <w:r>
        <w:rPr>
          <w:szCs w:val="24"/>
        </w:rPr>
        <w:t xml:space="preserve">  The price at a CTS Source.</w:t>
      </w:r>
    </w:p>
    <w:p w:rsidR="0073743B" w:rsidRDefault="001753B7">
      <w:pPr>
        <w:pStyle w:val="Definition"/>
        <w:rPr>
          <w:szCs w:val="24"/>
        </w:rPr>
      </w:pPr>
      <w:r>
        <w:rPr>
          <w:b/>
          <w:szCs w:val="24"/>
        </w:rPr>
        <w:t>Curtailment or Curtail</w:t>
      </w:r>
      <w:r>
        <w:rPr>
          <w:szCs w:val="24"/>
        </w:rPr>
        <w:t>:  A reduction in Transmission Service in response to a transmission Capacity short</w:t>
      </w:r>
      <w:r>
        <w:rPr>
          <w:szCs w:val="24"/>
        </w:rPr>
        <w:t>age as a result of system reliability conditions.</w:t>
      </w:r>
    </w:p>
    <w:p w:rsidR="0073743B" w:rsidRDefault="001753B7">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end-users.  The procedure for qual</w:t>
      </w:r>
      <w:r>
        <w:rPr>
          <w:szCs w:val="24"/>
        </w:rPr>
        <w:t xml:space="preserve">ifying as a Curtailment Customer Aggregator is set forth in ISO procedures. </w:t>
      </w:r>
    </w:p>
    <w:p w:rsidR="0073743B" w:rsidRDefault="001753B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w:t>
      </w:r>
      <w:r>
        <w:rPr>
          <w:szCs w:val="24"/>
        </w:rPr>
        <w:t>ucing demand.</w:t>
      </w:r>
    </w:p>
    <w:p w:rsidR="0073743B" w:rsidRDefault="001753B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w:t>
      </w:r>
      <w:r>
        <w:rPr>
          <w:szCs w:val="24"/>
        </w:rPr>
        <w:t>ure for qualifying as a Curtailment Services Provider is set forth in Section 3 below and in ISO Procedures.</w:t>
      </w:r>
    </w:p>
    <w:p w:rsidR="0073743B" w:rsidRDefault="001753B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w:t>
      </w:r>
      <w:r>
        <w:rPr>
          <w:szCs w:val="24"/>
        </w:rPr>
        <w:t xml:space="preserve"> Emergency Demand Response Program.</w:t>
      </w:r>
    </w:p>
    <w:p w:rsidR="0073743B" w:rsidRDefault="001753B7">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w:t>
      </w:r>
      <w:r>
        <w:rPr>
          <w:szCs w:val="24"/>
        </w:rPr>
        <w:t xml:space="preserve">es provided by the ISO under the ISO Services Tariff; provided, however, that a party taking services under the Tariff pursuant to an unsigned Service Agreement filed with the Commission by the ISO shall be deemed a Customer. </w:t>
      </w:r>
    </w:p>
    <w:p w:rsidR="0073743B" w:rsidRDefault="001753B7">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3B7">
      <w:r>
        <w:separator/>
      </w:r>
    </w:p>
  </w:endnote>
  <w:endnote w:type="continuationSeparator" w:id="0">
    <w:p w:rsidR="00000000" w:rsidRDefault="0017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B3" w:rsidRDefault="001753B7">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B3" w:rsidRDefault="001753B7">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B3" w:rsidRDefault="001753B7">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3B7">
      <w:r>
        <w:separator/>
      </w:r>
    </w:p>
  </w:footnote>
  <w:footnote w:type="continuationSeparator" w:id="0">
    <w:p w:rsidR="00000000" w:rsidRDefault="0017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B3" w:rsidRDefault="001753B7">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B3" w:rsidRDefault="001753B7">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B3" w:rsidRDefault="001753B7">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B2840AA">
      <w:start w:val="1"/>
      <w:numFmt w:val="bullet"/>
      <w:lvlText w:val=""/>
      <w:lvlJc w:val="left"/>
      <w:pPr>
        <w:tabs>
          <w:tab w:val="num" w:pos="720"/>
        </w:tabs>
        <w:ind w:left="720" w:hanging="360"/>
      </w:pPr>
      <w:rPr>
        <w:rFonts w:ascii="Symbol" w:hAnsi="Symbol" w:hint="default"/>
      </w:rPr>
    </w:lvl>
    <w:lvl w:ilvl="1" w:tplc="3F72724E" w:tentative="1">
      <w:start w:val="1"/>
      <w:numFmt w:val="bullet"/>
      <w:lvlText w:val="o"/>
      <w:lvlJc w:val="left"/>
      <w:pPr>
        <w:tabs>
          <w:tab w:val="num" w:pos="1440"/>
        </w:tabs>
        <w:ind w:left="1440" w:hanging="360"/>
      </w:pPr>
      <w:rPr>
        <w:rFonts w:ascii="Courier New" w:hAnsi="Courier New" w:cs="Courier New" w:hint="default"/>
      </w:rPr>
    </w:lvl>
    <w:lvl w:ilvl="2" w:tplc="93743A3A" w:tentative="1">
      <w:start w:val="1"/>
      <w:numFmt w:val="bullet"/>
      <w:lvlText w:val=""/>
      <w:lvlJc w:val="left"/>
      <w:pPr>
        <w:tabs>
          <w:tab w:val="num" w:pos="2160"/>
        </w:tabs>
        <w:ind w:left="2160" w:hanging="360"/>
      </w:pPr>
      <w:rPr>
        <w:rFonts w:ascii="Wingdings" w:hAnsi="Wingdings" w:hint="default"/>
      </w:rPr>
    </w:lvl>
    <w:lvl w:ilvl="3" w:tplc="41E8C468" w:tentative="1">
      <w:start w:val="1"/>
      <w:numFmt w:val="bullet"/>
      <w:lvlText w:val=""/>
      <w:lvlJc w:val="left"/>
      <w:pPr>
        <w:tabs>
          <w:tab w:val="num" w:pos="2880"/>
        </w:tabs>
        <w:ind w:left="2880" w:hanging="360"/>
      </w:pPr>
      <w:rPr>
        <w:rFonts w:ascii="Symbol" w:hAnsi="Symbol" w:hint="default"/>
      </w:rPr>
    </w:lvl>
    <w:lvl w:ilvl="4" w:tplc="795E6ED0" w:tentative="1">
      <w:start w:val="1"/>
      <w:numFmt w:val="bullet"/>
      <w:lvlText w:val="o"/>
      <w:lvlJc w:val="left"/>
      <w:pPr>
        <w:tabs>
          <w:tab w:val="num" w:pos="3600"/>
        </w:tabs>
        <w:ind w:left="3600" w:hanging="360"/>
      </w:pPr>
      <w:rPr>
        <w:rFonts w:ascii="Courier New" w:hAnsi="Courier New" w:cs="Courier New" w:hint="default"/>
      </w:rPr>
    </w:lvl>
    <w:lvl w:ilvl="5" w:tplc="ACDE4890" w:tentative="1">
      <w:start w:val="1"/>
      <w:numFmt w:val="bullet"/>
      <w:lvlText w:val=""/>
      <w:lvlJc w:val="left"/>
      <w:pPr>
        <w:tabs>
          <w:tab w:val="num" w:pos="4320"/>
        </w:tabs>
        <w:ind w:left="4320" w:hanging="360"/>
      </w:pPr>
      <w:rPr>
        <w:rFonts w:ascii="Wingdings" w:hAnsi="Wingdings" w:hint="default"/>
      </w:rPr>
    </w:lvl>
    <w:lvl w:ilvl="6" w:tplc="1DF45A22" w:tentative="1">
      <w:start w:val="1"/>
      <w:numFmt w:val="bullet"/>
      <w:lvlText w:val=""/>
      <w:lvlJc w:val="left"/>
      <w:pPr>
        <w:tabs>
          <w:tab w:val="num" w:pos="5040"/>
        </w:tabs>
        <w:ind w:left="5040" w:hanging="360"/>
      </w:pPr>
      <w:rPr>
        <w:rFonts w:ascii="Symbol" w:hAnsi="Symbol" w:hint="default"/>
      </w:rPr>
    </w:lvl>
    <w:lvl w:ilvl="7" w:tplc="32DEE094" w:tentative="1">
      <w:start w:val="1"/>
      <w:numFmt w:val="bullet"/>
      <w:lvlText w:val="o"/>
      <w:lvlJc w:val="left"/>
      <w:pPr>
        <w:tabs>
          <w:tab w:val="num" w:pos="5760"/>
        </w:tabs>
        <w:ind w:left="5760" w:hanging="360"/>
      </w:pPr>
      <w:rPr>
        <w:rFonts w:ascii="Courier New" w:hAnsi="Courier New" w:cs="Courier New" w:hint="default"/>
      </w:rPr>
    </w:lvl>
    <w:lvl w:ilvl="8" w:tplc="30BC28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4FC2B52">
      <w:start w:val="1"/>
      <w:numFmt w:val="upperLetter"/>
      <w:lvlText w:val="%1."/>
      <w:lvlJc w:val="left"/>
      <w:pPr>
        <w:tabs>
          <w:tab w:val="num" w:pos="1440"/>
        </w:tabs>
        <w:ind w:left="1440" w:hanging="720"/>
      </w:pPr>
      <w:rPr>
        <w:rFonts w:hint="default"/>
      </w:rPr>
    </w:lvl>
    <w:lvl w:ilvl="1" w:tplc="4612A038" w:tentative="1">
      <w:start w:val="1"/>
      <w:numFmt w:val="lowerLetter"/>
      <w:lvlText w:val="%2."/>
      <w:lvlJc w:val="left"/>
      <w:pPr>
        <w:tabs>
          <w:tab w:val="num" w:pos="1800"/>
        </w:tabs>
        <w:ind w:left="1800" w:hanging="360"/>
      </w:pPr>
    </w:lvl>
    <w:lvl w:ilvl="2" w:tplc="2AEAE202" w:tentative="1">
      <w:start w:val="1"/>
      <w:numFmt w:val="lowerRoman"/>
      <w:lvlText w:val="%3."/>
      <w:lvlJc w:val="right"/>
      <w:pPr>
        <w:tabs>
          <w:tab w:val="num" w:pos="2520"/>
        </w:tabs>
        <w:ind w:left="2520" w:hanging="180"/>
      </w:pPr>
    </w:lvl>
    <w:lvl w:ilvl="3" w:tplc="014883CC" w:tentative="1">
      <w:start w:val="1"/>
      <w:numFmt w:val="decimal"/>
      <w:lvlText w:val="%4."/>
      <w:lvlJc w:val="left"/>
      <w:pPr>
        <w:tabs>
          <w:tab w:val="num" w:pos="3240"/>
        </w:tabs>
        <w:ind w:left="3240" w:hanging="360"/>
      </w:pPr>
    </w:lvl>
    <w:lvl w:ilvl="4" w:tplc="9A843876" w:tentative="1">
      <w:start w:val="1"/>
      <w:numFmt w:val="lowerLetter"/>
      <w:lvlText w:val="%5."/>
      <w:lvlJc w:val="left"/>
      <w:pPr>
        <w:tabs>
          <w:tab w:val="num" w:pos="3960"/>
        </w:tabs>
        <w:ind w:left="3960" w:hanging="360"/>
      </w:pPr>
    </w:lvl>
    <w:lvl w:ilvl="5" w:tplc="6CCAE862" w:tentative="1">
      <w:start w:val="1"/>
      <w:numFmt w:val="lowerRoman"/>
      <w:lvlText w:val="%6."/>
      <w:lvlJc w:val="right"/>
      <w:pPr>
        <w:tabs>
          <w:tab w:val="num" w:pos="4680"/>
        </w:tabs>
        <w:ind w:left="4680" w:hanging="180"/>
      </w:pPr>
    </w:lvl>
    <w:lvl w:ilvl="6" w:tplc="9C96CECC" w:tentative="1">
      <w:start w:val="1"/>
      <w:numFmt w:val="decimal"/>
      <w:lvlText w:val="%7."/>
      <w:lvlJc w:val="left"/>
      <w:pPr>
        <w:tabs>
          <w:tab w:val="num" w:pos="5400"/>
        </w:tabs>
        <w:ind w:left="5400" w:hanging="360"/>
      </w:pPr>
    </w:lvl>
    <w:lvl w:ilvl="7" w:tplc="10B66DC8" w:tentative="1">
      <w:start w:val="1"/>
      <w:numFmt w:val="lowerLetter"/>
      <w:lvlText w:val="%8."/>
      <w:lvlJc w:val="left"/>
      <w:pPr>
        <w:tabs>
          <w:tab w:val="num" w:pos="6120"/>
        </w:tabs>
        <w:ind w:left="6120" w:hanging="360"/>
      </w:pPr>
    </w:lvl>
    <w:lvl w:ilvl="8" w:tplc="2B244D7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896F0EA">
      <w:start w:val="3"/>
      <w:numFmt w:val="upperLetter"/>
      <w:lvlText w:val="%1."/>
      <w:lvlJc w:val="left"/>
      <w:pPr>
        <w:tabs>
          <w:tab w:val="num" w:pos="1080"/>
        </w:tabs>
        <w:ind w:left="1080" w:hanging="360"/>
      </w:pPr>
      <w:rPr>
        <w:rFonts w:hint="default"/>
      </w:rPr>
    </w:lvl>
    <w:lvl w:ilvl="1" w:tplc="CCAEB50C" w:tentative="1">
      <w:start w:val="1"/>
      <w:numFmt w:val="lowerLetter"/>
      <w:lvlText w:val="%2."/>
      <w:lvlJc w:val="left"/>
      <w:pPr>
        <w:tabs>
          <w:tab w:val="num" w:pos="1800"/>
        </w:tabs>
        <w:ind w:left="1800" w:hanging="360"/>
      </w:pPr>
    </w:lvl>
    <w:lvl w:ilvl="2" w:tplc="35FA1678" w:tentative="1">
      <w:start w:val="1"/>
      <w:numFmt w:val="lowerRoman"/>
      <w:lvlText w:val="%3."/>
      <w:lvlJc w:val="right"/>
      <w:pPr>
        <w:tabs>
          <w:tab w:val="num" w:pos="2520"/>
        </w:tabs>
        <w:ind w:left="2520" w:hanging="180"/>
      </w:pPr>
    </w:lvl>
    <w:lvl w:ilvl="3" w:tplc="64581AF2" w:tentative="1">
      <w:start w:val="1"/>
      <w:numFmt w:val="decimal"/>
      <w:lvlText w:val="%4."/>
      <w:lvlJc w:val="left"/>
      <w:pPr>
        <w:tabs>
          <w:tab w:val="num" w:pos="3240"/>
        </w:tabs>
        <w:ind w:left="3240" w:hanging="360"/>
      </w:pPr>
    </w:lvl>
    <w:lvl w:ilvl="4" w:tplc="050A96B0" w:tentative="1">
      <w:start w:val="1"/>
      <w:numFmt w:val="lowerLetter"/>
      <w:lvlText w:val="%5."/>
      <w:lvlJc w:val="left"/>
      <w:pPr>
        <w:tabs>
          <w:tab w:val="num" w:pos="3960"/>
        </w:tabs>
        <w:ind w:left="3960" w:hanging="360"/>
      </w:pPr>
    </w:lvl>
    <w:lvl w:ilvl="5" w:tplc="61FA1A08" w:tentative="1">
      <w:start w:val="1"/>
      <w:numFmt w:val="lowerRoman"/>
      <w:lvlText w:val="%6."/>
      <w:lvlJc w:val="right"/>
      <w:pPr>
        <w:tabs>
          <w:tab w:val="num" w:pos="4680"/>
        </w:tabs>
        <w:ind w:left="4680" w:hanging="180"/>
      </w:pPr>
    </w:lvl>
    <w:lvl w:ilvl="6" w:tplc="2520B71A" w:tentative="1">
      <w:start w:val="1"/>
      <w:numFmt w:val="decimal"/>
      <w:lvlText w:val="%7."/>
      <w:lvlJc w:val="left"/>
      <w:pPr>
        <w:tabs>
          <w:tab w:val="num" w:pos="5400"/>
        </w:tabs>
        <w:ind w:left="5400" w:hanging="360"/>
      </w:pPr>
    </w:lvl>
    <w:lvl w:ilvl="7" w:tplc="FAD0BF60" w:tentative="1">
      <w:start w:val="1"/>
      <w:numFmt w:val="lowerLetter"/>
      <w:lvlText w:val="%8."/>
      <w:lvlJc w:val="left"/>
      <w:pPr>
        <w:tabs>
          <w:tab w:val="num" w:pos="6120"/>
        </w:tabs>
        <w:ind w:left="6120" w:hanging="360"/>
      </w:pPr>
    </w:lvl>
    <w:lvl w:ilvl="8" w:tplc="729421F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8262816">
      <w:start w:val="1"/>
      <w:numFmt w:val="bullet"/>
      <w:pStyle w:val="Bulletpara"/>
      <w:lvlText w:val=""/>
      <w:lvlJc w:val="left"/>
      <w:pPr>
        <w:tabs>
          <w:tab w:val="num" w:pos="720"/>
        </w:tabs>
        <w:ind w:left="720" w:hanging="360"/>
      </w:pPr>
      <w:rPr>
        <w:rFonts w:ascii="Symbol" w:hAnsi="Symbol" w:hint="default"/>
      </w:rPr>
    </w:lvl>
    <w:lvl w:ilvl="1" w:tplc="1DF48246" w:tentative="1">
      <w:start w:val="1"/>
      <w:numFmt w:val="bullet"/>
      <w:lvlText w:val="o"/>
      <w:lvlJc w:val="left"/>
      <w:pPr>
        <w:tabs>
          <w:tab w:val="num" w:pos="1440"/>
        </w:tabs>
        <w:ind w:left="1440" w:hanging="360"/>
      </w:pPr>
      <w:rPr>
        <w:rFonts w:ascii="Courier New" w:hAnsi="Courier New" w:cs="Courier New" w:hint="default"/>
      </w:rPr>
    </w:lvl>
    <w:lvl w:ilvl="2" w:tplc="4D1EDC04" w:tentative="1">
      <w:start w:val="1"/>
      <w:numFmt w:val="bullet"/>
      <w:lvlText w:val=""/>
      <w:lvlJc w:val="left"/>
      <w:pPr>
        <w:tabs>
          <w:tab w:val="num" w:pos="2160"/>
        </w:tabs>
        <w:ind w:left="2160" w:hanging="360"/>
      </w:pPr>
      <w:rPr>
        <w:rFonts w:ascii="Wingdings" w:hAnsi="Wingdings" w:hint="default"/>
      </w:rPr>
    </w:lvl>
    <w:lvl w:ilvl="3" w:tplc="0A3024E4" w:tentative="1">
      <w:start w:val="1"/>
      <w:numFmt w:val="bullet"/>
      <w:lvlText w:val=""/>
      <w:lvlJc w:val="left"/>
      <w:pPr>
        <w:tabs>
          <w:tab w:val="num" w:pos="2880"/>
        </w:tabs>
        <w:ind w:left="2880" w:hanging="360"/>
      </w:pPr>
      <w:rPr>
        <w:rFonts w:ascii="Symbol" w:hAnsi="Symbol" w:hint="default"/>
      </w:rPr>
    </w:lvl>
    <w:lvl w:ilvl="4" w:tplc="A356A570" w:tentative="1">
      <w:start w:val="1"/>
      <w:numFmt w:val="bullet"/>
      <w:lvlText w:val="o"/>
      <w:lvlJc w:val="left"/>
      <w:pPr>
        <w:tabs>
          <w:tab w:val="num" w:pos="3600"/>
        </w:tabs>
        <w:ind w:left="3600" w:hanging="360"/>
      </w:pPr>
      <w:rPr>
        <w:rFonts w:ascii="Courier New" w:hAnsi="Courier New" w:cs="Courier New" w:hint="default"/>
      </w:rPr>
    </w:lvl>
    <w:lvl w:ilvl="5" w:tplc="48E28E1A" w:tentative="1">
      <w:start w:val="1"/>
      <w:numFmt w:val="bullet"/>
      <w:lvlText w:val=""/>
      <w:lvlJc w:val="left"/>
      <w:pPr>
        <w:tabs>
          <w:tab w:val="num" w:pos="4320"/>
        </w:tabs>
        <w:ind w:left="4320" w:hanging="360"/>
      </w:pPr>
      <w:rPr>
        <w:rFonts w:ascii="Wingdings" w:hAnsi="Wingdings" w:hint="default"/>
      </w:rPr>
    </w:lvl>
    <w:lvl w:ilvl="6" w:tplc="096019AC" w:tentative="1">
      <w:start w:val="1"/>
      <w:numFmt w:val="bullet"/>
      <w:lvlText w:val=""/>
      <w:lvlJc w:val="left"/>
      <w:pPr>
        <w:tabs>
          <w:tab w:val="num" w:pos="5040"/>
        </w:tabs>
        <w:ind w:left="5040" w:hanging="360"/>
      </w:pPr>
      <w:rPr>
        <w:rFonts w:ascii="Symbol" w:hAnsi="Symbol" w:hint="default"/>
      </w:rPr>
    </w:lvl>
    <w:lvl w:ilvl="7" w:tplc="5EBA8C02" w:tentative="1">
      <w:start w:val="1"/>
      <w:numFmt w:val="bullet"/>
      <w:lvlText w:val="o"/>
      <w:lvlJc w:val="left"/>
      <w:pPr>
        <w:tabs>
          <w:tab w:val="num" w:pos="5760"/>
        </w:tabs>
        <w:ind w:left="5760" w:hanging="360"/>
      </w:pPr>
      <w:rPr>
        <w:rFonts w:ascii="Courier New" w:hAnsi="Courier New" w:cs="Courier New" w:hint="default"/>
      </w:rPr>
    </w:lvl>
    <w:lvl w:ilvl="8" w:tplc="CE481ED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CFE9C46">
      <w:start w:val="2"/>
      <w:numFmt w:val="decimal"/>
      <w:lvlText w:val="(%1)"/>
      <w:lvlJc w:val="left"/>
      <w:pPr>
        <w:tabs>
          <w:tab w:val="num" w:pos="1800"/>
        </w:tabs>
        <w:ind w:left="1800" w:hanging="360"/>
      </w:pPr>
      <w:rPr>
        <w:rFonts w:hint="default"/>
        <w:b w:val="0"/>
        <w:sz w:val="24"/>
      </w:rPr>
    </w:lvl>
    <w:lvl w:ilvl="1" w:tplc="B8A29B6E" w:tentative="1">
      <w:start w:val="1"/>
      <w:numFmt w:val="lowerLetter"/>
      <w:lvlText w:val="%2."/>
      <w:lvlJc w:val="left"/>
      <w:pPr>
        <w:tabs>
          <w:tab w:val="num" w:pos="2520"/>
        </w:tabs>
        <w:ind w:left="2520" w:hanging="360"/>
      </w:pPr>
    </w:lvl>
    <w:lvl w:ilvl="2" w:tplc="5B44A620" w:tentative="1">
      <w:start w:val="1"/>
      <w:numFmt w:val="lowerRoman"/>
      <w:lvlText w:val="%3."/>
      <w:lvlJc w:val="right"/>
      <w:pPr>
        <w:tabs>
          <w:tab w:val="num" w:pos="3240"/>
        </w:tabs>
        <w:ind w:left="3240" w:hanging="180"/>
      </w:pPr>
    </w:lvl>
    <w:lvl w:ilvl="3" w:tplc="A0F45A2A" w:tentative="1">
      <w:start w:val="1"/>
      <w:numFmt w:val="decimal"/>
      <w:lvlText w:val="%4."/>
      <w:lvlJc w:val="left"/>
      <w:pPr>
        <w:tabs>
          <w:tab w:val="num" w:pos="3960"/>
        </w:tabs>
        <w:ind w:left="3960" w:hanging="360"/>
      </w:pPr>
    </w:lvl>
    <w:lvl w:ilvl="4" w:tplc="57443786" w:tentative="1">
      <w:start w:val="1"/>
      <w:numFmt w:val="lowerLetter"/>
      <w:lvlText w:val="%5."/>
      <w:lvlJc w:val="left"/>
      <w:pPr>
        <w:tabs>
          <w:tab w:val="num" w:pos="4680"/>
        </w:tabs>
        <w:ind w:left="4680" w:hanging="360"/>
      </w:pPr>
    </w:lvl>
    <w:lvl w:ilvl="5" w:tplc="9A8A3714" w:tentative="1">
      <w:start w:val="1"/>
      <w:numFmt w:val="lowerRoman"/>
      <w:lvlText w:val="%6."/>
      <w:lvlJc w:val="right"/>
      <w:pPr>
        <w:tabs>
          <w:tab w:val="num" w:pos="5400"/>
        </w:tabs>
        <w:ind w:left="5400" w:hanging="180"/>
      </w:pPr>
    </w:lvl>
    <w:lvl w:ilvl="6" w:tplc="427AC67A" w:tentative="1">
      <w:start w:val="1"/>
      <w:numFmt w:val="decimal"/>
      <w:lvlText w:val="%7."/>
      <w:lvlJc w:val="left"/>
      <w:pPr>
        <w:tabs>
          <w:tab w:val="num" w:pos="6120"/>
        </w:tabs>
        <w:ind w:left="6120" w:hanging="360"/>
      </w:pPr>
    </w:lvl>
    <w:lvl w:ilvl="7" w:tplc="AF865EFA" w:tentative="1">
      <w:start w:val="1"/>
      <w:numFmt w:val="lowerLetter"/>
      <w:lvlText w:val="%8."/>
      <w:lvlJc w:val="left"/>
      <w:pPr>
        <w:tabs>
          <w:tab w:val="num" w:pos="6840"/>
        </w:tabs>
        <w:ind w:left="6840" w:hanging="360"/>
      </w:pPr>
    </w:lvl>
    <w:lvl w:ilvl="8" w:tplc="0D0E1CF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DFABFA4">
      <w:start w:val="1"/>
      <w:numFmt w:val="decimal"/>
      <w:lvlText w:val="(%1)"/>
      <w:lvlJc w:val="left"/>
      <w:pPr>
        <w:tabs>
          <w:tab w:val="num" w:pos="2160"/>
        </w:tabs>
        <w:ind w:left="2160" w:hanging="720"/>
      </w:pPr>
      <w:rPr>
        <w:rFonts w:hint="default"/>
      </w:rPr>
    </w:lvl>
    <w:lvl w:ilvl="1" w:tplc="B08212C4" w:tentative="1">
      <w:start w:val="1"/>
      <w:numFmt w:val="lowerLetter"/>
      <w:lvlText w:val="%2."/>
      <w:lvlJc w:val="left"/>
      <w:pPr>
        <w:tabs>
          <w:tab w:val="num" w:pos="2520"/>
        </w:tabs>
        <w:ind w:left="2520" w:hanging="360"/>
      </w:pPr>
    </w:lvl>
    <w:lvl w:ilvl="2" w:tplc="31CCBB2A" w:tentative="1">
      <w:start w:val="1"/>
      <w:numFmt w:val="lowerRoman"/>
      <w:lvlText w:val="%3."/>
      <w:lvlJc w:val="right"/>
      <w:pPr>
        <w:tabs>
          <w:tab w:val="num" w:pos="3240"/>
        </w:tabs>
        <w:ind w:left="3240" w:hanging="180"/>
      </w:pPr>
    </w:lvl>
    <w:lvl w:ilvl="3" w:tplc="F3022CAE" w:tentative="1">
      <w:start w:val="1"/>
      <w:numFmt w:val="decimal"/>
      <w:lvlText w:val="%4."/>
      <w:lvlJc w:val="left"/>
      <w:pPr>
        <w:tabs>
          <w:tab w:val="num" w:pos="3960"/>
        </w:tabs>
        <w:ind w:left="3960" w:hanging="360"/>
      </w:pPr>
    </w:lvl>
    <w:lvl w:ilvl="4" w:tplc="7A963426" w:tentative="1">
      <w:start w:val="1"/>
      <w:numFmt w:val="lowerLetter"/>
      <w:lvlText w:val="%5."/>
      <w:lvlJc w:val="left"/>
      <w:pPr>
        <w:tabs>
          <w:tab w:val="num" w:pos="4680"/>
        </w:tabs>
        <w:ind w:left="4680" w:hanging="360"/>
      </w:pPr>
    </w:lvl>
    <w:lvl w:ilvl="5" w:tplc="0088D614" w:tentative="1">
      <w:start w:val="1"/>
      <w:numFmt w:val="lowerRoman"/>
      <w:lvlText w:val="%6."/>
      <w:lvlJc w:val="right"/>
      <w:pPr>
        <w:tabs>
          <w:tab w:val="num" w:pos="5400"/>
        </w:tabs>
        <w:ind w:left="5400" w:hanging="180"/>
      </w:pPr>
    </w:lvl>
    <w:lvl w:ilvl="6" w:tplc="5ED46054" w:tentative="1">
      <w:start w:val="1"/>
      <w:numFmt w:val="decimal"/>
      <w:lvlText w:val="%7."/>
      <w:lvlJc w:val="left"/>
      <w:pPr>
        <w:tabs>
          <w:tab w:val="num" w:pos="6120"/>
        </w:tabs>
        <w:ind w:left="6120" w:hanging="360"/>
      </w:pPr>
    </w:lvl>
    <w:lvl w:ilvl="7" w:tplc="CDBC555A" w:tentative="1">
      <w:start w:val="1"/>
      <w:numFmt w:val="lowerLetter"/>
      <w:lvlText w:val="%8."/>
      <w:lvlJc w:val="left"/>
      <w:pPr>
        <w:tabs>
          <w:tab w:val="num" w:pos="6840"/>
        </w:tabs>
        <w:ind w:left="6840" w:hanging="360"/>
      </w:pPr>
    </w:lvl>
    <w:lvl w:ilvl="8" w:tplc="CD5A7AE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7062B32">
      <w:start w:val="1"/>
      <w:numFmt w:val="bullet"/>
      <w:lvlText w:val="­"/>
      <w:lvlJc w:val="left"/>
      <w:pPr>
        <w:tabs>
          <w:tab w:val="num" w:pos="720"/>
        </w:tabs>
        <w:ind w:left="720" w:hanging="360"/>
      </w:pPr>
      <w:rPr>
        <w:rFonts w:ascii="Courier New" w:hAnsi="Courier New" w:hint="default"/>
      </w:rPr>
    </w:lvl>
    <w:lvl w:ilvl="1" w:tplc="9E2EE1A2" w:tentative="1">
      <w:start w:val="1"/>
      <w:numFmt w:val="bullet"/>
      <w:lvlText w:val="o"/>
      <w:lvlJc w:val="left"/>
      <w:pPr>
        <w:tabs>
          <w:tab w:val="num" w:pos="1440"/>
        </w:tabs>
        <w:ind w:left="1440" w:hanging="360"/>
      </w:pPr>
      <w:rPr>
        <w:rFonts w:ascii="Courier New" w:hAnsi="Courier New" w:cs="Courier New" w:hint="default"/>
      </w:rPr>
    </w:lvl>
    <w:lvl w:ilvl="2" w:tplc="B5E6B6BC" w:tentative="1">
      <w:start w:val="1"/>
      <w:numFmt w:val="bullet"/>
      <w:lvlText w:val=""/>
      <w:lvlJc w:val="left"/>
      <w:pPr>
        <w:tabs>
          <w:tab w:val="num" w:pos="2160"/>
        </w:tabs>
        <w:ind w:left="2160" w:hanging="360"/>
      </w:pPr>
      <w:rPr>
        <w:rFonts w:ascii="Wingdings" w:hAnsi="Wingdings" w:hint="default"/>
      </w:rPr>
    </w:lvl>
    <w:lvl w:ilvl="3" w:tplc="F94A50B6" w:tentative="1">
      <w:start w:val="1"/>
      <w:numFmt w:val="bullet"/>
      <w:lvlText w:val=""/>
      <w:lvlJc w:val="left"/>
      <w:pPr>
        <w:tabs>
          <w:tab w:val="num" w:pos="2880"/>
        </w:tabs>
        <w:ind w:left="2880" w:hanging="360"/>
      </w:pPr>
      <w:rPr>
        <w:rFonts w:ascii="Symbol" w:hAnsi="Symbol" w:hint="default"/>
      </w:rPr>
    </w:lvl>
    <w:lvl w:ilvl="4" w:tplc="D70EDB0C" w:tentative="1">
      <w:start w:val="1"/>
      <w:numFmt w:val="bullet"/>
      <w:lvlText w:val="o"/>
      <w:lvlJc w:val="left"/>
      <w:pPr>
        <w:tabs>
          <w:tab w:val="num" w:pos="3600"/>
        </w:tabs>
        <w:ind w:left="3600" w:hanging="360"/>
      </w:pPr>
      <w:rPr>
        <w:rFonts w:ascii="Courier New" w:hAnsi="Courier New" w:cs="Courier New" w:hint="default"/>
      </w:rPr>
    </w:lvl>
    <w:lvl w:ilvl="5" w:tplc="DF508380" w:tentative="1">
      <w:start w:val="1"/>
      <w:numFmt w:val="bullet"/>
      <w:lvlText w:val=""/>
      <w:lvlJc w:val="left"/>
      <w:pPr>
        <w:tabs>
          <w:tab w:val="num" w:pos="4320"/>
        </w:tabs>
        <w:ind w:left="4320" w:hanging="360"/>
      </w:pPr>
      <w:rPr>
        <w:rFonts w:ascii="Wingdings" w:hAnsi="Wingdings" w:hint="default"/>
      </w:rPr>
    </w:lvl>
    <w:lvl w:ilvl="6" w:tplc="61A21542" w:tentative="1">
      <w:start w:val="1"/>
      <w:numFmt w:val="bullet"/>
      <w:lvlText w:val=""/>
      <w:lvlJc w:val="left"/>
      <w:pPr>
        <w:tabs>
          <w:tab w:val="num" w:pos="5040"/>
        </w:tabs>
        <w:ind w:left="5040" w:hanging="360"/>
      </w:pPr>
      <w:rPr>
        <w:rFonts w:ascii="Symbol" w:hAnsi="Symbol" w:hint="default"/>
      </w:rPr>
    </w:lvl>
    <w:lvl w:ilvl="7" w:tplc="0C6610F4" w:tentative="1">
      <w:start w:val="1"/>
      <w:numFmt w:val="bullet"/>
      <w:lvlText w:val="o"/>
      <w:lvlJc w:val="left"/>
      <w:pPr>
        <w:tabs>
          <w:tab w:val="num" w:pos="5760"/>
        </w:tabs>
        <w:ind w:left="5760" w:hanging="360"/>
      </w:pPr>
      <w:rPr>
        <w:rFonts w:ascii="Courier New" w:hAnsi="Courier New" w:cs="Courier New" w:hint="default"/>
      </w:rPr>
    </w:lvl>
    <w:lvl w:ilvl="8" w:tplc="AB4051D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1F0B1BE">
      <w:start w:val="1"/>
      <w:numFmt w:val="lowerRoman"/>
      <w:lvlText w:val="(%1)"/>
      <w:lvlJc w:val="left"/>
      <w:pPr>
        <w:tabs>
          <w:tab w:val="num" w:pos="1440"/>
        </w:tabs>
        <w:ind w:left="1440" w:hanging="720"/>
      </w:pPr>
      <w:rPr>
        <w:rFonts w:hint="default"/>
      </w:rPr>
    </w:lvl>
    <w:lvl w:ilvl="1" w:tplc="67302E8E" w:tentative="1">
      <w:start w:val="1"/>
      <w:numFmt w:val="lowerLetter"/>
      <w:lvlText w:val="%2."/>
      <w:lvlJc w:val="left"/>
      <w:pPr>
        <w:tabs>
          <w:tab w:val="num" w:pos="1800"/>
        </w:tabs>
        <w:ind w:left="1800" w:hanging="360"/>
      </w:pPr>
    </w:lvl>
    <w:lvl w:ilvl="2" w:tplc="471A2240" w:tentative="1">
      <w:start w:val="1"/>
      <w:numFmt w:val="lowerRoman"/>
      <w:lvlText w:val="%3."/>
      <w:lvlJc w:val="right"/>
      <w:pPr>
        <w:tabs>
          <w:tab w:val="num" w:pos="2520"/>
        </w:tabs>
        <w:ind w:left="2520" w:hanging="180"/>
      </w:pPr>
    </w:lvl>
    <w:lvl w:ilvl="3" w:tplc="5ADC0824" w:tentative="1">
      <w:start w:val="1"/>
      <w:numFmt w:val="decimal"/>
      <w:lvlText w:val="%4."/>
      <w:lvlJc w:val="left"/>
      <w:pPr>
        <w:tabs>
          <w:tab w:val="num" w:pos="3240"/>
        </w:tabs>
        <w:ind w:left="3240" w:hanging="360"/>
      </w:pPr>
    </w:lvl>
    <w:lvl w:ilvl="4" w:tplc="A77CAAB6" w:tentative="1">
      <w:start w:val="1"/>
      <w:numFmt w:val="lowerLetter"/>
      <w:lvlText w:val="%5."/>
      <w:lvlJc w:val="left"/>
      <w:pPr>
        <w:tabs>
          <w:tab w:val="num" w:pos="3960"/>
        </w:tabs>
        <w:ind w:left="3960" w:hanging="360"/>
      </w:pPr>
    </w:lvl>
    <w:lvl w:ilvl="5" w:tplc="763C36D0" w:tentative="1">
      <w:start w:val="1"/>
      <w:numFmt w:val="lowerRoman"/>
      <w:lvlText w:val="%6."/>
      <w:lvlJc w:val="right"/>
      <w:pPr>
        <w:tabs>
          <w:tab w:val="num" w:pos="4680"/>
        </w:tabs>
        <w:ind w:left="4680" w:hanging="180"/>
      </w:pPr>
    </w:lvl>
    <w:lvl w:ilvl="6" w:tplc="57943336" w:tentative="1">
      <w:start w:val="1"/>
      <w:numFmt w:val="decimal"/>
      <w:lvlText w:val="%7."/>
      <w:lvlJc w:val="left"/>
      <w:pPr>
        <w:tabs>
          <w:tab w:val="num" w:pos="5400"/>
        </w:tabs>
        <w:ind w:left="5400" w:hanging="360"/>
      </w:pPr>
    </w:lvl>
    <w:lvl w:ilvl="7" w:tplc="EC806FF0" w:tentative="1">
      <w:start w:val="1"/>
      <w:numFmt w:val="lowerLetter"/>
      <w:lvlText w:val="%8."/>
      <w:lvlJc w:val="left"/>
      <w:pPr>
        <w:tabs>
          <w:tab w:val="num" w:pos="6120"/>
        </w:tabs>
        <w:ind w:left="6120" w:hanging="360"/>
      </w:pPr>
    </w:lvl>
    <w:lvl w:ilvl="8" w:tplc="D862AC3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E867E70">
      <w:start w:val="1"/>
      <w:numFmt w:val="lowerRoman"/>
      <w:lvlText w:val="(%1)"/>
      <w:lvlJc w:val="left"/>
      <w:pPr>
        <w:tabs>
          <w:tab w:val="num" w:pos="2448"/>
        </w:tabs>
        <w:ind w:left="2448" w:hanging="648"/>
      </w:pPr>
      <w:rPr>
        <w:rFonts w:hint="default"/>
        <w:b w:val="0"/>
        <w:i w:val="0"/>
        <w:u w:val="none"/>
      </w:rPr>
    </w:lvl>
    <w:lvl w:ilvl="1" w:tplc="2D2078EC" w:tentative="1">
      <w:start w:val="1"/>
      <w:numFmt w:val="lowerLetter"/>
      <w:lvlText w:val="%2."/>
      <w:lvlJc w:val="left"/>
      <w:pPr>
        <w:tabs>
          <w:tab w:val="num" w:pos="1440"/>
        </w:tabs>
        <w:ind w:left="1440" w:hanging="360"/>
      </w:pPr>
    </w:lvl>
    <w:lvl w:ilvl="2" w:tplc="8CF64266" w:tentative="1">
      <w:start w:val="1"/>
      <w:numFmt w:val="lowerRoman"/>
      <w:lvlText w:val="%3."/>
      <w:lvlJc w:val="right"/>
      <w:pPr>
        <w:tabs>
          <w:tab w:val="num" w:pos="2160"/>
        </w:tabs>
        <w:ind w:left="2160" w:hanging="180"/>
      </w:pPr>
    </w:lvl>
    <w:lvl w:ilvl="3" w:tplc="C0003F46" w:tentative="1">
      <w:start w:val="1"/>
      <w:numFmt w:val="decimal"/>
      <w:lvlText w:val="%4."/>
      <w:lvlJc w:val="left"/>
      <w:pPr>
        <w:tabs>
          <w:tab w:val="num" w:pos="2880"/>
        </w:tabs>
        <w:ind w:left="2880" w:hanging="360"/>
      </w:pPr>
    </w:lvl>
    <w:lvl w:ilvl="4" w:tplc="EE14FF76" w:tentative="1">
      <w:start w:val="1"/>
      <w:numFmt w:val="lowerLetter"/>
      <w:lvlText w:val="%5."/>
      <w:lvlJc w:val="left"/>
      <w:pPr>
        <w:tabs>
          <w:tab w:val="num" w:pos="3600"/>
        </w:tabs>
        <w:ind w:left="3600" w:hanging="360"/>
      </w:pPr>
    </w:lvl>
    <w:lvl w:ilvl="5" w:tplc="F88CAFE4" w:tentative="1">
      <w:start w:val="1"/>
      <w:numFmt w:val="lowerRoman"/>
      <w:lvlText w:val="%6."/>
      <w:lvlJc w:val="right"/>
      <w:pPr>
        <w:tabs>
          <w:tab w:val="num" w:pos="4320"/>
        </w:tabs>
        <w:ind w:left="4320" w:hanging="180"/>
      </w:pPr>
    </w:lvl>
    <w:lvl w:ilvl="6" w:tplc="2A06A3EE" w:tentative="1">
      <w:start w:val="1"/>
      <w:numFmt w:val="decimal"/>
      <w:lvlText w:val="%7."/>
      <w:lvlJc w:val="left"/>
      <w:pPr>
        <w:tabs>
          <w:tab w:val="num" w:pos="5040"/>
        </w:tabs>
        <w:ind w:left="5040" w:hanging="360"/>
      </w:pPr>
    </w:lvl>
    <w:lvl w:ilvl="7" w:tplc="77CC427A" w:tentative="1">
      <w:start w:val="1"/>
      <w:numFmt w:val="lowerLetter"/>
      <w:lvlText w:val="%8."/>
      <w:lvlJc w:val="left"/>
      <w:pPr>
        <w:tabs>
          <w:tab w:val="num" w:pos="5760"/>
        </w:tabs>
        <w:ind w:left="5760" w:hanging="360"/>
      </w:pPr>
    </w:lvl>
    <w:lvl w:ilvl="8" w:tplc="CF0EC97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908D8C8">
      <w:start w:val="1"/>
      <w:numFmt w:val="lowerLetter"/>
      <w:lvlText w:val="%1."/>
      <w:lvlJc w:val="left"/>
      <w:pPr>
        <w:tabs>
          <w:tab w:val="num" w:pos="2160"/>
        </w:tabs>
        <w:ind w:left="2160" w:hanging="720"/>
      </w:pPr>
      <w:rPr>
        <w:rFonts w:hint="default"/>
      </w:rPr>
    </w:lvl>
    <w:lvl w:ilvl="1" w:tplc="2054A252" w:tentative="1">
      <w:start w:val="1"/>
      <w:numFmt w:val="lowerLetter"/>
      <w:lvlText w:val="%2."/>
      <w:lvlJc w:val="left"/>
      <w:pPr>
        <w:tabs>
          <w:tab w:val="num" w:pos="2520"/>
        </w:tabs>
        <w:ind w:left="2520" w:hanging="360"/>
      </w:pPr>
    </w:lvl>
    <w:lvl w:ilvl="2" w:tplc="9894F8C0" w:tentative="1">
      <w:start w:val="1"/>
      <w:numFmt w:val="lowerRoman"/>
      <w:lvlText w:val="%3."/>
      <w:lvlJc w:val="right"/>
      <w:pPr>
        <w:tabs>
          <w:tab w:val="num" w:pos="3240"/>
        </w:tabs>
        <w:ind w:left="3240" w:hanging="180"/>
      </w:pPr>
    </w:lvl>
    <w:lvl w:ilvl="3" w:tplc="74A8ECEA" w:tentative="1">
      <w:start w:val="1"/>
      <w:numFmt w:val="decimal"/>
      <w:lvlText w:val="%4."/>
      <w:lvlJc w:val="left"/>
      <w:pPr>
        <w:tabs>
          <w:tab w:val="num" w:pos="3960"/>
        </w:tabs>
        <w:ind w:left="3960" w:hanging="360"/>
      </w:pPr>
    </w:lvl>
    <w:lvl w:ilvl="4" w:tplc="6DC22A34" w:tentative="1">
      <w:start w:val="1"/>
      <w:numFmt w:val="lowerLetter"/>
      <w:lvlText w:val="%5."/>
      <w:lvlJc w:val="left"/>
      <w:pPr>
        <w:tabs>
          <w:tab w:val="num" w:pos="4680"/>
        </w:tabs>
        <w:ind w:left="4680" w:hanging="360"/>
      </w:pPr>
    </w:lvl>
    <w:lvl w:ilvl="5" w:tplc="92F8DA4A" w:tentative="1">
      <w:start w:val="1"/>
      <w:numFmt w:val="lowerRoman"/>
      <w:lvlText w:val="%6."/>
      <w:lvlJc w:val="right"/>
      <w:pPr>
        <w:tabs>
          <w:tab w:val="num" w:pos="5400"/>
        </w:tabs>
        <w:ind w:left="5400" w:hanging="180"/>
      </w:pPr>
    </w:lvl>
    <w:lvl w:ilvl="6" w:tplc="DB34EC9E" w:tentative="1">
      <w:start w:val="1"/>
      <w:numFmt w:val="decimal"/>
      <w:lvlText w:val="%7."/>
      <w:lvlJc w:val="left"/>
      <w:pPr>
        <w:tabs>
          <w:tab w:val="num" w:pos="6120"/>
        </w:tabs>
        <w:ind w:left="6120" w:hanging="360"/>
      </w:pPr>
    </w:lvl>
    <w:lvl w:ilvl="7" w:tplc="262CAA22" w:tentative="1">
      <w:start w:val="1"/>
      <w:numFmt w:val="lowerLetter"/>
      <w:lvlText w:val="%8."/>
      <w:lvlJc w:val="left"/>
      <w:pPr>
        <w:tabs>
          <w:tab w:val="num" w:pos="6840"/>
        </w:tabs>
        <w:ind w:left="6840" w:hanging="360"/>
      </w:pPr>
    </w:lvl>
    <w:lvl w:ilvl="8" w:tplc="64100E0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9E2D2DE">
      <w:start w:val="1"/>
      <w:numFmt w:val="bullet"/>
      <w:lvlText w:val=""/>
      <w:lvlJc w:val="left"/>
      <w:pPr>
        <w:tabs>
          <w:tab w:val="num" w:pos="5760"/>
        </w:tabs>
        <w:ind w:left="5760" w:hanging="360"/>
      </w:pPr>
      <w:rPr>
        <w:rFonts w:ascii="Symbol" w:hAnsi="Symbol" w:hint="default"/>
        <w:color w:val="auto"/>
        <w:u w:val="none"/>
      </w:rPr>
    </w:lvl>
    <w:lvl w:ilvl="1" w:tplc="38464648" w:tentative="1">
      <w:start w:val="1"/>
      <w:numFmt w:val="bullet"/>
      <w:lvlText w:val="o"/>
      <w:lvlJc w:val="left"/>
      <w:pPr>
        <w:tabs>
          <w:tab w:val="num" w:pos="3600"/>
        </w:tabs>
        <w:ind w:left="3600" w:hanging="360"/>
      </w:pPr>
      <w:rPr>
        <w:rFonts w:ascii="Courier New" w:hAnsi="Courier New" w:hint="default"/>
      </w:rPr>
    </w:lvl>
    <w:lvl w:ilvl="2" w:tplc="9E1625A0" w:tentative="1">
      <w:start w:val="1"/>
      <w:numFmt w:val="bullet"/>
      <w:lvlText w:val=""/>
      <w:lvlJc w:val="left"/>
      <w:pPr>
        <w:tabs>
          <w:tab w:val="num" w:pos="4320"/>
        </w:tabs>
        <w:ind w:left="4320" w:hanging="360"/>
      </w:pPr>
      <w:rPr>
        <w:rFonts w:ascii="Wingdings" w:hAnsi="Wingdings" w:hint="default"/>
      </w:rPr>
    </w:lvl>
    <w:lvl w:ilvl="3" w:tplc="F2901B84">
      <w:start w:val="1"/>
      <w:numFmt w:val="bullet"/>
      <w:lvlText w:val=""/>
      <w:lvlJc w:val="left"/>
      <w:pPr>
        <w:tabs>
          <w:tab w:val="num" w:pos="5040"/>
        </w:tabs>
        <w:ind w:left="5040" w:hanging="360"/>
      </w:pPr>
      <w:rPr>
        <w:rFonts w:ascii="Symbol" w:hAnsi="Symbol" w:hint="default"/>
      </w:rPr>
    </w:lvl>
    <w:lvl w:ilvl="4" w:tplc="200025A8" w:tentative="1">
      <w:start w:val="1"/>
      <w:numFmt w:val="bullet"/>
      <w:lvlText w:val="o"/>
      <w:lvlJc w:val="left"/>
      <w:pPr>
        <w:tabs>
          <w:tab w:val="num" w:pos="5760"/>
        </w:tabs>
        <w:ind w:left="5760" w:hanging="360"/>
      </w:pPr>
      <w:rPr>
        <w:rFonts w:ascii="Courier New" w:hAnsi="Courier New" w:hint="default"/>
      </w:rPr>
    </w:lvl>
    <w:lvl w:ilvl="5" w:tplc="085E8126" w:tentative="1">
      <w:start w:val="1"/>
      <w:numFmt w:val="bullet"/>
      <w:lvlText w:val=""/>
      <w:lvlJc w:val="left"/>
      <w:pPr>
        <w:tabs>
          <w:tab w:val="num" w:pos="6480"/>
        </w:tabs>
        <w:ind w:left="6480" w:hanging="360"/>
      </w:pPr>
      <w:rPr>
        <w:rFonts w:ascii="Wingdings" w:hAnsi="Wingdings" w:hint="default"/>
      </w:rPr>
    </w:lvl>
    <w:lvl w:ilvl="6" w:tplc="2EA49D64" w:tentative="1">
      <w:start w:val="1"/>
      <w:numFmt w:val="bullet"/>
      <w:lvlText w:val=""/>
      <w:lvlJc w:val="left"/>
      <w:pPr>
        <w:tabs>
          <w:tab w:val="num" w:pos="7200"/>
        </w:tabs>
        <w:ind w:left="7200" w:hanging="360"/>
      </w:pPr>
      <w:rPr>
        <w:rFonts w:ascii="Symbol" w:hAnsi="Symbol" w:hint="default"/>
      </w:rPr>
    </w:lvl>
    <w:lvl w:ilvl="7" w:tplc="B42A23A0" w:tentative="1">
      <w:start w:val="1"/>
      <w:numFmt w:val="bullet"/>
      <w:lvlText w:val="o"/>
      <w:lvlJc w:val="left"/>
      <w:pPr>
        <w:tabs>
          <w:tab w:val="num" w:pos="7920"/>
        </w:tabs>
        <w:ind w:left="7920" w:hanging="360"/>
      </w:pPr>
      <w:rPr>
        <w:rFonts w:ascii="Courier New" w:hAnsi="Courier New" w:hint="default"/>
      </w:rPr>
    </w:lvl>
    <w:lvl w:ilvl="8" w:tplc="1B6EC4A0"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EB0A7D2A">
      <w:start w:val="1"/>
      <w:numFmt w:val="bullet"/>
      <w:lvlText w:val=""/>
      <w:lvlJc w:val="left"/>
      <w:pPr>
        <w:tabs>
          <w:tab w:val="num" w:pos="720"/>
        </w:tabs>
        <w:ind w:left="720" w:hanging="360"/>
      </w:pPr>
      <w:rPr>
        <w:rFonts w:ascii="Symbol" w:hAnsi="Symbol" w:hint="default"/>
      </w:rPr>
    </w:lvl>
    <w:lvl w:ilvl="1" w:tplc="2C762D6E" w:tentative="1">
      <w:start w:val="1"/>
      <w:numFmt w:val="bullet"/>
      <w:lvlText w:val="o"/>
      <w:lvlJc w:val="left"/>
      <w:pPr>
        <w:tabs>
          <w:tab w:val="num" w:pos="1440"/>
        </w:tabs>
        <w:ind w:left="1440" w:hanging="360"/>
      </w:pPr>
      <w:rPr>
        <w:rFonts w:ascii="Courier New" w:hAnsi="Courier New" w:hint="default"/>
      </w:rPr>
    </w:lvl>
    <w:lvl w:ilvl="2" w:tplc="578048A6" w:tentative="1">
      <w:start w:val="1"/>
      <w:numFmt w:val="bullet"/>
      <w:lvlText w:val=""/>
      <w:lvlJc w:val="left"/>
      <w:pPr>
        <w:tabs>
          <w:tab w:val="num" w:pos="2160"/>
        </w:tabs>
        <w:ind w:left="2160" w:hanging="360"/>
      </w:pPr>
      <w:rPr>
        <w:rFonts w:ascii="Wingdings" w:hAnsi="Wingdings" w:hint="default"/>
      </w:rPr>
    </w:lvl>
    <w:lvl w:ilvl="3" w:tplc="57D4EB3E" w:tentative="1">
      <w:start w:val="1"/>
      <w:numFmt w:val="bullet"/>
      <w:lvlText w:val=""/>
      <w:lvlJc w:val="left"/>
      <w:pPr>
        <w:tabs>
          <w:tab w:val="num" w:pos="2880"/>
        </w:tabs>
        <w:ind w:left="2880" w:hanging="360"/>
      </w:pPr>
      <w:rPr>
        <w:rFonts w:ascii="Symbol" w:hAnsi="Symbol" w:hint="default"/>
      </w:rPr>
    </w:lvl>
    <w:lvl w:ilvl="4" w:tplc="573CE9EA" w:tentative="1">
      <w:start w:val="1"/>
      <w:numFmt w:val="bullet"/>
      <w:lvlText w:val="o"/>
      <w:lvlJc w:val="left"/>
      <w:pPr>
        <w:tabs>
          <w:tab w:val="num" w:pos="3600"/>
        </w:tabs>
        <w:ind w:left="3600" w:hanging="360"/>
      </w:pPr>
      <w:rPr>
        <w:rFonts w:ascii="Courier New" w:hAnsi="Courier New" w:hint="default"/>
      </w:rPr>
    </w:lvl>
    <w:lvl w:ilvl="5" w:tplc="3A22A2E0" w:tentative="1">
      <w:start w:val="1"/>
      <w:numFmt w:val="bullet"/>
      <w:lvlText w:val=""/>
      <w:lvlJc w:val="left"/>
      <w:pPr>
        <w:tabs>
          <w:tab w:val="num" w:pos="4320"/>
        </w:tabs>
        <w:ind w:left="4320" w:hanging="360"/>
      </w:pPr>
      <w:rPr>
        <w:rFonts w:ascii="Wingdings" w:hAnsi="Wingdings" w:hint="default"/>
      </w:rPr>
    </w:lvl>
    <w:lvl w:ilvl="6" w:tplc="D9669C78" w:tentative="1">
      <w:start w:val="1"/>
      <w:numFmt w:val="bullet"/>
      <w:lvlText w:val=""/>
      <w:lvlJc w:val="left"/>
      <w:pPr>
        <w:tabs>
          <w:tab w:val="num" w:pos="5040"/>
        </w:tabs>
        <w:ind w:left="5040" w:hanging="360"/>
      </w:pPr>
      <w:rPr>
        <w:rFonts w:ascii="Symbol" w:hAnsi="Symbol" w:hint="default"/>
      </w:rPr>
    </w:lvl>
    <w:lvl w:ilvl="7" w:tplc="258CE99E" w:tentative="1">
      <w:start w:val="1"/>
      <w:numFmt w:val="bullet"/>
      <w:lvlText w:val="o"/>
      <w:lvlJc w:val="left"/>
      <w:pPr>
        <w:tabs>
          <w:tab w:val="num" w:pos="5760"/>
        </w:tabs>
        <w:ind w:left="5760" w:hanging="360"/>
      </w:pPr>
      <w:rPr>
        <w:rFonts w:ascii="Courier New" w:hAnsi="Courier New" w:hint="default"/>
      </w:rPr>
    </w:lvl>
    <w:lvl w:ilvl="8" w:tplc="EA125AF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3A16EB8A">
      <w:start w:val="6"/>
      <w:numFmt w:val="lowerRoman"/>
      <w:lvlText w:val="(%1)"/>
      <w:lvlJc w:val="left"/>
      <w:pPr>
        <w:tabs>
          <w:tab w:val="num" w:pos="1440"/>
        </w:tabs>
        <w:ind w:left="1440" w:hanging="720"/>
      </w:pPr>
      <w:rPr>
        <w:rFonts w:hint="default"/>
        <w:u w:val="double"/>
      </w:rPr>
    </w:lvl>
    <w:lvl w:ilvl="1" w:tplc="8E52747C" w:tentative="1">
      <w:start w:val="1"/>
      <w:numFmt w:val="lowerLetter"/>
      <w:lvlText w:val="%2."/>
      <w:lvlJc w:val="left"/>
      <w:pPr>
        <w:tabs>
          <w:tab w:val="num" w:pos="1800"/>
        </w:tabs>
        <w:ind w:left="1800" w:hanging="360"/>
      </w:pPr>
    </w:lvl>
    <w:lvl w:ilvl="2" w:tplc="5DF0314E" w:tentative="1">
      <w:start w:val="1"/>
      <w:numFmt w:val="lowerRoman"/>
      <w:lvlText w:val="%3."/>
      <w:lvlJc w:val="right"/>
      <w:pPr>
        <w:tabs>
          <w:tab w:val="num" w:pos="2520"/>
        </w:tabs>
        <w:ind w:left="2520" w:hanging="180"/>
      </w:pPr>
    </w:lvl>
    <w:lvl w:ilvl="3" w:tplc="DF36AD80" w:tentative="1">
      <w:start w:val="1"/>
      <w:numFmt w:val="decimal"/>
      <w:lvlText w:val="%4."/>
      <w:lvlJc w:val="left"/>
      <w:pPr>
        <w:tabs>
          <w:tab w:val="num" w:pos="3240"/>
        </w:tabs>
        <w:ind w:left="3240" w:hanging="360"/>
      </w:pPr>
    </w:lvl>
    <w:lvl w:ilvl="4" w:tplc="95BCE03A" w:tentative="1">
      <w:start w:val="1"/>
      <w:numFmt w:val="lowerLetter"/>
      <w:lvlText w:val="%5."/>
      <w:lvlJc w:val="left"/>
      <w:pPr>
        <w:tabs>
          <w:tab w:val="num" w:pos="3960"/>
        </w:tabs>
        <w:ind w:left="3960" w:hanging="360"/>
      </w:pPr>
    </w:lvl>
    <w:lvl w:ilvl="5" w:tplc="BFB88BD0" w:tentative="1">
      <w:start w:val="1"/>
      <w:numFmt w:val="lowerRoman"/>
      <w:lvlText w:val="%6."/>
      <w:lvlJc w:val="right"/>
      <w:pPr>
        <w:tabs>
          <w:tab w:val="num" w:pos="4680"/>
        </w:tabs>
        <w:ind w:left="4680" w:hanging="180"/>
      </w:pPr>
    </w:lvl>
    <w:lvl w:ilvl="6" w:tplc="34F60CCC" w:tentative="1">
      <w:start w:val="1"/>
      <w:numFmt w:val="decimal"/>
      <w:lvlText w:val="%7."/>
      <w:lvlJc w:val="left"/>
      <w:pPr>
        <w:tabs>
          <w:tab w:val="num" w:pos="5400"/>
        </w:tabs>
        <w:ind w:left="5400" w:hanging="360"/>
      </w:pPr>
    </w:lvl>
    <w:lvl w:ilvl="7" w:tplc="4BFEBEF6" w:tentative="1">
      <w:start w:val="1"/>
      <w:numFmt w:val="lowerLetter"/>
      <w:lvlText w:val="%8."/>
      <w:lvlJc w:val="left"/>
      <w:pPr>
        <w:tabs>
          <w:tab w:val="num" w:pos="6120"/>
        </w:tabs>
        <w:ind w:left="6120" w:hanging="360"/>
      </w:pPr>
    </w:lvl>
    <w:lvl w:ilvl="8" w:tplc="738C469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B3"/>
    <w:rsid w:val="000B7FB3"/>
    <w:rsid w:val="0017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13ECE2-8842-425A-84B1-2482D1B8540B}">
  <ds:schemaRefs>
    <ds:schemaRef ds:uri="http://schemas.openxmlformats.org/officeDocument/2006/bibliography"/>
  </ds:schemaRefs>
</ds:datastoreItem>
</file>

<file path=customXml/itemProps2.xml><?xml version="1.0" encoding="utf-8"?>
<ds:datastoreItem xmlns:ds="http://schemas.openxmlformats.org/officeDocument/2006/customXml" ds:itemID="{000BB059-6E9F-4BF9-81CF-A61A3834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2587</Words>
  <Characters>14748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2021-10-26T14:12:00Z</cp:lastPrinted>
  <dcterms:created xsi:type="dcterms:W3CDTF">2022-11-01T19:00:00Z</dcterms:created>
  <dcterms:modified xsi:type="dcterms:W3CDTF">2022-11-01T19:00:00Z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b4b65dd4-6c02-4bc9-981a-a593a05aa982_ActionId">
    <vt:lpwstr>63df338c-25e5-4e8b-82d9-b0545fc8c700</vt:lpwstr>
  </property>
  <property fmtid="{D5CDD505-2E9C-101B-9397-08002B2CF9AE}" pid="6" name="MSIP_Label_b4b65dd4-6c02-4bc9-981a-a593a05aa982_ContentBits">
    <vt:lpwstr>0</vt:lpwstr>
  </property>
  <property fmtid="{D5CDD505-2E9C-101B-9397-08002B2CF9AE}" pid="7" name="MSIP_Label_b4b65dd4-6c02-4bc9-981a-a593a05aa982_Enabled">
    <vt:lpwstr>true</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etDate">
    <vt:lpwstr>2022-03-11T17:06:06Z</vt:lpwstr>
  </property>
  <property fmtid="{D5CDD505-2E9C-101B-9397-08002B2CF9AE}" pid="11" name="MSIP_Label_b4b65dd4-6c02-4bc9-981a-a593a05aa982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-218205405</vt:i4>
  </property>
  <property fmtid="{D5CDD505-2E9C-101B-9397-08002B2CF9AE}" pid="14" name="_AuthorEmail">
    <vt:lpwstr>MAkter@nyiso.com</vt:lpwstr>
  </property>
  <property fmtid="{D5CDD505-2E9C-101B-9397-08002B2CF9AE}" pid="15" name="_AuthorEmailDisplayName">
    <vt:lpwstr>Akter, Mohsana</vt:lpwstr>
  </property>
  <property fmtid="{D5CDD505-2E9C-101B-9397-08002B2CF9AE}" pid="16" name="_EmailSubject">
    <vt:lpwstr>Services Tariff Secs. 2.3 and 2.4.</vt:lpwstr>
  </property>
  <property fmtid="{D5CDD505-2E9C-101B-9397-08002B2CF9AE}" pid="17" name="_NewReviewCycle">
    <vt:lpwstr/>
  </property>
  <property fmtid="{D5CDD505-2E9C-101B-9397-08002B2CF9AE}" pid="18" name="_ReviewingToolsShownOnce">
    <vt:lpwstr/>
  </property>
</Properties>
</file>