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6F1229" w:rsidP="00CA43B9">
      <w:pPr>
        <w:pStyle w:val="Heading2"/>
      </w:pPr>
      <w:bookmarkStart w:id="0" w:name="_Toc261444329"/>
      <w:bookmarkStart w:id="1" w:name="_GoBack"/>
      <w:bookmarkEnd w:id="1"/>
      <w:r>
        <w:t>1.7</w:t>
      </w:r>
      <w:r>
        <w:tab/>
        <w:t>Definitions - G</w:t>
      </w:r>
      <w:bookmarkEnd w:id="0"/>
    </w:p>
    <w:p w:rsidR="006131FD" w:rsidRPr="00DB471F" w:rsidRDefault="006F1229"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xml:space="preserve">.  A Generator comprised of a group of generating units at a single location, which grouped generating units are </w:t>
      </w:r>
      <w:r w:rsidRPr="00DB471F">
        <w:t>separately committed and dispatched by the ISO, and for which Energy injections are measured at a single location, and each unit within that group, shall be considered a Generator.</w:t>
      </w:r>
    </w:p>
    <w:p w:rsidR="006131FD" w:rsidRDefault="006F1229" w:rsidP="00FE1767">
      <w:pPr>
        <w:pStyle w:val="Definition"/>
      </w:pPr>
      <w:r w:rsidRPr="00E44C49">
        <w:rPr>
          <w:b/>
          <w:bCs/>
        </w:rPr>
        <w:t xml:space="preserve">Generator Classes:  </w:t>
      </w:r>
      <w:r w:rsidRPr="00E44C49">
        <w:t>The type of Generator (e.g., nuclear, gas turbine, foss</w:t>
      </w:r>
      <w:r w:rsidRPr="00E44C49">
        <w:t>il,</w:t>
      </w:r>
      <w:r>
        <w:t xml:space="preserve"> hydro) which is used by the ISO to determine criteria that must be met for that Generator to qualify as a source of Installed Capacity.</w:t>
      </w:r>
    </w:p>
    <w:p w:rsidR="006131FD" w:rsidRDefault="006F1229" w:rsidP="00FE1767">
      <w:pPr>
        <w:pStyle w:val="Definition"/>
      </w:pPr>
      <w:r>
        <w:rPr>
          <w:b/>
          <w:bCs/>
        </w:rPr>
        <w:t xml:space="preserve">Good Utility Practice: </w:t>
      </w:r>
      <w:r>
        <w:t xml:space="preserve">Any of the practices, methods or acts engaged in or approved by a significant portion of the </w:t>
      </w:r>
      <w:r>
        <w:t>electric utility industry during the relevant time period, or any of the practices, methods or acts which, in the exercise of reasonable judgment in light of the facts known at the time the decision was made, could have been expected to accomplish the desi</w:t>
      </w:r>
      <w:r>
        <w:t xml:space="preserve">red result at a reasonable cost consistent with good business practices, reliability, safety and expedition.  Good Utility Practice is not intended to be limited to the optimum </w:t>
      </w:r>
      <w:r w:rsidRPr="009E5B31">
        <w:t>practice, method, or act to the exclusion of all others, but rather to delineat</w:t>
      </w:r>
      <w:r w:rsidRPr="009E5B31">
        <w:t xml:space="preserve">e acceptable practices, methods, or acts generally accepted in the region, including those practices required by Federal Power Act </w:t>
      </w:r>
      <w:r>
        <w:t>S</w:t>
      </w:r>
      <w:r w:rsidRPr="009E5B31">
        <w:t xml:space="preserve">ection </w:t>
      </w:r>
      <w:r w:rsidRPr="009E5B31">
        <w:t>215(a)(4).</w:t>
      </w:r>
    </w:p>
    <w:p w:rsidR="006131FD" w:rsidRDefault="006F1229" w:rsidP="00FE1767">
      <w:pPr>
        <w:pStyle w:val="Definition"/>
      </w:pPr>
      <w:r>
        <w:rPr>
          <w:b/>
          <w:bCs/>
        </w:rPr>
        <w:t>Government Bonds:</w:t>
      </w:r>
      <w:r>
        <w:t xml:space="preserve"> Tax</w:t>
      </w:r>
      <w:r>
        <w:noBreakHyphen/>
        <w:t>exempt bonds issued by the New York Power Authority pursuant to Section 103 and rela</w:t>
      </w:r>
      <w:r>
        <w:t>ted provisions of the Internal Revenue Code.  26 U.S.C. § 103.</w:t>
      </w:r>
    </w:p>
    <w:p w:rsidR="005C78BC" w:rsidRDefault="006F1229" w:rsidP="00FE1767">
      <w:pPr>
        <w:pStyle w:val="Definition"/>
      </w:pPr>
      <w:r>
        <w:rPr>
          <w:b/>
          <w:bCs/>
        </w:rPr>
        <w:t>Grandfathered Rights:</w:t>
      </w:r>
      <w:r>
        <w:t xml:space="preserve"> The transmission rights associated with: (1) Modified Wheeling Agreements; (2) Transmission Facility Agreements</w:t>
      </w:r>
      <w:del w:id="2" w:author="Author" w:date="2011-07-08T09:21:00Z">
        <w:r>
          <w:delText xml:space="preserve"> with transmission wheeling provisions</w:delText>
        </w:r>
      </w:del>
      <w:r>
        <w:t xml:space="preserve">; and (3) Third Party </w:t>
      </w:r>
      <w:r>
        <w:t xml:space="preserve">Transmission Wheeling Agreements </w:t>
      </w:r>
      <w:del w:id="3" w:author="Author" w:date="2011-07-08T09:21:00Z">
        <w:r>
          <w:delText xml:space="preserve">(“TWA”) </w:delText>
        </w:r>
      </w:del>
      <w:r>
        <w:t xml:space="preserve">where the party entitled to exercise the transmission rights associated with such Agreements has chosen, as provided in the Tariff, to retain those rights rather than to convert them to </w:t>
      </w:r>
      <w:ins w:id="4" w:author="Author" w:date="2011-07-08T09:21:00Z">
        <w:r>
          <w:t xml:space="preserve">Grandfathered </w:t>
        </w:r>
      </w:ins>
      <w:r>
        <w:t xml:space="preserve">TCCs. </w:t>
      </w:r>
    </w:p>
    <w:p w:rsidR="005C78BC" w:rsidRDefault="006F1229" w:rsidP="00FE1767">
      <w:pPr>
        <w:pStyle w:val="Definition"/>
      </w:pPr>
      <w:r>
        <w:rPr>
          <w:b/>
          <w:bCs/>
        </w:rPr>
        <w:t>Grandfat</w:t>
      </w:r>
      <w:r>
        <w:rPr>
          <w:b/>
          <w:bCs/>
        </w:rPr>
        <w:t xml:space="preserve">hered TCCs: </w:t>
      </w:r>
      <w:r>
        <w:t>The TCCs associated with: (1) Modified Wheeling Agreements; (2) Transmission Facility Agreements with transmission wheeling provisions; and (3) Third Party TWAs where the party entitled to exercise the transmission rights associated with such a</w:t>
      </w:r>
      <w:r>
        <w:t>greements, has chosen, as provided for in the Tariff, to convert those rights to TCCs.</w:t>
      </w:r>
    </w:p>
    <w:p w:rsidR="005C78BC" w:rsidRDefault="006F1229"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229">
      <w:r>
        <w:separator/>
      </w:r>
    </w:p>
  </w:endnote>
  <w:endnote w:type="continuationSeparator" w:id="0">
    <w:p w:rsidR="00000000" w:rsidRDefault="006F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229">
      <w:r>
        <w:separator/>
      </w:r>
    </w:p>
  </w:footnote>
  <w:footnote w:type="continuationSeparator" w:id="0">
    <w:p w:rsidR="00000000" w:rsidRDefault="006F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w:t>
    </w:r>
    <w:r>
      <w:rPr>
        <w:rFonts w:ascii="Arial" w:eastAsia="Arial" w:hAnsi="Arial" w:cs="Arial"/>
        <w:color w:val="000000"/>
        <w:sz w:val="16"/>
      </w:rPr>
      <w:t>itions -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03" w:rsidRDefault="006F1229">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 OATT Definitions --&gt; 1.7 OATT Definitions -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E829866">
      <w:start w:val="1"/>
      <w:numFmt w:val="bullet"/>
      <w:pStyle w:val="Bulletpara"/>
      <w:lvlText w:val=""/>
      <w:lvlJc w:val="left"/>
      <w:pPr>
        <w:tabs>
          <w:tab w:val="num" w:pos="720"/>
        </w:tabs>
        <w:ind w:left="720" w:hanging="360"/>
      </w:pPr>
      <w:rPr>
        <w:rFonts w:ascii="Symbol" w:hAnsi="Symbol" w:hint="default"/>
      </w:rPr>
    </w:lvl>
    <w:lvl w:ilvl="1" w:tplc="F154C90C" w:tentative="1">
      <w:start w:val="1"/>
      <w:numFmt w:val="bullet"/>
      <w:lvlText w:val="o"/>
      <w:lvlJc w:val="left"/>
      <w:pPr>
        <w:tabs>
          <w:tab w:val="num" w:pos="1440"/>
        </w:tabs>
        <w:ind w:left="1440" w:hanging="360"/>
      </w:pPr>
      <w:rPr>
        <w:rFonts w:ascii="Courier New" w:hAnsi="Courier New" w:cs="Courier New" w:hint="default"/>
      </w:rPr>
    </w:lvl>
    <w:lvl w:ilvl="2" w:tplc="81D2CDAC" w:tentative="1">
      <w:start w:val="1"/>
      <w:numFmt w:val="bullet"/>
      <w:lvlText w:val=""/>
      <w:lvlJc w:val="left"/>
      <w:pPr>
        <w:tabs>
          <w:tab w:val="num" w:pos="2160"/>
        </w:tabs>
        <w:ind w:left="2160" w:hanging="360"/>
      </w:pPr>
      <w:rPr>
        <w:rFonts w:ascii="Wingdings" w:hAnsi="Wingdings" w:hint="default"/>
      </w:rPr>
    </w:lvl>
    <w:lvl w:ilvl="3" w:tplc="EF08951E" w:tentative="1">
      <w:start w:val="1"/>
      <w:numFmt w:val="bullet"/>
      <w:lvlText w:val=""/>
      <w:lvlJc w:val="left"/>
      <w:pPr>
        <w:tabs>
          <w:tab w:val="num" w:pos="2880"/>
        </w:tabs>
        <w:ind w:left="2880" w:hanging="360"/>
      </w:pPr>
      <w:rPr>
        <w:rFonts w:ascii="Symbol" w:hAnsi="Symbol" w:hint="default"/>
      </w:rPr>
    </w:lvl>
    <w:lvl w:ilvl="4" w:tplc="10620044" w:tentative="1">
      <w:start w:val="1"/>
      <w:numFmt w:val="bullet"/>
      <w:lvlText w:val="o"/>
      <w:lvlJc w:val="left"/>
      <w:pPr>
        <w:tabs>
          <w:tab w:val="num" w:pos="3600"/>
        </w:tabs>
        <w:ind w:left="3600" w:hanging="360"/>
      </w:pPr>
      <w:rPr>
        <w:rFonts w:ascii="Courier New" w:hAnsi="Courier New" w:cs="Courier New" w:hint="default"/>
      </w:rPr>
    </w:lvl>
    <w:lvl w:ilvl="5" w:tplc="6C5EBEF8" w:tentative="1">
      <w:start w:val="1"/>
      <w:numFmt w:val="bullet"/>
      <w:lvlText w:val=""/>
      <w:lvlJc w:val="left"/>
      <w:pPr>
        <w:tabs>
          <w:tab w:val="num" w:pos="4320"/>
        </w:tabs>
        <w:ind w:left="4320" w:hanging="360"/>
      </w:pPr>
      <w:rPr>
        <w:rFonts w:ascii="Wingdings" w:hAnsi="Wingdings" w:hint="default"/>
      </w:rPr>
    </w:lvl>
    <w:lvl w:ilvl="6" w:tplc="EA626A0E" w:tentative="1">
      <w:start w:val="1"/>
      <w:numFmt w:val="bullet"/>
      <w:lvlText w:val=""/>
      <w:lvlJc w:val="left"/>
      <w:pPr>
        <w:tabs>
          <w:tab w:val="num" w:pos="5040"/>
        </w:tabs>
        <w:ind w:left="5040" w:hanging="360"/>
      </w:pPr>
      <w:rPr>
        <w:rFonts w:ascii="Symbol" w:hAnsi="Symbol" w:hint="default"/>
      </w:rPr>
    </w:lvl>
    <w:lvl w:ilvl="7" w:tplc="119CEE86" w:tentative="1">
      <w:start w:val="1"/>
      <w:numFmt w:val="bullet"/>
      <w:lvlText w:val="o"/>
      <w:lvlJc w:val="left"/>
      <w:pPr>
        <w:tabs>
          <w:tab w:val="num" w:pos="5760"/>
        </w:tabs>
        <w:ind w:left="5760" w:hanging="360"/>
      </w:pPr>
      <w:rPr>
        <w:rFonts w:ascii="Courier New" w:hAnsi="Courier New" w:cs="Courier New" w:hint="default"/>
      </w:rPr>
    </w:lvl>
    <w:lvl w:ilvl="8" w:tplc="3B0C8B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5362FFA">
      <w:start w:val="1"/>
      <w:numFmt w:val="bullet"/>
      <w:lvlText w:val="­"/>
      <w:lvlJc w:val="left"/>
      <w:pPr>
        <w:tabs>
          <w:tab w:val="num" w:pos="720"/>
        </w:tabs>
        <w:ind w:left="720" w:hanging="360"/>
      </w:pPr>
      <w:rPr>
        <w:rFonts w:ascii="Courier New" w:hAnsi="Courier New" w:hint="default"/>
      </w:rPr>
    </w:lvl>
    <w:lvl w:ilvl="1" w:tplc="F1F4D316" w:tentative="1">
      <w:start w:val="1"/>
      <w:numFmt w:val="bullet"/>
      <w:lvlText w:val="o"/>
      <w:lvlJc w:val="left"/>
      <w:pPr>
        <w:tabs>
          <w:tab w:val="num" w:pos="1440"/>
        </w:tabs>
        <w:ind w:left="1440" w:hanging="360"/>
      </w:pPr>
      <w:rPr>
        <w:rFonts w:ascii="Courier New" w:hAnsi="Courier New" w:cs="Courier New" w:hint="default"/>
      </w:rPr>
    </w:lvl>
    <w:lvl w:ilvl="2" w:tplc="9096785E" w:tentative="1">
      <w:start w:val="1"/>
      <w:numFmt w:val="bullet"/>
      <w:lvlText w:val=""/>
      <w:lvlJc w:val="left"/>
      <w:pPr>
        <w:tabs>
          <w:tab w:val="num" w:pos="2160"/>
        </w:tabs>
        <w:ind w:left="2160" w:hanging="360"/>
      </w:pPr>
      <w:rPr>
        <w:rFonts w:ascii="Wingdings" w:hAnsi="Wingdings" w:hint="default"/>
      </w:rPr>
    </w:lvl>
    <w:lvl w:ilvl="3" w:tplc="3D20516A" w:tentative="1">
      <w:start w:val="1"/>
      <w:numFmt w:val="bullet"/>
      <w:lvlText w:val=""/>
      <w:lvlJc w:val="left"/>
      <w:pPr>
        <w:tabs>
          <w:tab w:val="num" w:pos="2880"/>
        </w:tabs>
        <w:ind w:left="2880" w:hanging="360"/>
      </w:pPr>
      <w:rPr>
        <w:rFonts w:ascii="Symbol" w:hAnsi="Symbol" w:hint="default"/>
      </w:rPr>
    </w:lvl>
    <w:lvl w:ilvl="4" w:tplc="D7AC8BA6" w:tentative="1">
      <w:start w:val="1"/>
      <w:numFmt w:val="bullet"/>
      <w:lvlText w:val="o"/>
      <w:lvlJc w:val="left"/>
      <w:pPr>
        <w:tabs>
          <w:tab w:val="num" w:pos="3600"/>
        </w:tabs>
        <w:ind w:left="3600" w:hanging="360"/>
      </w:pPr>
      <w:rPr>
        <w:rFonts w:ascii="Courier New" w:hAnsi="Courier New" w:cs="Courier New" w:hint="default"/>
      </w:rPr>
    </w:lvl>
    <w:lvl w:ilvl="5" w:tplc="ED6627CE" w:tentative="1">
      <w:start w:val="1"/>
      <w:numFmt w:val="bullet"/>
      <w:lvlText w:val=""/>
      <w:lvlJc w:val="left"/>
      <w:pPr>
        <w:tabs>
          <w:tab w:val="num" w:pos="4320"/>
        </w:tabs>
        <w:ind w:left="4320" w:hanging="360"/>
      </w:pPr>
      <w:rPr>
        <w:rFonts w:ascii="Wingdings" w:hAnsi="Wingdings" w:hint="default"/>
      </w:rPr>
    </w:lvl>
    <w:lvl w:ilvl="6" w:tplc="8C5AE684" w:tentative="1">
      <w:start w:val="1"/>
      <w:numFmt w:val="bullet"/>
      <w:lvlText w:val=""/>
      <w:lvlJc w:val="left"/>
      <w:pPr>
        <w:tabs>
          <w:tab w:val="num" w:pos="5040"/>
        </w:tabs>
        <w:ind w:left="5040" w:hanging="360"/>
      </w:pPr>
      <w:rPr>
        <w:rFonts w:ascii="Symbol" w:hAnsi="Symbol" w:hint="default"/>
      </w:rPr>
    </w:lvl>
    <w:lvl w:ilvl="7" w:tplc="0CE2B282" w:tentative="1">
      <w:start w:val="1"/>
      <w:numFmt w:val="bullet"/>
      <w:lvlText w:val="o"/>
      <w:lvlJc w:val="left"/>
      <w:pPr>
        <w:tabs>
          <w:tab w:val="num" w:pos="5760"/>
        </w:tabs>
        <w:ind w:left="5760" w:hanging="360"/>
      </w:pPr>
      <w:rPr>
        <w:rFonts w:ascii="Courier New" w:hAnsi="Courier New" w:cs="Courier New" w:hint="default"/>
      </w:rPr>
    </w:lvl>
    <w:lvl w:ilvl="8" w:tplc="B80E87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004579E">
      <w:start w:val="1"/>
      <w:numFmt w:val="lowerRoman"/>
      <w:lvlText w:val="(%1)"/>
      <w:lvlJc w:val="left"/>
      <w:pPr>
        <w:tabs>
          <w:tab w:val="num" w:pos="2448"/>
        </w:tabs>
        <w:ind w:left="2448" w:hanging="648"/>
      </w:pPr>
      <w:rPr>
        <w:rFonts w:hint="default"/>
        <w:b w:val="0"/>
        <w:i w:val="0"/>
        <w:u w:val="none"/>
      </w:rPr>
    </w:lvl>
    <w:lvl w:ilvl="1" w:tplc="9C144B60" w:tentative="1">
      <w:start w:val="1"/>
      <w:numFmt w:val="lowerLetter"/>
      <w:lvlText w:val="%2."/>
      <w:lvlJc w:val="left"/>
      <w:pPr>
        <w:tabs>
          <w:tab w:val="num" w:pos="1440"/>
        </w:tabs>
        <w:ind w:left="1440" w:hanging="360"/>
      </w:pPr>
    </w:lvl>
    <w:lvl w:ilvl="2" w:tplc="105AAE14" w:tentative="1">
      <w:start w:val="1"/>
      <w:numFmt w:val="lowerRoman"/>
      <w:lvlText w:val="%3."/>
      <w:lvlJc w:val="right"/>
      <w:pPr>
        <w:tabs>
          <w:tab w:val="num" w:pos="2160"/>
        </w:tabs>
        <w:ind w:left="2160" w:hanging="180"/>
      </w:pPr>
    </w:lvl>
    <w:lvl w:ilvl="3" w:tplc="A3849B84" w:tentative="1">
      <w:start w:val="1"/>
      <w:numFmt w:val="decimal"/>
      <w:lvlText w:val="%4."/>
      <w:lvlJc w:val="left"/>
      <w:pPr>
        <w:tabs>
          <w:tab w:val="num" w:pos="2880"/>
        </w:tabs>
        <w:ind w:left="2880" w:hanging="360"/>
      </w:pPr>
    </w:lvl>
    <w:lvl w:ilvl="4" w:tplc="A9768B98" w:tentative="1">
      <w:start w:val="1"/>
      <w:numFmt w:val="lowerLetter"/>
      <w:lvlText w:val="%5."/>
      <w:lvlJc w:val="left"/>
      <w:pPr>
        <w:tabs>
          <w:tab w:val="num" w:pos="3600"/>
        </w:tabs>
        <w:ind w:left="3600" w:hanging="360"/>
      </w:pPr>
    </w:lvl>
    <w:lvl w:ilvl="5" w:tplc="EAB492D8" w:tentative="1">
      <w:start w:val="1"/>
      <w:numFmt w:val="lowerRoman"/>
      <w:lvlText w:val="%6."/>
      <w:lvlJc w:val="right"/>
      <w:pPr>
        <w:tabs>
          <w:tab w:val="num" w:pos="4320"/>
        </w:tabs>
        <w:ind w:left="4320" w:hanging="180"/>
      </w:pPr>
    </w:lvl>
    <w:lvl w:ilvl="6" w:tplc="E8360ED8" w:tentative="1">
      <w:start w:val="1"/>
      <w:numFmt w:val="decimal"/>
      <w:lvlText w:val="%7."/>
      <w:lvlJc w:val="left"/>
      <w:pPr>
        <w:tabs>
          <w:tab w:val="num" w:pos="5040"/>
        </w:tabs>
        <w:ind w:left="5040" w:hanging="360"/>
      </w:pPr>
    </w:lvl>
    <w:lvl w:ilvl="7" w:tplc="C9BA8A54" w:tentative="1">
      <w:start w:val="1"/>
      <w:numFmt w:val="lowerLetter"/>
      <w:lvlText w:val="%8."/>
      <w:lvlJc w:val="left"/>
      <w:pPr>
        <w:tabs>
          <w:tab w:val="num" w:pos="5760"/>
        </w:tabs>
        <w:ind w:left="5760" w:hanging="360"/>
      </w:pPr>
    </w:lvl>
    <w:lvl w:ilvl="8" w:tplc="54C8DA3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C726A1A">
      <w:start w:val="1"/>
      <w:numFmt w:val="bullet"/>
      <w:lvlText w:val=""/>
      <w:lvlJc w:val="left"/>
      <w:pPr>
        <w:tabs>
          <w:tab w:val="num" w:pos="5760"/>
        </w:tabs>
        <w:ind w:left="5760" w:hanging="360"/>
      </w:pPr>
      <w:rPr>
        <w:rFonts w:ascii="Symbol" w:hAnsi="Symbol" w:hint="default"/>
        <w:color w:val="auto"/>
        <w:u w:val="none"/>
      </w:rPr>
    </w:lvl>
    <w:lvl w:ilvl="1" w:tplc="CB0891E4" w:tentative="1">
      <w:start w:val="1"/>
      <w:numFmt w:val="bullet"/>
      <w:lvlText w:val="o"/>
      <w:lvlJc w:val="left"/>
      <w:pPr>
        <w:tabs>
          <w:tab w:val="num" w:pos="3600"/>
        </w:tabs>
        <w:ind w:left="3600" w:hanging="360"/>
      </w:pPr>
      <w:rPr>
        <w:rFonts w:ascii="Courier New" w:hAnsi="Courier New" w:hint="default"/>
      </w:rPr>
    </w:lvl>
    <w:lvl w:ilvl="2" w:tplc="7FF0B0D8" w:tentative="1">
      <w:start w:val="1"/>
      <w:numFmt w:val="bullet"/>
      <w:lvlText w:val=""/>
      <w:lvlJc w:val="left"/>
      <w:pPr>
        <w:tabs>
          <w:tab w:val="num" w:pos="4320"/>
        </w:tabs>
        <w:ind w:left="4320" w:hanging="360"/>
      </w:pPr>
      <w:rPr>
        <w:rFonts w:ascii="Wingdings" w:hAnsi="Wingdings" w:hint="default"/>
      </w:rPr>
    </w:lvl>
    <w:lvl w:ilvl="3" w:tplc="BD6C653C">
      <w:start w:val="1"/>
      <w:numFmt w:val="bullet"/>
      <w:lvlText w:val=""/>
      <w:lvlJc w:val="left"/>
      <w:pPr>
        <w:tabs>
          <w:tab w:val="num" w:pos="5040"/>
        </w:tabs>
        <w:ind w:left="5040" w:hanging="360"/>
      </w:pPr>
      <w:rPr>
        <w:rFonts w:ascii="Symbol" w:hAnsi="Symbol" w:hint="default"/>
      </w:rPr>
    </w:lvl>
    <w:lvl w:ilvl="4" w:tplc="3886D1A0" w:tentative="1">
      <w:start w:val="1"/>
      <w:numFmt w:val="bullet"/>
      <w:lvlText w:val="o"/>
      <w:lvlJc w:val="left"/>
      <w:pPr>
        <w:tabs>
          <w:tab w:val="num" w:pos="5760"/>
        </w:tabs>
        <w:ind w:left="5760" w:hanging="360"/>
      </w:pPr>
      <w:rPr>
        <w:rFonts w:ascii="Courier New" w:hAnsi="Courier New" w:hint="default"/>
      </w:rPr>
    </w:lvl>
    <w:lvl w:ilvl="5" w:tplc="A3DE1C78" w:tentative="1">
      <w:start w:val="1"/>
      <w:numFmt w:val="bullet"/>
      <w:lvlText w:val=""/>
      <w:lvlJc w:val="left"/>
      <w:pPr>
        <w:tabs>
          <w:tab w:val="num" w:pos="6480"/>
        </w:tabs>
        <w:ind w:left="6480" w:hanging="360"/>
      </w:pPr>
      <w:rPr>
        <w:rFonts w:ascii="Wingdings" w:hAnsi="Wingdings" w:hint="default"/>
      </w:rPr>
    </w:lvl>
    <w:lvl w:ilvl="6" w:tplc="7D0E2660" w:tentative="1">
      <w:start w:val="1"/>
      <w:numFmt w:val="bullet"/>
      <w:lvlText w:val=""/>
      <w:lvlJc w:val="left"/>
      <w:pPr>
        <w:tabs>
          <w:tab w:val="num" w:pos="7200"/>
        </w:tabs>
        <w:ind w:left="7200" w:hanging="360"/>
      </w:pPr>
      <w:rPr>
        <w:rFonts w:ascii="Symbol" w:hAnsi="Symbol" w:hint="default"/>
      </w:rPr>
    </w:lvl>
    <w:lvl w:ilvl="7" w:tplc="9FA887EE" w:tentative="1">
      <w:start w:val="1"/>
      <w:numFmt w:val="bullet"/>
      <w:lvlText w:val="o"/>
      <w:lvlJc w:val="left"/>
      <w:pPr>
        <w:tabs>
          <w:tab w:val="num" w:pos="7920"/>
        </w:tabs>
        <w:ind w:left="7920" w:hanging="360"/>
      </w:pPr>
      <w:rPr>
        <w:rFonts w:ascii="Courier New" w:hAnsi="Courier New" w:hint="default"/>
      </w:rPr>
    </w:lvl>
    <w:lvl w:ilvl="8" w:tplc="2A3A41A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003"/>
    <w:rsid w:val="006F1229"/>
    <w:rsid w:val="00E6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2018-09-17T09:00:00Z</dcterms:created>
  <dcterms:modified xsi:type="dcterms:W3CDTF">2018-09-17T09:00:00Z</dcterms:modified>
</cp:coreProperties>
</file>