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32" w:rsidRDefault="00FF1D9A" w:rsidP="00BE2D35">
      <w:pPr>
        <w:pStyle w:val="Heading2"/>
      </w:pPr>
      <w:bookmarkStart w:id="0" w:name="_Toc262812426"/>
      <w:bookmarkStart w:id="1" w:name="_GoBack"/>
      <w:bookmarkEnd w:id="1"/>
      <w:r>
        <w:t>6.5</w:t>
      </w:r>
      <w:r>
        <w:tab/>
        <w:t>Schedule 5 - Charges for Operating Reserve Service</w:t>
      </w:r>
      <w:bookmarkEnd w:id="0"/>
    </w:p>
    <w:p w:rsidR="002D2632" w:rsidRDefault="00FF1D9A" w:rsidP="000531A4">
      <w:pPr>
        <w:pStyle w:val="Bodypara"/>
      </w:pPr>
      <w:r>
        <w:t xml:space="preserve">The ISO must offer this service when Transmission Service is used to serve Load within the NYCA.  </w:t>
      </w:r>
      <w:del w:id="2" w:author="Author" w:date="2011-07-12T16:26:00Z">
        <w:r>
          <w:delText xml:space="preserve">The </w:delText>
        </w:r>
      </w:del>
      <w:r>
        <w:t>Transmission Customer</w:t>
      </w:r>
      <w:ins w:id="3" w:author="Author" w:date="2011-07-12T16:26:00Z">
        <w:r>
          <w:t>s and LSEs</w:t>
        </w:r>
      </w:ins>
      <w:r>
        <w:t xml:space="preserve"> must either purchase this service from the ISO</w:t>
      </w:r>
      <w:del w:id="4" w:author="Author" w:date="2011-07-12T16:26:00Z">
        <w:r>
          <w:delText xml:space="preserve"> or make alternative comparable arrangements to satisfy its Operating Reserve obligation</w:delText>
        </w:r>
      </w:del>
      <w:r>
        <w:t xml:space="preserve">.  The charges for Operating Reserve Service are set forth below.  </w:t>
      </w:r>
      <w:del w:id="5" w:author="Author" w:date="2011-07-12T16:26:00Z">
        <w:r>
          <w:delText xml:space="preserve">Operating Reserves requirements are defined by the ISO as is described in Rate Schedule 4 of the ISO </w:delText>
        </w:r>
        <w:r>
          <w:delText>Services Tariff, in accordance with the Reliability Rules and other applicable reliability standards.  The ISO shall monitor the level of Operating Reserves utilizing the security monitoring program.  Transmission Customers, Transmission Owners and Supplie</w:delText>
        </w:r>
        <w:r>
          <w:delText xml:space="preserve">rs shall supply all data required for the proper operation of the security monitoring program.  </w:delText>
        </w:r>
      </w:del>
    </w:p>
    <w:p w:rsidR="002D2632" w:rsidRDefault="00FF1D9A" w:rsidP="000531A4">
      <w:pPr>
        <w:pStyle w:val="Bodypara"/>
      </w:pPr>
      <w:r>
        <w:t>The NYSRC shall be responsible for evaluating the adequacy of the criteria for determining the required level of Operating Reserves and shall modify such crite</w:t>
      </w:r>
      <w:r>
        <w:t>ria from time to time as required.</w:t>
      </w:r>
      <w:r>
        <w:t xml:space="preserve"> </w:t>
      </w:r>
      <w:r>
        <w:t>The ISO shall establish additional categories of Operating Reserves if necessary to ensure reliability.</w:t>
      </w:r>
    </w:p>
    <w:p w:rsidR="00CF436B" w:rsidRDefault="00FF1D9A" w:rsidP="00BE2D35">
      <w:pPr>
        <w:pStyle w:val="Heading3"/>
        <w:rPr>
          <w:del w:id="6" w:author="Author" w:date="2011-07-12T16:27:00Z"/>
        </w:rPr>
      </w:pPr>
      <w:bookmarkStart w:id="7" w:name="_Toc262812427"/>
      <w:del w:id="8" w:author="Author" w:date="2011-07-12T16:27:00Z">
        <w:r>
          <w:delText>6.</w:delText>
        </w:r>
        <w:r>
          <w:delText>5.1</w:delText>
        </w:r>
        <w:r>
          <w:tab/>
          <w:delText>General Requirements</w:delText>
        </w:r>
        <w:bookmarkEnd w:id="7"/>
      </w:del>
    </w:p>
    <w:p w:rsidR="00CF436B" w:rsidRDefault="00FF1D9A" w:rsidP="000531A4">
      <w:pPr>
        <w:pStyle w:val="Bodypara"/>
      </w:pPr>
      <w:del w:id="9" w:author="Author" w:date="2011-07-12T16:27:00Z">
        <w:r>
          <w:delText>The ISO shall select Operating Reserves Suppliers that are properly located electrically s</w:delText>
        </w:r>
        <w:r>
          <w:delText>o that all Operating Reserves requirements, as defined in Rate Schedule 4 of the ISO Services Tariff are satisfied and so that transmission Constraints resulting from either the commitment or dispatch of Suppliers do not limit the ability to deliver Energy</w:delText>
        </w:r>
        <w:r>
          <w:delText xml:space="preserve"> to Loads in the case of a Contingency.  </w:delText>
        </w:r>
      </w:del>
      <w:r>
        <w:t>The ISO will ensure that Suppliers that are compensated for using Capacity to provide one Operating Reserve product are not simultaneously compensated for providing another Operating Reserve product, or Regulation S</w:t>
      </w:r>
      <w:r>
        <w:t xml:space="preserve">ervice, using the same Capacity (consistent with the additive nature of the market clearing price calculation formulae in </w:t>
      </w:r>
      <w:r w:rsidRPr="00B86B13">
        <w:t xml:space="preserve">Sections </w:t>
      </w:r>
      <w:r w:rsidRPr="00B86B13">
        <w:t>15.4.</w:t>
      </w:r>
      <w:r w:rsidRPr="00B86B13">
        <w:t xml:space="preserve">5.1 and </w:t>
      </w:r>
      <w:r w:rsidRPr="00B86B13">
        <w:t>15.4.</w:t>
      </w:r>
      <w:r w:rsidRPr="00B86B13">
        <w:t>6.1 of Rate Schedule 4 of th</w:t>
      </w:r>
      <w:r w:rsidRPr="00B86B13">
        <w:t>e</w:t>
      </w:r>
      <w:r w:rsidRPr="00B86B13">
        <w:t xml:space="preserve"> ISO Services Tariff).</w:t>
      </w:r>
    </w:p>
    <w:p w:rsidR="00CF436B" w:rsidRDefault="00FF1D9A" w:rsidP="00BE2D35">
      <w:pPr>
        <w:pStyle w:val="Heading3"/>
      </w:pPr>
      <w:bookmarkStart w:id="10" w:name="_Toc262812428"/>
      <w:r>
        <w:lastRenderedPageBreak/>
        <w:t>6.</w:t>
      </w:r>
      <w:r>
        <w:t>5.</w:t>
      </w:r>
      <w:del w:id="11" w:author="Author" w:date="2011-08-04T14:32:00Z">
        <w:r w:rsidRPr="008B2C44">
          <w:delText>2</w:delText>
        </w:r>
      </w:del>
      <w:ins w:id="12" w:author="Author" w:date="2011-08-04T14:32:00Z">
        <w:r>
          <w:t>1</w:t>
        </w:r>
      </w:ins>
      <w:r w:rsidRPr="008B2C44">
        <w:tab/>
        <w:t>Operating Reserves Charges</w:t>
      </w:r>
      <w:bookmarkEnd w:id="10"/>
    </w:p>
    <w:p w:rsidR="00CF436B" w:rsidRDefault="00FF1D9A" w:rsidP="000531A4">
      <w:pPr>
        <w:pStyle w:val="Bodypara"/>
      </w:pPr>
      <w:del w:id="13" w:author="Author" w:date="2011-07-12T16:27:00Z">
        <w:r>
          <w:delText xml:space="preserve">Each </w:delText>
        </w:r>
      </w:del>
      <w:r>
        <w:t>Transmission Cus</w:t>
      </w:r>
      <w:r>
        <w:t>tomer</w:t>
      </w:r>
      <w:ins w:id="14" w:author="Author" w:date="2011-07-12T16:27:00Z">
        <w:r>
          <w:t>s</w:t>
        </w:r>
      </w:ins>
      <w:r>
        <w:t xml:space="preserve"> engaging in </w:t>
      </w:r>
      <w:del w:id="15" w:author="Author" w:date="2011-07-12T16:27:00Z">
        <w:r>
          <w:delText xml:space="preserve">an </w:delText>
        </w:r>
      </w:del>
      <w:r>
        <w:t>Export</w:t>
      </w:r>
      <w:ins w:id="16" w:author="Author" w:date="2011-07-12T16:27:00Z">
        <w:r>
          <w:t xml:space="preserve"> Bilateral Transactions, Customers engaged in Export Transactions</w:t>
        </w:r>
      </w:ins>
      <w:r>
        <w:t xml:space="preserve"> and </w:t>
      </w:r>
      <w:del w:id="17" w:author="Author" w:date="2011-07-12T16:27:00Z">
        <w:r>
          <w:delText xml:space="preserve">each </w:delText>
        </w:r>
      </w:del>
      <w:r>
        <w:t>LSE</w:t>
      </w:r>
      <w:ins w:id="18" w:author="Author" w:date="2011-07-12T16:27:00Z">
        <w:r>
          <w:t>s</w:t>
        </w:r>
      </w:ins>
      <w:r>
        <w:t xml:space="preserve"> shall pay an hourly charge equal to the product of (A) cost to the ISO of providing all Operating Reserves for a given hour; and (B) the ratio of (i</w:t>
      </w:r>
      <w:r>
        <w:t>) the LSE’s hourly Load or the Transmission Customer’s hourly scheduled Export to (ii) the sum of all Load in the NYCA and all scheduled Exports for a given hour.  The cost to the ISO of providing Operating Reserves in each hour will equal the total amount</w:t>
      </w:r>
      <w:r>
        <w:t xml:space="preserve"> that the ISO pays to procure Operating Reserves on behalf of the market in the Day-Ahead Market and the Real-Time Market, less payments collected from entities that are scheduled to provide less Operating Reserves in the Real-Time Market than in the Day-A</w:t>
      </w:r>
      <w:r>
        <w:t>head Market during that hour, under Rate Schedule 4 of the ISO Services Tariff.  The ISO shall aggregate the hourly charges to produce a total charge for a given Dispatch Day.</w:t>
      </w:r>
    </w:p>
    <w:p w:rsidR="002D2632" w:rsidRDefault="00FF1D9A" w:rsidP="000531A4">
      <w:pPr>
        <w:pStyle w:val="Bodypara"/>
      </w:pPr>
      <w:del w:id="19" w:author="Author" w:date="2011-07-12T16:27:00Z">
        <w:r>
          <w:delText xml:space="preserve">Transmission Customers </w:delText>
        </w:r>
      </w:del>
      <w:ins w:id="20" w:author="Author" w:date="2011-07-12T16:27:00Z">
        <w:r>
          <w:t xml:space="preserve">LSEs </w:t>
        </w:r>
      </w:ins>
      <w:r>
        <w:t xml:space="preserve">taking service under </w:t>
      </w:r>
      <w:r>
        <w:t>Section</w:t>
      </w:r>
      <w:r>
        <w:t xml:space="preserve"> </w:t>
      </w:r>
      <w:r>
        <w:t xml:space="preserve">5 </w:t>
      </w:r>
      <w:r>
        <w:t>of the OATT to supply</w:t>
      </w:r>
      <w:r>
        <w:t xml:space="preserve"> Station Power as third-party providers shall pay to the ISO a daily charge for this service equal to the product of (A) the cost to the ISO of providing all Operating Reserves for the day </w:t>
      </w:r>
      <w:del w:id="21" w:author="Author" w:date="2011-07-12T16:28:00Z">
        <w:r>
          <w:delText xml:space="preserve">less any revenues from penalties collected during the day </w:delText>
        </w:r>
      </w:del>
      <w:r>
        <w:t xml:space="preserve">and (B) the ratio of (i) the </w:t>
      </w:r>
      <w:del w:id="22" w:author="Author" w:date="2011-07-12T16:28:00Z">
        <w:r>
          <w:delText xml:space="preserve">Transmission Customer’s </w:delText>
        </w:r>
      </w:del>
      <w:ins w:id="23" w:author="Author" w:date="2011-07-12T16:28:00Z">
        <w:r>
          <w:t xml:space="preserve">LSE’s </w:t>
        </w:r>
      </w:ins>
      <w:r>
        <w:t xml:space="preserve">Station Power supplied under </w:t>
      </w:r>
      <w:r>
        <w:t>Section</w:t>
      </w:r>
      <w:r>
        <w:t xml:space="preserve"> </w:t>
      </w:r>
      <w:r>
        <w:t xml:space="preserve">5 </w:t>
      </w:r>
      <w:r>
        <w:t>of the OATT for the day to (ii) the sum of all Load in the NYCA and all scheduled Exports for the day.  The ISO shall credit the daily charges paid for Operat</w:t>
      </w:r>
      <w:r>
        <w:t xml:space="preserve">ing Reserves by </w:t>
      </w:r>
      <w:del w:id="24" w:author="Author" w:date="2011-07-12T16:28:00Z">
        <w:r>
          <w:delText xml:space="preserve">Transmission Customers </w:delText>
        </w:r>
      </w:del>
      <w:ins w:id="25" w:author="Author" w:date="2011-07-12T16:28:00Z">
        <w:r>
          <w:t xml:space="preserve">LSEs </w:t>
        </w:r>
      </w:ins>
      <w:r>
        <w:t xml:space="preserve">taking service under </w:t>
      </w:r>
      <w:r>
        <w:t>Section</w:t>
      </w:r>
      <w:r>
        <w:t xml:space="preserve"> </w:t>
      </w:r>
      <w:r>
        <w:t xml:space="preserve">5 </w:t>
      </w:r>
      <w:r>
        <w:t>of the OATT to supply Station Power as third-party providers on a Load ratio share basis to the Load in the NYCA for that day and all scheduled Exports for the day.</w:t>
      </w:r>
    </w:p>
    <w:p w:rsidR="002D2632" w:rsidRDefault="00FF1D9A" w:rsidP="00BE2D35">
      <w:pPr>
        <w:pStyle w:val="Heading3"/>
      </w:pPr>
      <w:bookmarkStart w:id="26" w:name="_Toc262812429"/>
      <w:r>
        <w:t>6.</w:t>
      </w:r>
      <w:r>
        <w:t>5.</w:t>
      </w:r>
      <w:del w:id="27" w:author="Author" w:date="2011-08-04T14:32:00Z">
        <w:r w:rsidRPr="008B2C44">
          <w:delText>3</w:delText>
        </w:r>
      </w:del>
      <w:ins w:id="28" w:author="Author" w:date="2011-08-04T14:32:00Z">
        <w:r>
          <w:t>2</w:t>
        </w:r>
      </w:ins>
      <w:r w:rsidRPr="008B2C44">
        <w:tab/>
        <w:t>Self</w:t>
      </w:r>
      <w:r w:rsidRPr="008B2C44">
        <w:noBreakHyphen/>
        <w:t>Supp</w:t>
      </w:r>
      <w:r w:rsidRPr="008B2C44">
        <w:t>ly</w:t>
      </w:r>
      <w:bookmarkEnd w:id="26"/>
    </w:p>
    <w:p w:rsidR="002D2632" w:rsidRDefault="00FF1D9A" w:rsidP="000531A4">
      <w:pPr>
        <w:pStyle w:val="Bodypara"/>
      </w:pPr>
      <w:r>
        <w:t>Transmission Customers, including LSEs, may provide for Self</w:t>
      </w:r>
      <w:r>
        <w:noBreakHyphen/>
        <w:t xml:space="preserve">Supply of Operating Reserve by placing </w:t>
      </w:r>
      <w:del w:id="29" w:author="Author" w:date="2011-07-12T16:28:00Z">
        <w:r>
          <w:delText xml:space="preserve">generation facilities </w:delText>
        </w:r>
      </w:del>
      <w:ins w:id="30" w:author="Author" w:date="2011-07-12T16:28:00Z">
        <w:r>
          <w:t xml:space="preserve">Resources </w:t>
        </w:r>
      </w:ins>
      <w:r>
        <w:t xml:space="preserve">supplying any one of the Operating Reserves under ISO Operational Control.  The </w:t>
      </w:r>
      <w:del w:id="31" w:author="Author" w:date="2011-07-12T16:28:00Z">
        <w:r>
          <w:delText xml:space="preserve">generation facilities </w:delText>
        </w:r>
      </w:del>
      <w:ins w:id="32" w:author="Author" w:date="2011-07-12T16:28:00Z">
        <w:r>
          <w:t xml:space="preserve">Resources </w:t>
        </w:r>
      </w:ins>
      <w:r>
        <w:t>must meet</w:t>
      </w:r>
      <w:r>
        <w:t xml:space="preserve"> ISO rules for acceptability</w:t>
      </w:r>
      <w:ins w:id="33" w:author="Author" w:date="2011-07-12T16:28:00Z">
        <w:r>
          <w:t xml:space="preserve">, pursuant </w:t>
        </w:r>
        <w:r>
          <w:lastRenderedPageBreak/>
          <w:t>to Rate Schedule 4 of the Services Tariff</w:t>
        </w:r>
      </w:ins>
      <w:r>
        <w:t xml:space="preserve">.  </w:t>
      </w:r>
      <w:ins w:id="34" w:author="Author" w:date="2011-07-12T16:29:00Z">
        <w:r>
          <w:t xml:space="preserve">The specified Resources will receive </w:t>
        </w:r>
      </w:ins>
      <w:del w:id="35" w:author="Author" w:date="2011-07-12T16:29:00Z">
        <w:r>
          <w:delText xml:space="preserve">The amount that any such customer will be charged for Operating Reserves Services will be reduced by </w:delText>
        </w:r>
      </w:del>
      <w:r>
        <w:t xml:space="preserve">the market value of the </w:t>
      </w:r>
      <w:ins w:id="36" w:author="Author" w:date="2011-07-12T16:29:00Z">
        <w:r>
          <w:t>Operating R</w:t>
        </w:r>
        <w:r>
          <w:t xml:space="preserve">eserves </w:t>
        </w:r>
      </w:ins>
      <w:r>
        <w:t xml:space="preserve">services provided by the specified </w:t>
      </w:r>
      <w:ins w:id="37" w:author="Author" w:date="2011-07-12T16:29:00Z">
        <w:r>
          <w:t>Resource</w:t>
        </w:r>
      </w:ins>
      <w:del w:id="38" w:author="Author" w:date="2011-07-12T16:29:00Z">
        <w:r>
          <w:delText>generation facilities</w:delText>
        </w:r>
      </w:del>
      <w:r>
        <w:t xml:space="preserve"> as determined in the ISO Services Tariff.  In addition, Transmission Customers, including LSEs, may enter into Day-Ahead bilateral financial transactions, </w:t>
      </w:r>
      <w:r>
        <w:rPr>
          <w:i/>
        </w:rPr>
        <w:t>e.g.</w:t>
      </w:r>
      <w:r>
        <w:t>, contracts-for-differen</w:t>
      </w:r>
      <w:r>
        <w:t>ces, in order to hedge against price volatility in the Operating Reserves markets.</w:t>
      </w:r>
    </w:p>
    <w:p w:rsidR="00902672" w:rsidRPr="005E6604" w:rsidRDefault="00FF1D9A" w:rsidP="00902672"/>
    <w:sectPr w:rsidR="00902672" w:rsidRPr="005E6604" w:rsidSect="001925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1D9A">
      <w:pPr>
        <w:spacing w:after="0" w:line="240" w:lineRule="auto"/>
      </w:pPr>
      <w:r>
        <w:separator/>
      </w:r>
    </w:p>
  </w:endnote>
  <w:endnote w:type="continuationSeparator" w:id="0">
    <w:p w:rsidR="00000000" w:rsidRDefault="00FF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1D9A">
      <w:pPr>
        <w:spacing w:after="0" w:line="240" w:lineRule="auto"/>
      </w:pPr>
      <w:r>
        <w:separator/>
      </w:r>
    </w:p>
  </w:footnote>
  <w:footnote w:type="continuationSeparator" w:id="0">
    <w:p w:rsidR="00000000" w:rsidRDefault="00FF1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w:t>
    </w:r>
    <w:r>
      <w:rPr>
        <w:rFonts w:ascii="Arial" w:eastAsia="Arial" w:hAnsi="Arial" w:cs="Arial"/>
        <w:color w:val="000000"/>
        <w:sz w:val="16"/>
      </w:rPr>
      <w:t>le 5 - Charges For Operating Reserve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0B" w:rsidRDefault="00FF1D9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02A01F3A">
      <w:start w:val="1"/>
      <w:numFmt w:val="bullet"/>
      <w:pStyle w:val="Bullettext"/>
      <w:lvlText w:val=""/>
      <w:lvlJc w:val="left"/>
      <w:pPr>
        <w:tabs>
          <w:tab w:val="num" w:pos="1440"/>
        </w:tabs>
        <w:ind w:left="1440" w:hanging="360"/>
      </w:pPr>
      <w:rPr>
        <w:rFonts w:ascii="Symbol" w:hAnsi="Symbol" w:hint="default"/>
      </w:rPr>
    </w:lvl>
    <w:lvl w:ilvl="1" w:tplc="43F8DDF4" w:tentative="1">
      <w:start w:val="1"/>
      <w:numFmt w:val="bullet"/>
      <w:lvlText w:val="o"/>
      <w:lvlJc w:val="left"/>
      <w:pPr>
        <w:tabs>
          <w:tab w:val="num" w:pos="2160"/>
        </w:tabs>
        <w:ind w:left="2160" w:hanging="360"/>
      </w:pPr>
      <w:rPr>
        <w:rFonts w:ascii="Courier New" w:hAnsi="Courier New" w:cs="Courier New" w:hint="default"/>
      </w:rPr>
    </w:lvl>
    <w:lvl w:ilvl="2" w:tplc="736A4AA8" w:tentative="1">
      <w:start w:val="1"/>
      <w:numFmt w:val="bullet"/>
      <w:lvlText w:val=""/>
      <w:lvlJc w:val="left"/>
      <w:pPr>
        <w:tabs>
          <w:tab w:val="num" w:pos="2880"/>
        </w:tabs>
        <w:ind w:left="2880" w:hanging="360"/>
      </w:pPr>
      <w:rPr>
        <w:rFonts w:ascii="Wingdings" w:hAnsi="Wingdings" w:hint="default"/>
      </w:rPr>
    </w:lvl>
    <w:lvl w:ilvl="3" w:tplc="6CFA52B0" w:tentative="1">
      <w:start w:val="1"/>
      <w:numFmt w:val="bullet"/>
      <w:lvlText w:val=""/>
      <w:lvlJc w:val="left"/>
      <w:pPr>
        <w:tabs>
          <w:tab w:val="num" w:pos="3600"/>
        </w:tabs>
        <w:ind w:left="3600" w:hanging="360"/>
      </w:pPr>
      <w:rPr>
        <w:rFonts w:ascii="Symbol" w:hAnsi="Symbol" w:hint="default"/>
      </w:rPr>
    </w:lvl>
    <w:lvl w:ilvl="4" w:tplc="88E2D5E8" w:tentative="1">
      <w:start w:val="1"/>
      <w:numFmt w:val="bullet"/>
      <w:lvlText w:val="o"/>
      <w:lvlJc w:val="left"/>
      <w:pPr>
        <w:tabs>
          <w:tab w:val="num" w:pos="4320"/>
        </w:tabs>
        <w:ind w:left="4320" w:hanging="360"/>
      </w:pPr>
      <w:rPr>
        <w:rFonts w:ascii="Courier New" w:hAnsi="Courier New" w:cs="Courier New" w:hint="default"/>
      </w:rPr>
    </w:lvl>
    <w:lvl w:ilvl="5" w:tplc="DF0C7A46" w:tentative="1">
      <w:start w:val="1"/>
      <w:numFmt w:val="bullet"/>
      <w:lvlText w:val=""/>
      <w:lvlJc w:val="left"/>
      <w:pPr>
        <w:tabs>
          <w:tab w:val="num" w:pos="5040"/>
        </w:tabs>
        <w:ind w:left="5040" w:hanging="360"/>
      </w:pPr>
      <w:rPr>
        <w:rFonts w:ascii="Wingdings" w:hAnsi="Wingdings" w:hint="default"/>
      </w:rPr>
    </w:lvl>
    <w:lvl w:ilvl="6" w:tplc="5E987228" w:tentative="1">
      <w:start w:val="1"/>
      <w:numFmt w:val="bullet"/>
      <w:lvlText w:val=""/>
      <w:lvlJc w:val="left"/>
      <w:pPr>
        <w:tabs>
          <w:tab w:val="num" w:pos="5760"/>
        </w:tabs>
        <w:ind w:left="5760" w:hanging="360"/>
      </w:pPr>
      <w:rPr>
        <w:rFonts w:ascii="Symbol" w:hAnsi="Symbol" w:hint="default"/>
      </w:rPr>
    </w:lvl>
    <w:lvl w:ilvl="7" w:tplc="C46E4F12" w:tentative="1">
      <w:start w:val="1"/>
      <w:numFmt w:val="bullet"/>
      <w:lvlText w:val="o"/>
      <w:lvlJc w:val="left"/>
      <w:pPr>
        <w:tabs>
          <w:tab w:val="num" w:pos="6480"/>
        </w:tabs>
        <w:ind w:left="6480" w:hanging="360"/>
      </w:pPr>
      <w:rPr>
        <w:rFonts w:ascii="Courier New" w:hAnsi="Courier New" w:cs="Courier New" w:hint="default"/>
      </w:rPr>
    </w:lvl>
    <w:lvl w:ilvl="8" w:tplc="CC5EF17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0589FDE">
      <w:start w:val="1"/>
      <w:numFmt w:val="bullet"/>
      <w:pStyle w:val="Bulletpara"/>
      <w:lvlText w:val=""/>
      <w:lvlJc w:val="left"/>
      <w:pPr>
        <w:tabs>
          <w:tab w:val="num" w:pos="720"/>
        </w:tabs>
        <w:ind w:left="720" w:hanging="360"/>
      </w:pPr>
      <w:rPr>
        <w:rFonts w:ascii="Symbol" w:hAnsi="Symbol" w:hint="default"/>
      </w:rPr>
    </w:lvl>
    <w:lvl w:ilvl="1" w:tplc="8D64CB08" w:tentative="1">
      <w:start w:val="1"/>
      <w:numFmt w:val="bullet"/>
      <w:lvlText w:val="o"/>
      <w:lvlJc w:val="left"/>
      <w:pPr>
        <w:tabs>
          <w:tab w:val="num" w:pos="1440"/>
        </w:tabs>
        <w:ind w:left="1440" w:hanging="360"/>
      </w:pPr>
      <w:rPr>
        <w:rFonts w:ascii="Courier New" w:hAnsi="Courier New" w:cs="Courier New" w:hint="default"/>
      </w:rPr>
    </w:lvl>
    <w:lvl w:ilvl="2" w:tplc="B1660708" w:tentative="1">
      <w:start w:val="1"/>
      <w:numFmt w:val="bullet"/>
      <w:lvlText w:val=""/>
      <w:lvlJc w:val="left"/>
      <w:pPr>
        <w:tabs>
          <w:tab w:val="num" w:pos="2160"/>
        </w:tabs>
        <w:ind w:left="2160" w:hanging="360"/>
      </w:pPr>
      <w:rPr>
        <w:rFonts w:ascii="Wingdings" w:hAnsi="Wingdings" w:hint="default"/>
      </w:rPr>
    </w:lvl>
    <w:lvl w:ilvl="3" w:tplc="3220813E" w:tentative="1">
      <w:start w:val="1"/>
      <w:numFmt w:val="bullet"/>
      <w:lvlText w:val=""/>
      <w:lvlJc w:val="left"/>
      <w:pPr>
        <w:tabs>
          <w:tab w:val="num" w:pos="2880"/>
        </w:tabs>
        <w:ind w:left="2880" w:hanging="360"/>
      </w:pPr>
      <w:rPr>
        <w:rFonts w:ascii="Symbol" w:hAnsi="Symbol" w:hint="default"/>
      </w:rPr>
    </w:lvl>
    <w:lvl w:ilvl="4" w:tplc="A49C791E" w:tentative="1">
      <w:start w:val="1"/>
      <w:numFmt w:val="bullet"/>
      <w:lvlText w:val="o"/>
      <w:lvlJc w:val="left"/>
      <w:pPr>
        <w:tabs>
          <w:tab w:val="num" w:pos="3600"/>
        </w:tabs>
        <w:ind w:left="3600" w:hanging="360"/>
      </w:pPr>
      <w:rPr>
        <w:rFonts w:ascii="Courier New" w:hAnsi="Courier New" w:cs="Courier New" w:hint="default"/>
      </w:rPr>
    </w:lvl>
    <w:lvl w:ilvl="5" w:tplc="E9D2BE7C" w:tentative="1">
      <w:start w:val="1"/>
      <w:numFmt w:val="bullet"/>
      <w:lvlText w:val=""/>
      <w:lvlJc w:val="left"/>
      <w:pPr>
        <w:tabs>
          <w:tab w:val="num" w:pos="4320"/>
        </w:tabs>
        <w:ind w:left="4320" w:hanging="360"/>
      </w:pPr>
      <w:rPr>
        <w:rFonts w:ascii="Wingdings" w:hAnsi="Wingdings" w:hint="default"/>
      </w:rPr>
    </w:lvl>
    <w:lvl w:ilvl="6" w:tplc="517C8758" w:tentative="1">
      <w:start w:val="1"/>
      <w:numFmt w:val="bullet"/>
      <w:lvlText w:val=""/>
      <w:lvlJc w:val="left"/>
      <w:pPr>
        <w:tabs>
          <w:tab w:val="num" w:pos="5040"/>
        </w:tabs>
        <w:ind w:left="5040" w:hanging="360"/>
      </w:pPr>
      <w:rPr>
        <w:rFonts w:ascii="Symbol" w:hAnsi="Symbol" w:hint="default"/>
      </w:rPr>
    </w:lvl>
    <w:lvl w:ilvl="7" w:tplc="A368716C" w:tentative="1">
      <w:start w:val="1"/>
      <w:numFmt w:val="bullet"/>
      <w:lvlText w:val="o"/>
      <w:lvlJc w:val="left"/>
      <w:pPr>
        <w:tabs>
          <w:tab w:val="num" w:pos="5760"/>
        </w:tabs>
        <w:ind w:left="5760" w:hanging="360"/>
      </w:pPr>
      <w:rPr>
        <w:rFonts w:ascii="Courier New" w:hAnsi="Courier New" w:cs="Courier New" w:hint="default"/>
      </w:rPr>
    </w:lvl>
    <w:lvl w:ilvl="8" w:tplc="C1FEA3A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2116C16A">
      <w:start w:val="1"/>
      <w:numFmt w:val="lowerRoman"/>
      <w:lvlText w:val="(%1)"/>
      <w:lvlJc w:val="left"/>
      <w:pPr>
        <w:tabs>
          <w:tab w:val="num" w:pos="2448"/>
        </w:tabs>
        <w:ind w:left="2448" w:hanging="648"/>
      </w:pPr>
      <w:rPr>
        <w:rFonts w:hint="default"/>
        <w:b w:val="0"/>
        <w:i w:val="0"/>
        <w:u w:val="none"/>
      </w:rPr>
    </w:lvl>
    <w:lvl w:ilvl="1" w:tplc="A2FE9782" w:tentative="1">
      <w:start w:val="1"/>
      <w:numFmt w:val="lowerLetter"/>
      <w:lvlText w:val="%2."/>
      <w:lvlJc w:val="left"/>
      <w:pPr>
        <w:tabs>
          <w:tab w:val="num" w:pos="1440"/>
        </w:tabs>
        <w:ind w:left="1440" w:hanging="360"/>
      </w:pPr>
    </w:lvl>
    <w:lvl w:ilvl="2" w:tplc="C7943176" w:tentative="1">
      <w:start w:val="1"/>
      <w:numFmt w:val="lowerRoman"/>
      <w:lvlText w:val="%3."/>
      <w:lvlJc w:val="right"/>
      <w:pPr>
        <w:tabs>
          <w:tab w:val="num" w:pos="2160"/>
        </w:tabs>
        <w:ind w:left="2160" w:hanging="180"/>
      </w:pPr>
    </w:lvl>
    <w:lvl w:ilvl="3" w:tplc="FCE2F1E4" w:tentative="1">
      <w:start w:val="1"/>
      <w:numFmt w:val="decimal"/>
      <w:lvlText w:val="%4."/>
      <w:lvlJc w:val="left"/>
      <w:pPr>
        <w:tabs>
          <w:tab w:val="num" w:pos="2880"/>
        </w:tabs>
        <w:ind w:left="2880" w:hanging="360"/>
      </w:pPr>
    </w:lvl>
    <w:lvl w:ilvl="4" w:tplc="4A74D276" w:tentative="1">
      <w:start w:val="1"/>
      <w:numFmt w:val="lowerLetter"/>
      <w:lvlText w:val="%5."/>
      <w:lvlJc w:val="left"/>
      <w:pPr>
        <w:tabs>
          <w:tab w:val="num" w:pos="3600"/>
        </w:tabs>
        <w:ind w:left="3600" w:hanging="360"/>
      </w:pPr>
    </w:lvl>
    <w:lvl w:ilvl="5" w:tplc="886C0014" w:tentative="1">
      <w:start w:val="1"/>
      <w:numFmt w:val="lowerRoman"/>
      <w:lvlText w:val="%6."/>
      <w:lvlJc w:val="right"/>
      <w:pPr>
        <w:tabs>
          <w:tab w:val="num" w:pos="4320"/>
        </w:tabs>
        <w:ind w:left="4320" w:hanging="180"/>
      </w:pPr>
    </w:lvl>
    <w:lvl w:ilvl="6" w:tplc="57E20EDA" w:tentative="1">
      <w:start w:val="1"/>
      <w:numFmt w:val="decimal"/>
      <w:lvlText w:val="%7."/>
      <w:lvlJc w:val="left"/>
      <w:pPr>
        <w:tabs>
          <w:tab w:val="num" w:pos="5040"/>
        </w:tabs>
        <w:ind w:left="5040" w:hanging="360"/>
      </w:pPr>
    </w:lvl>
    <w:lvl w:ilvl="7" w:tplc="1522F9C0" w:tentative="1">
      <w:start w:val="1"/>
      <w:numFmt w:val="lowerLetter"/>
      <w:lvlText w:val="%8."/>
      <w:lvlJc w:val="left"/>
      <w:pPr>
        <w:tabs>
          <w:tab w:val="num" w:pos="5760"/>
        </w:tabs>
        <w:ind w:left="5760" w:hanging="360"/>
      </w:pPr>
    </w:lvl>
    <w:lvl w:ilvl="8" w:tplc="CB60B526"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3C5268AC">
      <w:start w:val="1"/>
      <w:numFmt w:val="bullet"/>
      <w:lvlText w:val=""/>
      <w:lvlJc w:val="left"/>
      <w:pPr>
        <w:tabs>
          <w:tab w:val="num" w:pos="5760"/>
        </w:tabs>
        <w:ind w:left="5760" w:hanging="360"/>
      </w:pPr>
      <w:rPr>
        <w:rFonts w:ascii="Symbol" w:hAnsi="Symbol" w:hint="default"/>
        <w:color w:val="auto"/>
        <w:u w:val="none"/>
      </w:rPr>
    </w:lvl>
    <w:lvl w:ilvl="1" w:tplc="F55A1960" w:tentative="1">
      <w:start w:val="1"/>
      <w:numFmt w:val="bullet"/>
      <w:lvlText w:val="o"/>
      <w:lvlJc w:val="left"/>
      <w:pPr>
        <w:tabs>
          <w:tab w:val="num" w:pos="3600"/>
        </w:tabs>
        <w:ind w:left="3600" w:hanging="360"/>
      </w:pPr>
      <w:rPr>
        <w:rFonts w:ascii="Courier New" w:hAnsi="Courier New" w:hint="default"/>
      </w:rPr>
    </w:lvl>
    <w:lvl w:ilvl="2" w:tplc="BAA26078" w:tentative="1">
      <w:start w:val="1"/>
      <w:numFmt w:val="bullet"/>
      <w:lvlText w:val=""/>
      <w:lvlJc w:val="left"/>
      <w:pPr>
        <w:tabs>
          <w:tab w:val="num" w:pos="4320"/>
        </w:tabs>
        <w:ind w:left="4320" w:hanging="360"/>
      </w:pPr>
      <w:rPr>
        <w:rFonts w:ascii="Wingdings" w:hAnsi="Wingdings" w:hint="default"/>
      </w:rPr>
    </w:lvl>
    <w:lvl w:ilvl="3" w:tplc="44D64C90">
      <w:start w:val="1"/>
      <w:numFmt w:val="bullet"/>
      <w:lvlText w:val=""/>
      <w:lvlJc w:val="left"/>
      <w:pPr>
        <w:tabs>
          <w:tab w:val="num" w:pos="5040"/>
        </w:tabs>
        <w:ind w:left="5040" w:hanging="360"/>
      </w:pPr>
      <w:rPr>
        <w:rFonts w:ascii="Symbol" w:hAnsi="Symbol" w:hint="default"/>
      </w:rPr>
    </w:lvl>
    <w:lvl w:ilvl="4" w:tplc="C11002F2" w:tentative="1">
      <w:start w:val="1"/>
      <w:numFmt w:val="bullet"/>
      <w:lvlText w:val="o"/>
      <w:lvlJc w:val="left"/>
      <w:pPr>
        <w:tabs>
          <w:tab w:val="num" w:pos="5760"/>
        </w:tabs>
        <w:ind w:left="5760" w:hanging="360"/>
      </w:pPr>
      <w:rPr>
        <w:rFonts w:ascii="Courier New" w:hAnsi="Courier New" w:hint="default"/>
      </w:rPr>
    </w:lvl>
    <w:lvl w:ilvl="5" w:tplc="6B8A0CAA" w:tentative="1">
      <w:start w:val="1"/>
      <w:numFmt w:val="bullet"/>
      <w:lvlText w:val=""/>
      <w:lvlJc w:val="left"/>
      <w:pPr>
        <w:tabs>
          <w:tab w:val="num" w:pos="6480"/>
        </w:tabs>
        <w:ind w:left="6480" w:hanging="360"/>
      </w:pPr>
      <w:rPr>
        <w:rFonts w:ascii="Wingdings" w:hAnsi="Wingdings" w:hint="default"/>
      </w:rPr>
    </w:lvl>
    <w:lvl w:ilvl="6" w:tplc="36FE2BE6" w:tentative="1">
      <w:start w:val="1"/>
      <w:numFmt w:val="bullet"/>
      <w:lvlText w:val=""/>
      <w:lvlJc w:val="left"/>
      <w:pPr>
        <w:tabs>
          <w:tab w:val="num" w:pos="7200"/>
        </w:tabs>
        <w:ind w:left="7200" w:hanging="360"/>
      </w:pPr>
      <w:rPr>
        <w:rFonts w:ascii="Symbol" w:hAnsi="Symbol" w:hint="default"/>
      </w:rPr>
    </w:lvl>
    <w:lvl w:ilvl="7" w:tplc="7F30D666" w:tentative="1">
      <w:start w:val="1"/>
      <w:numFmt w:val="bullet"/>
      <w:lvlText w:val="o"/>
      <w:lvlJc w:val="left"/>
      <w:pPr>
        <w:tabs>
          <w:tab w:val="num" w:pos="7920"/>
        </w:tabs>
        <w:ind w:left="7920" w:hanging="360"/>
      </w:pPr>
      <w:rPr>
        <w:rFonts w:ascii="Courier New" w:hAnsi="Courier New" w:hint="default"/>
      </w:rPr>
    </w:lvl>
    <w:lvl w:ilvl="8" w:tplc="C6C02B4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E0B"/>
    <w:rsid w:val="00817E0B"/>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41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2018-09-17T09:01:00Z</dcterms:created>
  <dcterms:modified xsi:type="dcterms:W3CDTF">2018-09-17T09:01:00Z</dcterms:modified>
</cp:coreProperties>
</file>