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A" w:rsidRDefault="00404CB5">
      <w:pPr>
        <w:pStyle w:val="Heading2"/>
        <w:rPr>
          <w:bCs/>
          <w:i/>
          <w:iCs/>
        </w:rPr>
      </w:pPr>
      <w:bookmarkStart w:id="0" w:name="_Toc261446001"/>
      <w:bookmarkStart w:id="1" w:name="_GoBack"/>
      <w:bookmarkEnd w:id="1"/>
      <w:r>
        <w:t>2.9</w:t>
      </w:r>
      <w:r>
        <w:tab/>
        <w:t>Definitions - I</w:t>
      </w:r>
      <w:bookmarkEnd w:id="0"/>
    </w:p>
    <w:p w:rsidR="005E1BDA" w:rsidRDefault="00404CB5">
      <w:pPr>
        <w:pStyle w:val="Definition"/>
      </w:pPr>
      <w:r>
        <w:rPr>
          <w:b/>
          <w:bCs/>
        </w:rPr>
        <w:t>ICAP Demand Curve</w:t>
      </w:r>
      <w:r>
        <w:t>: A series of prices which decline until reaching zero as the amount of Installed Capacity increases.</w:t>
      </w:r>
    </w:p>
    <w:p w:rsidR="005E1BDA" w:rsidRDefault="00404CB5">
      <w:pPr>
        <w:pStyle w:val="Definition"/>
      </w:pPr>
      <w:r>
        <w:rPr>
          <w:b/>
        </w:rPr>
        <w:t xml:space="preserve">ICAP Demand Curve Reset Filing Year:  </w:t>
      </w:r>
      <w:r>
        <w:t xml:space="preserve">A calendar year in which the ISO files ICAP Demand Curves, in accordance with </w:t>
      </w:r>
      <w:r>
        <w:t>Section 5.14.1.2.1.11 or Section 5.14.1.2.2.4.11.</w:t>
      </w:r>
    </w:p>
    <w:p w:rsidR="005E1BDA" w:rsidRDefault="00404CB5">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w:t>
      </w:r>
      <w:r>
        <w:rPr>
          <w:rFonts w:eastAsia="Calibri"/>
        </w:rPr>
        <w:t>ces Tariff, which Forced Outage started on or after  May 1, 2015; ii) the Market Participant voluntarily reclassified its Forced Outage pursuant to the provisions in Section 5.18.2.1 of this Services Tariff, which Forced Outage started on or after May 1, 2</w:t>
      </w:r>
      <w:r>
        <w:rPr>
          <w:rFonts w:eastAsia="Calibri"/>
        </w:rPr>
        <w:t>015; or iii) substantial actions have been taken, such as dismantling or disabling essential equipment, which actions are inconsistent with an intention to return the Generator to operation and the Energy market.  A Generator in an ICAP Ineligible Forced O</w:t>
      </w:r>
      <w:r>
        <w:rPr>
          <w:rFonts w:eastAsia="Calibri"/>
        </w:rPr>
        <w:t>utage is subject to the return-to-service provisions in Section 5.18.4 of this Services Tariff and is ineligible to participate in the Installed Capacity market.</w:t>
      </w:r>
    </w:p>
    <w:p w:rsidR="005E1BDA" w:rsidRDefault="00404CB5">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5E1BDA" w:rsidRDefault="00404CB5">
      <w:pPr>
        <w:pStyle w:val="Definition8"/>
      </w:pPr>
      <w:r>
        <w:rPr>
          <w:b/>
        </w:rPr>
        <w:t xml:space="preserve">Import Constrained Locality:  </w:t>
      </w:r>
      <w:r>
        <w:t>New York City and the G-J Loca</w:t>
      </w:r>
      <w:r>
        <w:t xml:space="preserve">lity. </w:t>
      </w:r>
    </w:p>
    <w:p w:rsidR="005E1BDA" w:rsidRDefault="00404CB5">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5E1BDA" w:rsidRDefault="00404CB5">
      <w:pPr>
        <w:pStyle w:val="Definition"/>
        <w:rPr>
          <w:u w:val="double"/>
        </w:rPr>
      </w:pPr>
      <w:r>
        <w:rPr>
          <w:b/>
        </w:rPr>
        <w:t>Import Curtailment Guarantee Payment</w:t>
      </w:r>
      <w:r>
        <w:t>: A payment made in</w:t>
      </w:r>
      <w:r>
        <w:t xml:space="preserve"> accordance with Section 4.5.2.2 and Attachment J of this ISO Services Tariff to compensate a Supplier whose Import is Curtailed by the ISO. </w:t>
      </w:r>
    </w:p>
    <w:p w:rsidR="005E1BDA" w:rsidRDefault="00404CB5">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5E1BDA" w:rsidRDefault="00404CB5">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ime market, as appropriate, from the Generator bus or Proxy Generator Bus, as appropriate, for the interval, (ii) the LBMP, in units of $/MWh, either Day-Ahead or real-time as appropriate, at the Generator or Proxy Generator Bus for that interval and (iii)</w:t>
      </w:r>
      <w:r>
        <w:t xml:space="preserve"> the length of the interval, in units of hours.</w:t>
      </w:r>
    </w:p>
    <w:p w:rsidR="005E1BDA" w:rsidRDefault="00404CB5">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Market Participant’s Generator is unavailable to produce Energy for a limited period of time not to exceed six months, for reasons that are not equipment related</w:t>
      </w:r>
      <w:r>
        <w:rPr>
          <w:rFonts w:eastAsia="Calibri"/>
        </w:rPr>
        <w:t xml:space="preserve">, which state does not meet the criteria to be classified as any other outage </w:t>
      </w:r>
      <w:r>
        <w:rPr>
          <w:rFonts w:eastAsia="Calibri"/>
        </w:rPr>
        <w:lastRenderedPageBreak/>
        <w:t>pursuant to the provisions of this Services Tariff or of ISO Procedures. A Generator in Inactive Reserves is ineligible to participate in the Installed Capacity market.</w:t>
      </w:r>
    </w:p>
    <w:p w:rsidR="005E1BDA" w:rsidRDefault="00404CB5">
      <w:pPr>
        <w:pStyle w:val="Definition"/>
      </w:pPr>
      <w:r>
        <w:rPr>
          <w:b/>
          <w:bCs/>
        </w:rPr>
        <w:t>Inadverte</w:t>
      </w:r>
      <w:r>
        <w:rPr>
          <w:b/>
          <w:bCs/>
        </w:rPr>
        <w:t>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5E1BDA" w:rsidRDefault="00404CB5">
      <w:pPr>
        <w:pStyle w:val="Definition"/>
      </w:pPr>
      <w:r>
        <w:rPr>
          <w:b/>
        </w:rPr>
        <w:t xml:space="preserve">In-City: </w:t>
      </w:r>
      <w:r>
        <w:t xml:space="preserve">Located electrically within the New </w:t>
      </w:r>
      <w:r>
        <w:rPr>
          <w:bCs/>
          <w:iCs/>
        </w:rPr>
        <w:t>York</w:t>
      </w:r>
      <w:r>
        <w:t xml:space="preserve"> Cit</w:t>
      </w:r>
      <w:r>
        <w:t>y Locality (LBMP Load Zone J).</w:t>
      </w:r>
    </w:p>
    <w:p w:rsidR="005E1BDA" w:rsidRDefault="00404CB5">
      <w:pPr>
        <w:pStyle w:val="Definition"/>
        <w:rPr>
          <w:b/>
        </w:rPr>
      </w:pPr>
      <w:r>
        <w:rPr>
          <w:b/>
        </w:rPr>
        <w:t>Incremental Average Coincident Load (“Incremental ACL</w:t>
      </w:r>
      <w:r>
        <w:t xml:space="preserve">”): Beginning with the Summer 2014 Capability Period, the amount of qualifying Load that may be added to the Average Coincident Load of a Special Case Resource.   In order </w:t>
      </w:r>
      <w:r>
        <w:t>to qualify to use Incremental ACL the SCR must enroll with an ACL and report an increase in the Load of the facility that is supplied by the NYS Transmission System and/or distribution system that meets or exceeds the SCR Load Change Reporting Threshold in</w:t>
      </w:r>
      <w:r>
        <w:t xml:space="preserve"> accordance with this Services Tariff.  The Incremental ACL reported in a Capability Period cannot exceed one-hundred percent (100%) of the ACL that has been calculated for the SCR when it first enrolls in the Capability Period.  For resources reporting an</w:t>
      </w:r>
      <w:r>
        <w:t xml:space="preserve"> Incremental ACL, the Net Average Coincident Load shall equal the enrolled ACL plus the reported Incremental ACL less any applicable SCR Change of Status.  Each resource for which a RIP reports an Incremental ACL is subject to verification subsequent to th</w:t>
      </w:r>
      <w:r>
        <w:t>e Capability Period pursuant to reporting requirements and calculations using the SCR’s metered Load values provided in Section 5.12.11.1.5 of this Services Tariff and ISO Procedures.</w:t>
      </w:r>
    </w:p>
    <w:p w:rsidR="005E1BDA" w:rsidRDefault="00404CB5">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w:t>
      </w:r>
      <w:r>
        <w:rPr>
          <w:iCs/>
        </w:rPr>
        <w:t xml:space="preserve">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5E1BDA" w:rsidRDefault="00404CB5">
      <w:pPr>
        <w:pStyle w:val="Definition"/>
      </w:pPr>
      <w:r>
        <w:rPr>
          <w:b/>
        </w:rPr>
        <w:t xml:space="preserve">Incremental TCC: </w:t>
      </w:r>
      <w:r>
        <w:t>As defined in the ISO OATT.</w:t>
      </w:r>
    </w:p>
    <w:p w:rsidR="005E1BDA" w:rsidRDefault="00404CB5">
      <w:pPr>
        <w:pStyle w:val="Definition"/>
      </w:pPr>
      <w:r>
        <w:rPr>
          <w:b/>
        </w:rPr>
        <w:t>Independent System Operator (“ISO”)</w:t>
      </w:r>
      <w:r>
        <w:t xml:space="preserve">: </w:t>
      </w:r>
      <w:r>
        <w:rPr>
          <w:bCs/>
          <w:iCs/>
        </w:rPr>
        <w:t>The</w:t>
      </w:r>
      <w:r>
        <w:t xml:space="preserve"> New York Indepen</w:t>
      </w:r>
      <w:r>
        <w:t>dent System Operator, Inc., a not</w:t>
      </w:r>
      <w:r>
        <w:noBreakHyphen/>
        <w:t>for</w:t>
      </w:r>
      <w:r>
        <w:noBreakHyphen/>
        <w:t>profit corporation established pursuant to the ISO Agreement.</w:t>
      </w:r>
    </w:p>
    <w:p w:rsidR="005E1BDA" w:rsidRDefault="00404CB5">
      <w:pPr>
        <w:pStyle w:val="Definition"/>
      </w:pPr>
      <w:r>
        <w:rPr>
          <w:b/>
        </w:rPr>
        <w:t>Independent System Operator Agreement (“ISO Agreement”)</w:t>
      </w:r>
      <w:r>
        <w:t>: The agreement that establishes the New York ISO.</w:t>
      </w:r>
    </w:p>
    <w:p w:rsidR="005E1BDA" w:rsidRDefault="00404CB5">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5E1BDA" w:rsidRDefault="00404CB5">
      <w:pPr>
        <w:pStyle w:val="Definition"/>
      </w:pPr>
      <w:r>
        <w:rPr>
          <w:b/>
        </w:rPr>
        <w:t>Independent System Operator</w:t>
      </w:r>
      <w:r>
        <w:rPr>
          <w:b/>
        </w:rPr>
        <w:noBreakHyphen/>
        <w:t>Transmission Owner Agreement (“ISO/TO Agreement”)</w:t>
      </w:r>
      <w:r>
        <w:t xml:space="preserve">: </w:t>
      </w:r>
      <w:r>
        <w:t>The agreement that establishes the terms and conditions under which the Member Systems transferred to the ISO Operational Control over designated transmission facilities.</w:t>
      </w:r>
    </w:p>
    <w:p w:rsidR="005E1BDA" w:rsidRDefault="00404CB5">
      <w:pPr>
        <w:pStyle w:val="Definition"/>
        <w:rPr>
          <w:b/>
        </w:rPr>
      </w:pPr>
      <w:r>
        <w:rPr>
          <w:rFonts w:eastAsia="Calibri"/>
          <w:b/>
          <w:bCs/>
        </w:rPr>
        <w:t xml:space="preserve">Indicative NCZ Locational Minimum Installed Capacity Requirement: </w:t>
      </w:r>
      <w:r>
        <w:rPr>
          <w:rFonts w:eastAsia="Calibri"/>
        </w:rPr>
        <w:t>The amount of  capa</w:t>
      </w:r>
      <w:r>
        <w:rPr>
          <w:rFonts w:eastAsia="Calibri"/>
        </w:rPr>
        <w:t>city that must be electrically located within a New Capacity Zone, or possess an approved Unforced Capacity Deliverability Right, in order to ensure that sufficient Energy and Capacity are available in that NCZ and that appropriate reliability criteria are</w:t>
      </w:r>
      <w:r>
        <w:rPr>
          <w:rFonts w:eastAsia="Calibri"/>
        </w:rPr>
        <w:t xml:space="preserve"> met.</w:t>
      </w:r>
    </w:p>
    <w:p w:rsidR="005E1BDA" w:rsidRDefault="00404CB5">
      <w:pPr>
        <w:pStyle w:val="Definition"/>
        <w:rPr>
          <w:b/>
        </w:rPr>
      </w:pPr>
      <w:r>
        <w:rPr>
          <w:b/>
        </w:rPr>
        <w:lastRenderedPageBreak/>
        <w:t xml:space="preserve">Injection Limit: </w:t>
      </w:r>
      <w:r>
        <w:rPr>
          <w:bCs/>
        </w:rPr>
        <w:t xml:space="preserve">The maximum injection of a BTM:NG Resource, in MW, into the NYS Transmission System or distribution system </w:t>
      </w:r>
      <w:r>
        <w:t>at</w:t>
      </w:r>
      <w:r>
        <w:rPr>
          <w:bCs/>
        </w:rPr>
        <w:t xml:space="preserve"> the BTM:NG Resources’ Point of Injection.  The Injection Limit for a BTM:NG Resource must be at least 1 MW.</w:t>
      </w:r>
    </w:p>
    <w:p w:rsidR="005E1BDA" w:rsidRDefault="00404CB5">
      <w:pPr>
        <w:pStyle w:val="Definition"/>
      </w:pPr>
      <w:r>
        <w:rPr>
          <w:b/>
        </w:rPr>
        <w:t>Installed Capac</w:t>
      </w:r>
      <w:r>
        <w:rPr>
          <w:b/>
        </w:rPr>
        <w:t>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5E1BDA" w:rsidRDefault="00404CB5">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w:t>
      </w:r>
      <w:r>
        <w:rPr>
          <w:bCs/>
        </w:rPr>
        <w:t xml:space="preserve"> accordance with ISO Procedures.</w:t>
      </w:r>
    </w:p>
    <w:p w:rsidR="005E1BDA" w:rsidRDefault="00404CB5">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w:t>
      </w:r>
      <w:r>
        <w:t>h an ISO-administered auction.  Installed Capacity Marketers that purchase Unforced Capacity through an ISO-administered auction may only resell Unforced Capacity purchased in such auctions in the NYCA.</w:t>
      </w:r>
    </w:p>
    <w:p w:rsidR="005E1BDA" w:rsidRDefault="00404CB5">
      <w:pPr>
        <w:pStyle w:val="Definition"/>
      </w:pPr>
      <w:r>
        <w:rPr>
          <w:b/>
        </w:rPr>
        <w:t>Installed Capacity Supplier</w:t>
      </w:r>
      <w:r>
        <w:t xml:space="preserve">: An Energy Limited </w:t>
      </w:r>
      <w:r>
        <w:rPr>
          <w:bCs/>
          <w:iCs/>
        </w:rPr>
        <w:t>Resour</w:t>
      </w:r>
      <w:r>
        <w:rPr>
          <w:bCs/>
          <w:iCs/>
        </w:rPr>
        <w:t>ce</w:t>
      </w:r>
      <w:r>
        <w:t>, Generator, Installed Capacity Marketer, Responsible Interface Party, Intermittent Power Resource, Limited Control Run of River Hydro Resource, municipally-owned generation, BTM:NG Resource, System Resource or Control Area System Resource that satisfies</w:t>
      </w:r>
      <w:r>
        <w:t xml:space="preserve"> the ISO’s qualification requirements for supplying Unforced Capacity to the NYCA.</w:t>
      </w:r>
    </w:p>
    <w:p w:rsidR="005E1BDA" w:rsidRDefault="00404CB5">
      <w:pPr>
        <w:pStyle w:val="Definition"/>
      </w:pPr>
      <w:r>
        <w:rPr>
          <w:b/>
        </w:rPr>
        <w:t>Interconnection or Interconnection Points (“IP”)</w:t>
      </w:r>
      <w:r>
        <w:t>: The point(s) at which the NYCA connects with a distribution system or adjacent Control Area.  The IP may be a single tie li</w:t>
      </w:r>
      <w:r>
        <w:t>ne or several tie lines that are operated in parallel.</w:t>
      </w:r>
    </w:p>
    <w:p w:rsidR="005E1BDA" w:rsidRDefault="00404CB5">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5E1BDA" w:rsidRDefault="00404CB5">
      <w:pPr>
        <w:pStyle w:val="Definition"/>
      </w:pPr>
      <w:r>
        <w:rPr>
          <w:b/>
        </w:rPr>
        <w:t xml:space="preserve">Interface MW </w:t>
      </w:r>
      <w:r>
        <w:rPr>
          <w:b/>
        </w:rPr>
        <w:noBreakHyphen/>
        <w:t xml:space="preserve"> Mile Methodology: </w:t>
      </w:r>
      <w:r>
        <w:t>As defined in the ISO OATT.</w:t>
      </w:r>
    </w:p>
    <w:p w:rsidR="005E1BDA" w:rsidRDefault="00404CB5">
      <w:pPr>
        <w:pStyle w:val="Definition"/>
      </w:pPr>
      <w:r>
        <w:rPr>
          <w:b/>
        </w:rPr>
        <w:t>Interim</w:t>
      </w:r>
      <w:r>
        <w:rPr>
          <w:b/>
        </w:rPr>
        <w:t xml:space="preserve"> Service Provider (“ISP”)</w:t>
      </w:r>
      <w:r>
        <w:t>:  As defined in Attachment FF to the OATT.</w:t>
      </w:r>
    </w:p>
    <w:p w:rsidR="005E1BDA" w:rsidRDefault="00404CB5">
      <w:pPr>
        <w:pStyle w:val="Definition"/>
      </w:pPr>
      <w:r>
        <w:rPr>
          <w:b/>
        </w:rPr>
        <w:t xml:space="preserve">Intermittent Power Resource: </w:t>
      </w:r>
      <w:r>
        <w:rPr>
          <w:bCs/>
        </w:rPr>
        <w:t>A device for the production of electricity that is characterized by an energy source that:  (1) is renewable; (2) cannot be stored by the producing device; an</w:t>
      </w:r>
      <w:r>
        <w:rPr>
          <w:bCs/>
        </w:rPr>
        <w:t xml:space="preserve">d (3) has variability that is beyond the control of the facility owner or operator.  In New York, </w:t>
      </w:r>
      <w:r>
        <w:rPr>
          <w:bCs/>
          <w:iCs/>
        </w:rPr>
        <w:t>resources</w:t>
      </w:r>
      <w:r>
        <w:t xml:space="preserve"> that depend upon wind, solar energy or landfill gas for their fuel have been classified as Intermittent Power Resources. Each Intermittent Power Res</w:t>
      </w:r>
      <w:r>
        <w:t>ource that depends on wind as its fuel shall include all turbines metered at a single scheduling point identifier (PTID).</w:t>
      </w:r>
    </w:p>
    <w:p w:rsidR="005E1BDA" w:rsidRDefault="00404CB5">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w:t>
      </w:r>
      <w:r>
        <w:t>eing referenced.  Where a specific Control Area is not referenced, internal means the NYCA.</w:t>
      </w:r>
    </w:p>
    <w:p w:rsidR="005E1BDA" w:rsidRDefault="00404CB5">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5E1BDA" w:rsidRDefault="00404CB5">
      <w:pPr>
        <w:pStyle w:val="Definition"/>
      </w:pPr>
      <w:r>
        <w:rPr>
          <w:b/>
          <w:bCs/>
        </w:rPr>
        <w:t xml:space="preserve">Investment </w:t>
      </w:r>
      <w:r>
        <w:rPr>
          <w:b/>
          <w:bCs/>
        </w:rPr>
        <w:t>Grade Customer</w:t>
      </w:r>
      <w:r>
        <w:t>: A Customer that meets the criteria set forth in Section 26.3 of Attachment K to this Services Tariff.</w:t>
      </w:r>
    </w:p>
    <w:p w:rsidR="005E1BDA" w:rsidRDefault="00404CB5">
      <w:pPr>
        <w:pStyle w:val="Definition"/>
        <w:rPr>
          <w:b/>
          <w:bCs/>
        </w:rPr>
      </w:pPr>
      <w:r>
        <w:rPr>
          <w:b/>
          <w:bCs/>
        </w:rPr>
        <w:t>Investor</w:t>
      </w:r>
      <w:r>
        <w:rPr>
          <w:b/>
          <w:bCs/>
        </w:rPr>
        <w:noBreakHyphen/>
        <w:t>Owned Transmission Owners</w:t>
      </w:r>
      <w:r>
        <w:t>: At the present time these include: Central Hudson Gas &amp; Electric Corporation, Consolidated Edison Comp</w:t>
      </w:r>
      <w:r>
        <w:t xml:space="preserve">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5E1BDA" w:rsidRDefault="00404CB5">
      <w:pPr>
        <w:pStyle w:val="Definition"/>
      </w:pPr>
      <w:r>
        <w:rPr>
          <w:b/>
          <w:bCs/>
        </w:rPr>
        <w:t xml:space="preserve">ISO Administered Markets </w:t>
      </w:r>
      <w:r>
        <w:t>: The Day-Ahead Market and the Real</w:t>
      </w:r>
      <w:r>
        <w:noBreakHyphen/>
      </w:r>
      <w:r>
        <w:t xml:space="preserve">Time Market (collectively the "LBMP Markets") and any other market </w:t>
      </w:r>
      <w:r>
        <w:rPr>
          <w:iCs/>
        </w:rPr>
        <w:t xml:space="preserve">or auction </w:t>
      </w:r>
      <w:r>
        <w:t>administered by the ISO.</w:t>
      </w:r>
    </w:p>
    <w:p w:rsidR="005E1BDA" w:rsidRDefault="00404CB5">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w:t>
      </w:r>
      <w:r>
        <w:rPr>
          <w:iCs/>
        </w:rPr>
        <w:t xml:space="preserve"> a bidding mode in which a Generator, with ISO approval, requests that the ISO schedule it no more frequently than every 15 minutes.  A Generator scheduled in the Day-Ahead Market as ISO-Committed Fixed will participate as a Self-Committed Fixed Generator </w:t>
      </w:r>
      <w:r>
        <w:rPr>
          <w:iCs/>
        </w:rPr>
        <w:t xml:space="preserve">in the Real-Time Market unless it changes bidding mode, with ISO approval, to participate as an ISO-Committed Fixed Generator.  A BTM:NG Resource is not permitted to utilize the ISO-Committed Fixed bidding mode.  </w:t>
      </w:r>
    </w:p>
    <w:p w:rsidR="005E1BDA" w:rsidRDefault="00404CB5">
      <w:pPr>
        <w:pStyle w:val="Definition"/>
        <w:rPr>
          <w:iCs/>
        </w:rPr>
      </w:pPr>
      <w:r>
        <w:rPr>
          <w:b/>
          <w:bCs/>
          <w:iCs/>
        </w:rPr>
        <w:t>ISO-Committed Flexible</w:t>
      </w:r>
      <w:r>
        <w:t xml:space="preserve">: </w:t>
      </w:r>
      <w:r>
        <w:rPr>
          <w:iCs/>
        </w:rPr>
        <w:t xml:space="preserve">A bidding mode in </w:t>
      </w:r>
      <w:r>
        <w:rPr>
          <w:iCs/>
        </w:rPr>
        <w:t xml:space="preserve">which a Dispatchable Generator or Demand Side Resource follows Base Point Signals </w:t>
      </w:r>
      <w:r>
        <w:rPr>
          <w:bCs/>
          <w:iCs/>
        </w:rPr>
        <w:t>and</w:t>
      </w:r>
      <w:r>
        <w:rPr>
          <w:iCs/>
        </w:rPr>
        <w:t xml:space="preserve"> is committed by the ISO. A BTM:NG Resource is not permitted to utilize the ISO-Committed Flexible bidding mode.</w:t>
      </w:r>
    </w:p>
    <w:p w:rsidR="005E1BDA" w:rsidRDefault="00404CB5">
      <w:pPr>
        <w:pStyle w:val="Definition"/>
        <w:rPr>
          <w:iCs/>
        </w:rPr>
      </w:pPr>
      <w:r>
        <w:rPr>
          <w:b/>
        </w:rPr>
        <w:t>ISO-Managed Energy Level</w:t>
      </w:r>
      <w:r>
        <w:t xml:space="preserve">:  </w:t>
      </w:r>
      <w:r>
        <w:rPr>
          <w:iCs/>
        </w:rPr>
        <w:t>A Bid parameter which when sele</w:t>
      </w:r>
      <w:r>
        <w:rPr>
          <w:iCs/>
        </w:rPr>
        <w:t xml:space="preserve">cted indicates that an Energy Storage Resource’s Energy Level constraints will be directly accounted for in the optimization.  </w:t>
      </w:r>
      <w:r>
        <w:rPr>
          <w:i/>
          <w:iCs/>
        </w:rPr>
        <w:t>See</w:t>
      </w:r>
      <w:r>
        <w:rPr>
          <w:iCs/>
        </w:rPr>
        <w:t xml:space="preserve"> Section 4.2.1.3.4 of this Services Tariff.</w:t>
      </w:r>
    </w:p>
    <w:p w:rsidR="005E1BDA" w:rsidRDefault="00404CB5">
      <w:pPr>
        <w:pStyle w:val="Definition"/>
      </w:pPr>
      <w:r>
        <w:rPr>
          <w:b/>
          <w:bCs/>
        </w:rPr>
        <w:t>ISO Market Power Monitoring Program</w:t>
      </w:r>
      <w:r>
        <w:t>: The monitoring program approved by the Commis</w:t>
      </w:r>
      <w:r>
        <w:t xml:space="preserve">sion and administered by the ISO and the Market Monitoring Unit that is designed to monitor the possible exercise of market power in ISO Administered Markets. </w:t>
      </w:r>
    </w:p>
    <w:p w:rsidR="005E1BDA" w:rsidRDefault="00404CB5">
      <w:pPr>
        <w:pStyle w:val="Definition"/>
      </w:pPr>
      <w:r>
        <w:rPr>
          <w:b/>
          <w:bCs/>
        </w:rPr>
        <w:t>ISO OATT</w:t>
      </w:r>
      <w:r>
        <w:t xml:space="preserve">: The ISO Open Access Transmission </w:t>
      </w:r>
      <w:r>
        <w:rPr>
          <w:bCs/>
          <w:iCs/>
        </w:rPr>
        <w:t>Tariff</w:t>
      </w:r>
      <w:r>
        <w:t>.</w:t>
      </w:r>
    </w:p>
    <w:p w:rsidR="005E1BDA" w:rsidRDefault="00404CB5">
      <w:pPr>
        <w:pStyle w:val="Definition"/>
      </w:pPr>
      <w:r>
        <w:rPr>
          <w:b/>
          <w:bCs/>
        </w:rPr>
        <w:t>ISO Procedures</w:t>
      </w:r>
      <w:r>
        <w:t>: The procedures adopted by the</w:t>
      </w:r>
      <w:r>
        <w:t xml:space="preserve"> ISO in order to fulfill its responsibilities under the ISO OATT, the ISO Services Tariff and the </w:t>
      </w:r>
      <w:r>
        <w:rPr>
          <w:bCs/>
          <w:iCs/>
        </w:rPr>
        <w:t>ISO</w:t>
      </w:r>
      <w:r>
        <w:t xml:space="preserve"> Related Agreements.</w:t>
      </w:r>
    </w:p>
    <w:p w:rsidR="005E1BDA" w:rsidRDefault="00404CB5">
      <w:pPr>
        <w:pStyle w:val="Definition"/>
      </w:pPr>
      <w:r>
        <w:rPr>
          <w:b/>
          <w:bCs/>
        </w:rPr>
        <w:t>ISO Related Agreements</w:t>
      </w:r>
      <w:r>
        <w:t xml:space="preserve">: Collectively, the ISO </w:t>
      </w:r>
      <w:r>
        <w:rPr>
          <w:bCs/>
          <w:iCs/>
        </w:rPr>
        <w:t>Agreement</w:t>
      </w:r>
      <w:r>
        <w:t>, the ISO/TO Agreement, the NYSRC Agreement, the ISO/NYSRC Agreement, and the O</w:t>
      </w:r>
      <w:r>
        <w:t>perating Agreements.</w:t>
      </w:r>
    </w:p>
    <w:p w:rsidR="005E1BDA" w:rsidRDefault="00404CB5">
      <w:pPr>
        <w:pStyle w:val="Definition"/>
      </w:pPr>
      <w:r>
        <w:rPr>
          <w:b/>
          <w:bCs/>
        </w:rPr>
        <w:t>ISO Services Tariff (the "Tariff")</w:t>
      </w:r>
      <w:r>
        <w:t xml:space="preserve">: The ISO </w:t>
      </w:r>
      <w:r>
        <w:rPr>
          <w:bCs/>
          <w:iCs/>
        </w:rPr>
        <w:t>Market</w:t>
      </w:r>
      <w:r>
        <w:t xml:space="preserve"> Administration and Control Area Services Tariff.</w:t>
      </w:r>
    </w:p>
    <w:p w:rsidR="005E1BDA" w:rsidRDefault="00404CB5">
      <w:pPr>
        <w:pStyle w:val="Definition"/>
      </w:pPr>
      <w:r>
        <w:rPr>
          <w:b/>
          <w:bCs/>
        </w:rPr>
        <w:t>ISO Tariffs</w:t>
      </w:r>
      <w:r>
        <w:t xml:space="preserve">: The ISO OATT and the ISO </w:t>
      </w:r>
      <w:r>
        <w:rPr>
          <w:bCs/>
          <w:iCs/>
        </w:rPr>
        <w:t>Services</w:t>
      </w:r>
      <w:r>
        <w:t xml:space="preserve"> Tariff, collectively.</w:t>
      </w:r>
    </w:p>
    <w:p w:rsidR="005E1BDA" w:rsidRDefault="00404CB5">
      <w:pPr>
        <w:pStyle w:val="Definition"/>
      </w:pPr>
      <w:r>
        <w:rPr>
          <w:b/>
        </w:rPr>
        <w:t xml:space="preserve">ISP UCAP MW: </w:t>
      </w:r>
      <w:r>
        <w:t xml:space="preserve"> The quantity of Unforced Capacity determined by the </w:t>
      </w:r>
      <w:r>
        <w:t>ISO in accordance with Section 5.14.1.1 of this Services Tariff.</w:t>
      </w:r>
    </w:p>
    <w:p w:rsidR="005E1BDA" w:rsidRDefault="005E1BDA">
      <w:pPr>
        <w:pStyle w:val="Definition"/>
      </w:pPr>
    </w:p>
    <w:sectPr w:rsidR="005E1B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4CB5">
      <w:r>
        <w:separator/>
      </w:r>
    </w:p>
  </w:endnote>
  <w:endnote w:type="continuationSeparator" w:id="0">
    <w:p w:rsidR="00000000" w:rsidRDefault="0040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4CB5">
      <w:r>
        <w:separator/>
      </w:r>
    </w:p>
  </w:footnote>
  <w:footnote w:type="continuationSeparator" w:id="0">
    <w:p w:rsidR="00000000" w:rsidRDefault="00404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r>
      <w:rPr>
        <w:rFonts w:ascii="Arial" w:eastAsia="Arial" w:hAnsi="Arial" w:cs="Arial"/>
        <w:color w:val="000000"/>
        <w:sz w:val="16"/>
      </w:rPr>
      <w:t>NYISO Tariffs --&gt; Market Administration and Control Area Services Tariff (MST) --&gt; 2 MST Definitions --&gt; 2.9 MST Definit</w:t>
    </w:r>
    <w:r>
      <w:rPr>
        <w:rFonts w:ascii="Arial" w:eastAsia="Arial" w:hAnsi="Arial" w:cs="Arial"/>
        <w:color w:val="000000"/>
        <w:sz w:val="16"/>
      </w:rPr>
      <w: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DA" w:rsidRDefault="00404CB5">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C429562">
      <w:start w:val="1"/>
      <w:numFmt w:val="bullet"/>
      <w:pStyle w:val="Bulletpara"/>
      <w:lvlText w:val=""/>
      <w:lvlJc w:val="left"/>
      <w:pPr>
        <w:tabs>
          <w:tab w:val="num" w:pos="720"/>
        </w:tabs>
        <w:ind w:left="720" w:hanging="360"/>
      </w:pPr>
      <w:rPr>
        <w:rFonts w:ascii="Symbol" w:hAnsi="Symbol" w:hint="default"/>
      </w:rPr>
    </w:lvl>
    <w:lvl w:ilvl="1" w:tplc="5574C81A" w:tentative="1">
      <w:start w:val="1"/>
      <w:numFmt w:val="bullet"/>
      <w:lvlText w:val="o"/>
      <w:lvlJc w:val="left"/>
      <w:pPr>
        <w:tabs>
          <w:tab w:val="num" w:pos="1440"/>
        </w:tabs>
        <w:ind w:left="1440" w:hanging="360"/>
      </w:pPr>
      <w:rPr>
        <w:rFonts w:ascii="Courier New" w:hAnsi="Courier New" w:hint="default"/>
      </w:rPr>
    </w:lvl>
    <w:lvl w:ilvl="2" w:tplc="44828CD6" w:tentative="1">
      <w:start w:val="1"/>
      <w:numFmt w:val="bullet"/>
      <w:lvlText w:val=""/>
      <w:lvlJc w:val="left"/>
      <w:pPr>
        <w:tabs>
          <w:tab w:val="num" w:pos="2160"/>
        </w:tabs>
        <w:ind w:left="2160" w:hanging="360"/>
      </w:pPr>
      <w:rPr>
        <w:rFonts w:ascii="Wingdings" w:hAnsi="Wingdings" w:hint="default"/>
      </w:rPr>
    </w:lvl>
    <w:lvl w:ilvl="3" w:tplc="8AFA036E" w:tentative="1">
      <w:start w:val="1"/>
      <w:numFmt w:val="bullet"/>
      <w:lvlText w:val=""/>
      <w:lvlJc w:val="left"/>
      <w:pPr>
        <w:tabs>
          <w:tab w:val="num" w:pos="2880"/>
        </w:tabs>
        <w:ind w:left="2880" w:hanging="360"/>
      </w:pPr>
      <w:rPr>
        <w:rFonts w:ascii="Symbol" w:hAnsi="Symbol" w:hint="default"/>
      </w:rPr>
    </w:lvl>
    <w:lvl w:ilvl="4" w:tplc="115E7EC2" w:tentative="1">
      <w:start w:val="1"/>
      <w:numFmt w:val="bullet"/>
      <w:lvlText w:val="o"/>
      <w:lvlJc w:val="left"/>
      <w:pPr>
        <w:tabs>
          <w:tab w:val="num" w:pos="3600"/>
        </w:tabs>
        <w:ind w:left="3600" w:hanging="360"/>
      </w:pPr>
      <w:rPr>
        <w:rFonts w:ascii="Courier New" w:hAnsi="Courier New" w:hint="default"/>
      </w:rPr>
    </w:lvl>
    <w:lvl w:ilvl="5" w:tplc="37087492" w:tentative="1">
      <w:start w:val="1"/>
      <w:numFmt w:val="bullet"/>
      <w:lvlText w:val=""/>
      <w:lvlJc w:val="left"/>
      <w:pPr>
        <w:tabs>
          <w:tab w:val="num" w:pos="4320"/>
        </w:tabs>
        <w:ind w:left="4320" w:hanging="360"/>
      </w:pPr>
      <w:rPr>
        <w:rFonts w:ascii="Wingdings" w:hAnsi="Wingdings" w:hint="default"/>
      </w:rPr>
    </w:lvl>
    <w:lvl w:ilvl="6" w:tplc="956E2730" w:tentative="1">
      <w:start w:val="1"/>
      <w:numFmt w:val="bullet"/>
      <w:lvlText w:val=""/>
      <w:lvlJc w:val="left"/>
      <w:pPr>
        <w:tabs>
          <w:tab w:val="num" w:pos="5040"/>
        </w:tabs>
        <w:ind w:left="5040" w:hanging="360"/>
      </w:pPr>
      <w:rPr>
        <w:rFonts w:ascii="Symbol" w:hAnsi="Symbol" w:hint="default"/>
      </w:rPr>
    </w:lvl>
    <w:lvl w:ilvl="7" w:tplc="EA2E8FC8" w:tentative="1">
      <w:start w:val="1"/>
      <w:numFmt w:val="bullet"/>
      <w:lvlText w:val="o"/>
      <w:lvlJc w:val="left"/>
      <w:pPr>
        <w:tabs>
          <w:tab w:val="num" w:pos="5760"/>
        </w:tabs>
        <w:ind w:left="5760" w:hanging="360"/>
      </w:pPr>
      <w:rPr>
        <w:rFonts w:ascii="Courier New" w:hAnsi="Courier New" w:hint="default"/>
      </w:rPr>
    </w:lvl>
    <w:lvl w:ilvl="8" w:tplc="8656FF3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DA"/>
    <w:rsid w:val="00404CB5"/>
    <w:rsid w:val="005E1B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9620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